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6203" w:rsidRDefault="00F9433D">
      <w:r>
        <w:rPr>
          <w:noProof/>
        </w:rPr>
        <w:pict>
          <v:shapetype id="_x0000_t202" coordsize="21600,21600" o:spt="202" path="m,l,21600r21600,l21600,xe">
            <v:stroke joinstyle="miter"/>
            <v:path gradientshapeok="t" o:connecttype="rect"/>
          </v:shapetype>
          <v:shape id="_x0000_s1029" type="#_x0000_t202" style="position:absolute;margin-left:-11.35pt;margin-top:-18.7pt;width:114.95pt;height:103.95pt;z-index:251663360;mso-wrap-style:none;mso-width-relative:margin;mso-height-relative:margin" filled="f" stroked="f">
            <v:textbox style="mso-next-textbox:#_x0000_s1029;mso-fit-shape-to-text:t">
              <w:txbxContent>
                <w:p w:rsidR="00B74940" w:rsidRDefault="00B74940" w:rsidP="009B6EC8">
                  <w:r>
                    <w:object w:dxaOrig="1860" w:dyaOrig="1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0.5pt;height:96.75pt" o:ole="">
                        <v:imagedata r:id="rId9" o:title=""/>
                      </v:shape>
                      <o:OLEObject Type="Embed" ProgID="Word.Picture.8" ShapeID="_x0000_i1026" DrawAspect="Content" ObjectID="_1445763740" r:id="rId10"/>
                    </w:object>
                  </w:r>
                </w:p>
              </w:txbxContent>
            </v:textbox>
          </v:shape>
        </w:pict>
      </w:r>
    </w:p>
    <w:p w:rsidR="00AC6203" w:rsidRDefault="00AC6203"/>
    <w:p w:rsidR="00AC6203" w:rsidRDefault="00AC6203"/>
    <w:p w:rsidR="00A31B45" w:rsidRDefault="00A31B45"/>
    <w:p w:rsidR="00A31B45" w:rsidRDefault="00A31B45"/>
    <w:p w:rsidR="00A31B45" w:rsidRDefault="00A31B45"/>
    <w:tbl>
      <w:tblPr>
        <w:tblpPr w:leftFromText="187" w:rightFromText="187" w:horzAnchor="margin" w:tblpXSpec="right" w:tblpYSpec="top"/>
        <w:tblW w:w="2000" w:type="pct"/>
        <w:tblBorders>
          <w:top w:val="single" w:sz="36" w:space="0" w:color="9BBB59" w:themeColor="accent3"/>
          <w:bottom w:val="single" w:sz="36" w:space="0" w:color="9BBB59" w:themeColor="accent3"/>
          <w:insideH w:val="single" w:sz="36" w:space="0" w:color="9BBB59" w:themeColor="accent3"/>
        </w:tblBorders>
        <w:tblCellMar>
          <w:top w:w="360" w:type="dxa"/>
          <w:left w:w="115" w:type="dxa"/>
          <w:bottom w:w="360" w:type="dxa"/>
          <w:right w:w="115" w:type="dxa"/>
        </w:tblCellMar>
        <w:tblLook w:val="04A0"/>
      </w:tblPr>
      <w:tblGrid>
        <w:gridCol w:w="4278"/>
      </w:tblGrid>
      <w:tr w:rsidR="001C2BB2" w:rsidTr="00C3223E">
        <w:tc>
          <w:tcPr>
            <w:tcW w:w="0" w:type="auto"/>
          </w:tcPr>
          <w:p w:rsidR="001C2BB2" w:rsidRPr="00A62B57" w:rsidRDefault="001C2BB2" w:rsidP="00C3223E">
            <w:pPr>
              <w:pStyle w:val="Sansinterligne"/>
              <w:rPr>
                <w:rFonts w:asciiTheme="majorHAnsi" w:eastAsiaTheme="majorEastAsia" w:hAnsiTheme="majorHAnsi" w:cstheme="majorBidi"/>
                <w:sz w:val="32"/>
                <w:szCs w:val="32"/>
              </w:rPr>
            </w:pPr>
            <w:r w:rsidRPr="00A62B57">
              <w:rPr>
                <w:b/>
                <w:sz w:val="32"/>
                <w:szCs w:val="32"/>
              </w:rPr>
              <w:t>Ministère de l’Intérieur          et de la Décentralisation</w:t>
            </w:r>
            <w:r w:rsidRPr="00A62B57">
              <w:rPr>
                <w:sz w:val="32"/>
                <w:szCs w:val="32"/>
              </w:rPr>
              <w:t xml:space="preserve">                           </w:t>
            </w:r>
            <w:r w:rsidRPr="00A62B57">
              <w:rPr>
                <w:sz w:val="28"/>
                <w:szCs w:val="28"/>
              </w:rPr>
              <w:t>Direction Générale des Collectivités Territoriales</w:t>
            </w:r>
          </w:p>
        </w:tc>
      </w:tr>
      <w:tr w:rsidR="001C2BB2" w:rsidTr="00C3223E">
        <w:tc>
          <w:tcPr>
            <w:tcW w:w="0" w:type="auto"/>
          </w:tcPr>
          <w:p w:rsidR="001C2BB2" w:rsidRPr="00A62B57" w:rsidRDefault="001C2BB2" w:rsidP="00C3223E">
            <w:pPr>
              <w:pStyle w:val="Sansinterligne"/>
              <w:rPr>
                <w:sz w:val="32"/>
                <w:szCs w:val="32"/>
              </w:rPr>
            </w:pPr>
            <w:r>
              <w:rPr>
                <w:rFonts w:cs="Arial"/>
                <w:b/>
                <w:bCs/>
                <w:sz w:val="32"/>
                <w:szCs w:val="32"/>
              </w:rPr>
              <w:t>R</w:t>
            </w:r>
            <w:r w:rsidR="00B00457">
              <w:rPr>
                <w:rFonts w:cs="Arial"/>
                <w:b/>
                <w:bCs/>
                <w:sz w:val="32"/>
                <w:szCs w:val="32"/>
              </w:rPr>
              <w:t>ap</w:t>
            </w:r>
            <w:r w:rsidRPr="00A62B57">
              <w:rPr>
                <w:rFonts w:cs="Arial"/>
                <w:b/>
                <w:bCs/>
                <w:sz w:val="32"/>
                <w:szCs w:val="32"/>
              </w:rPr>
              <w:t xml:space="preserve">port général et financier </w:t>
            </w:r>
            <w:r w:rsidRPr="00472166">
              <w:rPr>
                <w:rFonts w:cs="Arial"/>
                <w:b/>
                <w:bCs/>
                <w:color w:val="76923C" w:themeColor="accent3" w:themeShade="BF"/>
                <w:sz w:val="32"/>
                <w:szCs w:val="32"/>
              </w:rPr>
              <w:t>201</w:t>
            </w:r>
            <w:r w:rsidR="00F002B5">
              <w:rPr>
                <w:rFonts w:cs="Arial"/>
                <w:b/>
                <w:bCs/>
                <w:color w:val="76923C" w:themeColor="accent3" w:themeShade="BF"/>
                <w:sz w:val="32"/>
                <w:szCs w:val="32"/>
              </w:rPr>
              <w:t>3</w:t>
            </w:r>
            <w:r>
              <w:rPr>
                <w:rFonts w:cs="Arial"/>
                <w:b/>
                <w:bCs/>
                <w:sz w:val="32"/>
                <w:szCs w:val="32"/>
              </w:rPr>
              <w:t xml:space="preserve"> </w:t>
            </w:r>
            <w:r w:rsidRPr="00A62B57">
              <w:rPr>
                <w:rFonts w:cs="Arial"/>
                <w:b/>
                <w:bCs/>
                <w:sz w:val="32"/>
                <w:szCs w:val="32"/>
              </w:rPr>
              <w:t xml:space="preserve">sur l’utilisation des crédits </w:t>
            </w:r>
            <w:r>
              <w:rPr>
                <w:rFonts w:cs="Arial"/>
                <w:b/>
                <w:bCs/>
                <w:sz w:val="32"/>
                <w:szCs w:val="32"/>
              </w:rPr>
              <w:t xml:space="preserve">d’équipement </w:t>
            </w:r>
            <w:r w:rsidRPr="00A62B57">
              <w:rPr>
                <w:rFonts w:cs="Arial"/>
                <w:b/>
                <w:bCs/>
                <w:sz w:val="32"/>
                <w:szCs w:val="32"/>
              </w:rPr>
              <w:t xml:space="preserve">du </w:t>
            </w:r>
            <w:r w:rsidRPr="00472166">
              <w:rPr>
                <w:rFonts w:cs="Arial"/>
                <w:b/>
                <w:bCs/>
                <w:color w:val="76923C" w:themeColor="accent3" w:themeShade="BF"/>
                <w:sz w:val="32"/>
                <w:szCs w:val="32"/>
              </w:rPr>
              <w:t>FRD 201</w:t>
            </w:r>
            <w:r w:rsidR="00F002B5">
              <w:rPr>
                <w:rFonts w:cs="Arial"/>
                <w:b/>
                <w:bCs/>
                <w:color w:val="76923C" w:themeColor="accent3" w:themeShade="BF"/>
                <w:sz w:val="32"/>
                <w:szCs w:val="32"/>
              </w:rPr>
              <w:t>2</w:t>
            </w:r>
          </w:p>
        </w:tc>
      </w:tr>
      <w:tr w:rsidR="001C2BB2" w:rsidTr="00C3223E">
        <w:tc>
          <w:tcPr>
            <w:tcW w:w="0" w:type="auto"/>
          </w:tcPr>
          <w:p w:rsidR="001C2BB2" w:rsidRPr="00136A75" w:rsidRDefault="001C2BB2" w:rsidP="00C3223E">
            <w:pPr>
              <w:pStyle w:val="Sansinterligne"/>
              <w:rPr>
                <w:sz w:val="28"/>
                <w:szCs w:val="28"/>
              </w:rPr>
            </w:pPr>
            <w:r>
              <w:rPr>
                <w:sz w:val="28"/>
                <w:szCs w:val="28"/>
              </w:rPr>
              <w:t>Direction des Finances Locales</w:t>
            </w:r>
          </w:p>
        </w:tc>
      </w:tr>
      <w:tr w:rsidR="001C2BB2" w:rsidTr="00C3223E">
        <w:tc>
          <w:tcPr>
            <w:tcW w:w="0" w:type="auto"/>
          </w:tcPr>
          <w:p w:rsidR="001C2BB2" w:rsidRDefault="001C2BB2" w:rsidP="00C3223E">
            <w:pPr>
              <w:pStyle w:val="Sansinterligne"/>
              <w:rPr>
                <w:sz w:val="28"/>
                <w:szCs w:val="28"/>
              </w:rPr>
            </w:pPr>
            <w:r>
              <w:rPr>
                <w:sz w:val="28"/>
                <w:szCs w:val="28"/>
              </w:rPr>
              <w:t>Comité Technique National de suivi-évaluation du FRD</w:t>
            </w:r>
          </w:p>
        </w:tc>
      </w:tr>
    </w:tbl>
    <w:p w:rsidR="00A31B45" w:rsidRDefault="00A31B45"/>
    <w:p w:rsidR="00A31B45" w:rsidRDefault="00A31B45"/>
    <w:p w:rsidR="00A31B45" w:rsidRDefault="00A31B45"/>
    <w:p w:rsidR="00A31B45" w:rsidRDefault="00A31B45"/>
    <w:p w:rsidR="00A31B45" w:rsidRDefault="00A31B45"/>
    <w:p w:rsidR="00A31B45" w:rsidRDefault="00A31B45"/>
    <w:p w:rsidR="00A31B45" w:rsidRDefault="00A31B45"/>
    <w:p w:rsidR="00A31B45" w:rsidRDefault="00A31B45"/>
    <w:p w:rsidR="00A31B45" w:rsidRDefault="00A31B45"/>
    <w:p w:rsidR="00A31B45" w:rsidRDefault="00A31B45"/>
    <w:p w:rsidR="00A31B45" w:rsidRDefault="00A31B45"/>
    <w:p w:rsidR="00A31B45" w:rsidRDefault="00A31B45"/>
    <w:p w:rsidR="00A31B45" w:rsidRDefault="00A31B45"/>
    <w:p w:rsidR="00A31B45" w:rsidRDefault="00A31B45"/>
    <w:p w:rsidR="00A31B45" w:rsidRDefault="00A31B45"/>
    <w:p w:rsidR="00A31B45" w:rsidRDefault="00A31B45"/>
    <w:p w:rsidR="00A31B45" w:rsidRDefault="00A31B45"/>
    <w:p w:rsidR="00A31B45" w:rsidRDefault="00A31B45"/>
    <w:p w:rsidR="00A31B45" w:rsidRDefault="00A31B45"/>
    <w:p w:rsidR="00A31B45" w:rsidRDefault="00A31B45"/>
    <w:p w:rsidR="00A31B45" w:rsidRDefault="00A31B45"/>
    <w:p w:rsidR="00A31B45" w:rsidRDefault="00A31B45"/>
    <w:p w:rsidR="00A31B45" w:rsidRDefault="00A31B45"/>
    <w:p w:rsidR="00A31B45" w:rsidRDefault="00A31B45"/>
    <w:p w:rsidR="00A31B45" w:rsidRDefault="00A31B45"/>
    <w:p w:rsidR="00A31B45" w:rsidRDefault="00A31B45"/>
    <w:p w:rsidR="00A31B45" w:rsidRDefault="00A31B45"/>
    <w:p w:rsidR="00A31B45" w:rsidRDefault="00A31B45"/>
    <w:p w:rsidR="00A31B45" w:rsidRDefault="00A31B45"/>
    <w:p w:rsidR="00A31B45" w:rsidRDefault="00A31B45"/>
    <w:p w:rsidR="00A31B45" w:rsidRDefault="00A31B45"/>
    <w:p w:rsidR="00A31B45" w:rsidRDefault="00A31B45"/>
    <w:p w:rsidR="00A31B45" w:rsidRDefault="00A31B45"/>
    <w:p w:rsidR="00A31B45" w:rsidRDefault="00A31B45"/>
    <w:p w:rsidR="00A31B45" w:rsidRDefault="00A31B45"/>
    <w:p w:rsidR="00A31B45" w:rsidRDefault="00A31B45"/>
    <w:p w:rsidR="00A31B45" w:rsidRDefault="00A31B45"/>
    <w:p w:rsidR="00A31B45" w:rsidRDefault="00A31B45"/>
    <w:p w:rsidR="00B25F6B" w:rsidRDefault="00B25F6B"/>
    <w:p w:rsidR="00B25F6B" w:rsidRDefault="00B25F6B"/>
    <w:p w:rsidR="00A31B45" w:rsidRDefault="00A31B45"/>
    <w:p w:rsidR="009B6EC8" w:rsidRDefault="009B6EC8"/>
    <w:p w:rsidR="009B6EC8" w:rsidRDefault="009B6EC8"/>
    <w:p w:rsidR="009B6EC8" w:rsidRDefault="009B6EC8"/>
    <w:p w:rsidR="00AC6203" w:rsidRDefault="00F9433D">
      <w:r>
        <w:rPr>
          <w:noProof/>
        </w:rPr>
        <w:pict>
          <v:shape id="_x0000_s1028" type="#_x0000_t202" style="position:absolute;margin-left:-12.1pt;margin-top:58.1pt;width:260.2pt;height:32.25pt;z-index:251662336;mso-width-relative:margin;mso-height-relative:margin" stroked="f">
            <v:textbox>
              <w:txbxContent>
                <w:p w:rsidR="00B74940" w:rsidRDefault="00B74940" w:rsidP="009B6EC8">
                  <w:r w:rsidRPr="009B6EC8">
                    <w:rPr>
                      <w:rFonts w:asciiTheme="minorHAnsi" w:hAnsiTheme="minorHAnsi" w:cstheme="minorHAnsi"/>
                    </w:rPr>
                    <w:t>Réalisé avec l’appui de la coopération</w:t>
                  </w:r>
                  <w:r>
                    <w:t xml:space="preserve"> française</w:t>
                  </w:r>
                </w:p>
              </w:txbxContent>
            </v:textbox>
          </v:shape>
        </w:pict>
      </w:r>
      <w:r w:rsidR="009B6EC8">
        <w:t xml:space="preserve">                   </w:t>
      </w:r>
      <w:r w:rsidR="009B6EC8" w:rsidRPr="009B6EC8">
        <w:rPr>
          <w:noProof/>
        </w:rPr>
        <w:drawing>
          <wp:inline distT="0" distB="0" distL="0" distR="0">
            <wp:extent cx="1079500" cy="622300"/>
            <wp:effectExtent l="19050" t="0" r="6350" b="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1079500" cy="622300"/>
                    </a:xfrm>
                    <a:prstGeom prst="rect">
                      <a:avLst/>
                    </a:prstGeom>
                    <a:noFill/>
                    <a:ln w="9525">
                      <a:noFill/>
                      <a:miter lim="800000"/>
                      <a:headEnd/>
                      <a:tailEnd/>
                    </a:ln>
                  </pic:spPr>
                </pic:pic>
              </a:graphicData>
            </a:graphic>
          </wp:inline>
        </w:drawing>
      </w:r>
    </w:p>
    <w:p w:rsidR="00AC6203" w:rsidRPr="00093D47" w:rsidRDefault="00FF0221" w:rsidP="00AC6203">
      <w:pPr>
        <w:jc w:val="center"/>
        <w:rPr>
          <w:rFonts w:asciiTheme="minorHAnsi" w:hAnsiTheme="minorHAnsi" w:cstheme="minorHAnsi"/>
          <w:b/>
          <w:smallCaps/>
          <w:sz w:val="32"/>
          <w:szCs w:val="32"/>
        </w:rPr>
      </w:pPr>
      <w:r w:rsidRPr="00F528D8">
        <w:rPr>
          <w:rFonts w:asciiTheme="minorHAnsi" w:hAnsiTheme="minorHAnsi" w:cstheme="minorHAnsi"/>
          <w:b/>
          <w:smallCaps/>
          <w:sz w:val="32"/>
          <w:szCs w:val="32"/>
        </w:rPr>
        <w:lastRenderedPageBreak/>
        <w:t xml:space="preserve">Rapport </w:t>
      </w:r>
      <w:proofErr w:type="spellStart"/>
      <w:r w:rsidRPr="00F528D8">
        <w:rPr>
          <w:rFonts w:asciiTheme="minorHAnsi" w:hAnsiTheme="minorHAnsi" w:cstheme="minorHAnsi"/>
          <w:b/>
          <w:smallCaps/>
          <w:sz w:val="32"/>
          <w:szCs w:val="32"/>
        </w:rPr>
        <w:t>g</w:t>
      </w:r>
      <w:r w:rsidR="00F528D8" w:rsidRPr="00F528D8">
        <w:rPr>
          <w:rFonts w:asciiTheme="minorHAnsi" w:hAnsiTheme="minorHAnsi" w:cstheme="minorHAnsi"/>
          <w:b/>
          <w:smallCaps/>
          <w:sz w:val="26"/>
          <w:szCs w:val="26"/>
        </w:rPr>
        <w:t>É</w:t>
      </w:r>
      <w:r w:rsidR="00F528D8">
        <w:rPr>
          <w:rFonts w:asciiTheme="minorHAnsi" w:hAnsiTheme="minorHAnsi" w:cstheme="minorHAnsi"/>
          <w:b/>
          <w:smallCaps/>
          <w:sz w:val="26"/>
          <w:szCs w:val="26"/>
        </w:rPr>
        <w:t>N</w:t>
      </w:r>
      <w:r w:rsidR="00F528D8" w:rsidRPr="00F528D8">
        <w:rPr>
          <w:rFonts w:asciiTheme="minorHAnsi" w:hAnsiTheme="minorHAnsi" w:cstheme="minorHAnsi"/>
          <w:b/>
          <w:smallCaps/>
          <w:sz w:val="26"/>
          <w:szCs w:val="26"/>
        </w:rPr>
        <w:t>É</w:t>
      </w:r>
      <w:r w:rsidR="00AC6203" w:rsidRPr="00F528D8">
        <w:rPr>
          <w:rFonts w:asciiTheme="minorHAnsi" w:hAnsiTheme="minorHAnsi" w:cstheme="minorHAnsi"/>
          <w:b/>
          <w:smallCaps/>
          <w:sz w:val="32"/>
          <w:szCs w:val="32"/>
        </w:rPr>
        <w:t>ral</w:t>
      </w:r>
      <w:proofErr w:type="spellEnd"/>
      <w:r w:rsidR="00AC6203" w:rsidRPr="00F528D8">
        <w:rPr>
          <w:rFonts w:ascii="Arial" w:hAnsi="Arial" w:cs="Arial"/>
          <w:b/>
          <w:smallCaps/>
          <w:sz w:val="32"/>
          <w:szCs w:val="32"/>
        </w:rPr>
        <w:t xml:space="preserve"> </w:t>
      </w:r>
      <w:r w:rsidR="00AC6203" w:rsidRPr="00F528D8">
        <w:rPr>
          <w:rFonts w:asciiTheme="minorHAnsi" w:hAnsiTheme="minorHAnsi" w:cstheme="minorHAnsi"/>
          <w:b/>
          <w:smallCaps/>
          <w:sz w:val="32"/>
          <w:szCs w:val="32"/>
        </w:rPr>
        <w:t>et financier</w:t>
      </w:r>
      <w:r w:rsidR="00F528D8">
        <w:rPr>
          <w:rFonts w:asciiTheme="minorHAnsi" w:hAnsiTheme="minorHAnsi" w:cstheme="minorHAnsi"/>
          <w:b/>
          <w:smallCaps/>
          <w:sz w:val="32"/>
          <w:szCs w:val="32"/>
        </w:rPr>
        <w:t xml:space="preserve"> 2013</w:t>
      </w:r>
      <w:r w:rsidR="00AC6203" w:rsidRPr="00093D47">
        <w:rPr>
          <w:rFonts w:asciiTheme="minorHAnsi" w:hAnsiTheme="minorHAnsi" w:cstheme="minorHAnsi"/>
          <w:b/>
          <w:smallCaps/>
          <w:sz w:val="32"/>
          <w:szCs w:val="32"/>
        </w:rPr>
        <w:t xml:space="preserve"> sur l’utilisation des </w:t>
      </w:r>
      <w:proofErr w:type="spellStart"/>
      <w:r w:rsidR="00AC6203" w:rsidRPr="00093D47">
        <w:rPr>
          <w:rFonts w:asciiTheme="minorHAnsi" w:hAnsiTheme="minorHAnsi" w:cstheme="minorHAnsi"/>
          <w:b/>
          <w:smallCaps/>
          <w:sz w:val="32"/>
          <w:szCs w:val="32"/>
        </w:rPr>
        <w:t>cr</w:t>
      </w:r>
      <w:r w:rsidR="00F528D8" w:rsidRPr="00F528D8">
        <w:rPr>
          <w:rFonts w:asciiTheme="minorHAnsi" w:hAnsiTheme="minorHAnsi" w:cstheme="minorHAnsi"/>
          <w:b/>
          <w:smallCaps/>
          <w:sz w:val="26"/>
          <w:szCs w:val="26"/>
        </w:rPr>
        <w:t>É</w:t>
      </w:r>
      <w:r w:rsidR="00AC6203" w:rsidRPr="00093D47">
        <w:rPr>
          <w:rFonts w:asciiTheme="minorHAnsi" w:hAnsiTheme="minorHAnsi" w:cstheme="minorHAnsi"/>
          <w:b/>
          <w:smallCaps/>
          <w:sz w:val="32"/>
          <w:szCs w:val="32"/>
        </w:rPr>
        <w:t>dits</w:t>
      </w:r>
      <w:proofErr w:type="spellEnd"/>
      <w:r w:rsidR="00AC6203" w:rsidRPr="00093D47">
        <w:rPr>
          <w:rFonts w:asciiTheme="minorHAnsi" w:hAnsiTheme="minorHAnsi" w:cstheme="minorHAnsi"/>
          <w:b/>
          <w:smallCaps/>
          <w:sz w:val="32"/>
          <w:szCs w:val="32"/>
        </w:rPr>
        <w:t xml:space="preserve"> d’</w:t>
      </w:r>
      <w:r w:rsidR="00F528D8" w:rsidRPr="00F528D8">
        <w:rPr>
          <w:rFonts w:asciiTheme="minorHAnsi" w:hAnsiTheme="minorHAnsi" w:cstheme="minorHAnsi"/>
          <w:b/>
          <w:smallCaps/>
          <w:sz w:val="26"/>
          <w:szCs w:val="26"/>
        </w:rPr>
        <w:t>É</w:t>
      </w:r>
      <w:r w:rsidR="00AC6203" w:rsidRPr="00093D47">
        <w:rPr>
          <w:rFonts w:asciiTheme="minorHAnsi" w:hAnsiTheme="minorHAnsi" w:cstheme="minorHAnsi"/>
          <w:b/>
          <w:smallCaps/>
          <w:sz w:val="32"/>
          <w:szCs w:val="32"/>
        </w:rPr>
        <w:t>quipement du Fond</w:t>
      </w:r>
      <w:r w:rsidR="00326786">
        <w:rPr>
          <w:rFonts w:asciiTheme="minorHAnsi" w:hAnsiTheme="minorHAnsi" w:cstheme="minorHAnsi"/>
          <w:b/>
          <w:smallCaps/>
          <w:sz w:val="32"/>
          <w:szCs w:val="32"/>
        </w:rPr>
        <w:t>s</w:t>
      </w:r>
      <w:r w:rsidR="00AC6203" w:rsidRPr="00093D47">
        <w:rPr>
          <w:rFonts w:asciiTheme="minorHAnsi" w:hAnsiTheme="minorHAnsi" w:cstheme="minorHAnsi"/>
          <w:b/>
          <w:smallCaps/>
          <w:sz w:val="32"/>
          <w:szCs w:val="32"/>
        </w:rPr>
        <w:t xml:space="preserve"> </w:t>
      </w:r>
      <w:proofErr w:type="spellStart"/>
      <w:r w:rsidR="00AC6203" w:rsidRPr="00093D47">
        <w:rPr>
          <w:rFonts w:asciiTheme="minorHAnsi" w:hAnsiTheme="minorHAnsi" w:cstheme="minorHAnsi"/>
          <w:b/>
          <w:smallCaps/>
          <w:sz w:val="32"/>
          <w:szCs w:val="32"/>
        </w:rPr>
        <w:t>R</w:t>
      </w:r>
      <w:r w:rsidR="00F528D8" w:rsidRPr="00F528D8">
        <w:rPr>
          <w:rFonts w:asciiTheme="minorHAnsi" w:hAnsiTheme="minorHAnsi" w:cstheme="minorHAnsi"/>
          <w:b/>
          <w:smallCaps/>
          <w:sz w:val="26"/>
          <w:szCs w:val="26"/>
        </w:rPr>
        <w:t>É</w:t>
      </w:r>
      <w:r w:rsidR="00AC6203" w:rsidRPr="00093D47">
        <w:rPr>
          <w:rFonts w:asciiTheme="minorHAnsi" w:hAnsiTheme="minorHAnsi" w:cstheme="minorHAnsi"/>
          <w:b/>
          <w:smallCaps/>
          <w:sz w:val="32"/>
          <w:szCs w:val="32"/>
        </w:rPr>
        <w:t>gional</w:t>
      </w:r>
      <w:proofErr w:type="spellEnd"/>
      <w:r w:rsidR="00AC6203" w:rsidRPr="00093D47">
        <w:rPr>
          <w:rFonts w:asciiTheme="minorHAnsi" w:hAnsiTheme="minorHAnsi" w:cstheme="minorHAnsi"/>
          <w:b/>
          <w:smallCaps/>
          <w:sz w:val="32"/>
          <w:szCs w:val="32"/>
        </w:rPr>
        <w:t xml:space="preserve"> de </w:t>
      </w:r>
      <w:proofErr w:type="spellStart"/>
      <w:r w:rsidR="00AC6203" w:rsidRPr="00093D47">
        <w:rPr>
          <w:rFonts w:asciiTheme="minorHAnsi" w:hAnsiTheme="minorHAnsi" w:cstheme="minorHAnsi"/>
          <w:b/>
          <w:smallCaps/>
          <w:sz w:val="32"/>
          <w:szCs w:val="32"/>
        </w:rPr>
        <w:t>D</w:t>
      </w:r>
      <w:r w:rsidR="00F528D8" w:rsidRPr="00F528D8">
        <w:rPr>
          <w:rFonts w:asciiTheme="minorHAnsi" w:hAnsiTheme="minorHAnsi" w:cstheme="minorHAnsi"/>
          <w:b/>
          <w:smallCaps/>
          <w:sz w:val="26"/>
          <w:szCs w:val="26"/>
        </w:rPr>
        <w:t>É</w:t>
      </w:r>
      <w:r w:rsidR="00AC6203" w:rsidRPr="00093D47">
        <w:rPr>
          <w:rFonts w:asciiTheme="minorHAnsi" w:hAnsiTheme="minorHAnsi" w:cstheme="minorHAnsi"/>
          <w:b/>
          <w:smallCaps/>
          <w:sz w:val="32"/>
          <w:szCs w:val="32"/>
        </w:rPr>
        <w:t>veloppement</w:t>
      </w:r>
      <w:proofErr w:type="spellEnd"/>
    </w:p>
    <w:p w:rsidR="00AC6203" w:rsidRPr="0009391D" w:rsidRDefault="00AC6203" w:rsidP="002F04D1">
      <w:pPr>
        <w:pStyle w:val="Paragraphedeliste"/>
        <w:numPr>
          <w:ilvl w:val="0"/>
          <w:numId w:val="11"/>
        </w:numPr>
        <w:jc w:val="center"/>
        <w:rPr>
          <w:rFonts w:asciiTheme="minorHAnsi" w:hAnsiTheme="minorHAnsi" w:cstheme="minorHAnsi"/>
          <w:b/>
          <w:smallCaps/>
          <w:sz w:val="32"/>
          <w:szCs w:val="32"/>
        </w:rPr>
      </w:pPr>
    </w:p>
    <w:p w:rsidR="00AC6203" w:rsidRPr="00093D47" w:rsidRDefault="00F528D8" w:rsidP="00AC6203">
      <w:pPr>
        <w:jc w:val="center"/>
        <w:rPr>
          <w:rFonts w:asciiTheme="minorHAnsi" w:hAnsiTheme="minorHAnsi" w:cstheme="minorHAnsi"/>
          <w:b/>
          <w:smallCaps/>
          <w:sz w:val="32"/>
          <w:szCs w:val="32"/>
        </w:rPr>
      </w:pPr>
      <w:r>
        <w:rPr>
          <w:rFonts w:asciiTheme="minorHAnsi" w:hAnsiTheme="minorHAnsi" w:cstheme="minorHAnsi"/>
          <w:b/>
          <w:smallCaps/>
          <w:sz w:val="32"/>
          <w:szCs w:val="32"/>
        </w:rPr>
        <w:t>Exercice 2012</w:t>
      </w:r>
    </w:p>
    <w:p w:rsidR="00AC6203" w:rsidRPr="004846A4" w:rsidRDefault="00AC6203">
      <w:pPr>
        <w:rPr>
          <w:rFonts w:asciiTheme="minorHAnsi" w:hAnsiTheme="minorHAnsi" w:cstheme="minorHAnsi"/>
        </w:rPr>
      </w:pPr>
    </w:p>
    <w:p w:rsidR="00AC6203" w:rsidRPr="004846A4" w:rsidRDefault="00AC6203">
      <w:pPr>
        <w:rPr>
          <w:rFonts w:asciiTheme="minorHAnsi" w:hAnsiTheme="minorHAnsi" w:cstheme="minorHAnsi"/>
        </w:rPr>
      </w:pPr>
    </w:p>
    <w:p w:rsidR="00AC6203" w:rsidRPr="009D6EEC" w:rsidRDefault="009D6EEC">
      <w:pPr>
        <w:rPr>
          <w:rFonts w:asciiTheme="minorHAnsi" w:hAnsiTheme="minorHAnsi" w:cstheme="minorHAnsi"/>
          <w:b/>
        </w:rPr>
      </w:pPr>
      <w:r w:rsidRPr="009D6EEC">
        <w:rPr>
          <w:rFonts w:asciiTheme="minorHAnsi" w:hAnsiTheme="minorHAnsi" w:cstheme="minorHAnsi"/>
          <w:b/>
        </w:rPr>
        <w:t>Table des matières</w:t>
      </w:r>
    </w:p>
    <w:p w:rsidR="00472166" w:rsidRPr="009D6EEC" w:rsidRDefault="00472166">
      <w:pPr>
        <w:rPr>
          <w:rFonts w:asciiTheme="minorHAnsi" w:hAnsiTheme="minorHAnsi" w:cstheme="minorHAnsi"/>
          <w:sz w:val="22"/>
          <w:szCs w:val="22"/>
        </w:rPr>
      </w:pPr>
    </w:p>
    <w:sdt>
      <w:sdtPr>
        <w:rPr>
          <w:rFonts w:asciiTheme="minorHAnsi" w:eastAsiaTheme="minorEastAsia" w:hAnsiTheme="minorHAnsi" w:cstheme="minorBidi"/>
          <w:b w:val="0"/>
          <w:bCs w:val="0"/>
          <w:color w:val="auto"/>
          <w:sz w:val="22"/>
          <w:szCs w:val="22"/>
        </w:rPr>
        <w:id w:val="4539225"/>
        <w:docPartObj>
          <w:docPartGallery w:val="Table of Contents"/>
          <w:docPartUnique/>
        </w:docPartObj>
      </w:sdtPr>
      <w:sdtContent>
        <w:p w:rsidR="00F6567C" w:rsidRDefault="00F6567C">
          <w:pPr>
            <w:pStyle w:val="En-ttedetabledesmatires"/>
          </w:pPr>
        </w:p>
        <w:p w:rsidR="00F6567C" w:rsidRDefault="00F067CC">
          <w:pPr>
            <w:pStyle w:val="TM1"/>
          </w:pPr>
          <w:r>
            <w:rPr>
              <w:b/>
            </w:rPr>
            <w:t xml:space="preserve">Introduction </w:t>
          </w:r>
          <w:r w:rsidR="00F6567C">
            <w:ptab w:relativeTo="margin" w:alignment="right" w:leader="dot"/>
          </w:r>
          <w:r w:rsidRPr="00696DE7">
            <w:rPr>
              <w:b/>
            </w:rPr>
            <w:t>3</w:t>
          </w:r>
        </w:p>
        <w:p w:rsidR="00F6567C" w:rsidRDefault="00F067CC">
          <w:pPr>
            <w:pStyle w:val="TM1"/>
          </w:pPr>
          <w:r>
            <w:rPr>
              <w:b/>
            </w:rPr>
            <w:t xml:space="preserve">Chiffres clés </w:t>
          </w:r>
          <w:r w:rsidR="00F6567C">
            <w:ptab w:relativeTo="margin" w:alignment="right" w:leader="dot"/>
          </w:r>
          <w:r w:rsidRPr="00696DE7">
            <w:rPr>
              <w:b/>
            </w:rPr>
            <w:t>4</w:t>
          </w:r>
        </w:p>
        <w:p w:rsidR="00F6567C" w:rsidRDefault="00F6567C" w:rsidP="00F6567C">
          <w:pPr>
            <w:pStyle w:val="TM1"/>
          </w:pPr>
          <w:r>
            <w:rPr>
              <w:b/>
            </w:rPr>
            <w:t>Bilan National</w:t>
          </w:r>
          <w:r>
            <w:ptab w:relativeTo="margin" w:alignment="right" w:leader="dot"/>
          </w:r>
          <w:r w:rsidR="00F067CC" w:rsidRPr="00696DE7">
            <w:rPr>
              <w:b/>
            </w:rPr>
            <w:t>5</w:t>
          </w:r>
        </w:p>
        <w:p w:rsidR="00F6567C" w:rsidRDefault="0087689B" w:rsidP="002F04D1">
          <w:pPr>
            <w:pStyle w:val="TM2"/>
            <w:numPr>
              <w:ilvl w:val="0"/>
              <w:numId w:val="9"/>
            </w:numPr>
          </w:pPr>
          <w:r>
            <w:t>Crédits d’équipement du FRD 2012</w:t>
          </w:r>
          <w:r w:rsidR="00F6567C">
            <w:ptab w:relativeTo="margin" w:alignment="right" w:leader="dot"/>
          </w:r>
          <w:r w:rsidR="00F067CC">
            <w:t>5</w:t>
          </w:r>
        </w:p>
        <w:p w:rsidR="00F6567C" w:rsidRDefault="00F6567C" w:rsidP="002F04D1">
          <w:pPr>
            <w:pStyle w:val="TM2"/>
            <w:numPr>
              <w:ilvl w:val="0"/>
              <w:numId w:val="9"/>
            </w:numPr>
          </w:pPr>
          <w:r>
            <w:t>Proje</w:t>
          </w:r>
          <w:r w:rsidR="00F81574">
            <w:t>ts déclarés au titre de</w:t>
          </w:r>
          <w:r w:rsidR="0087689B">
            <w:t xml:space="preserve"> l’exercice 2012</w:t>
          </w:r>
          <w:r>
            <w:ptab w:relativeTo="margin" w:alignment="right" w:leader="dot"/>
          </w:r>
          <w:r w:rsidR="00F067CC">
            <w:t>9</w:t>
          </w:r>
        </w:p>
        <w:p w:rsidR="00F6567C" w:rsidRDefault="00F6567C" w:rsidP="002F04D1">
          <w:pPr>
            <w:pStyle w:val="TM2"/>
            <w:numPr>
              <w:ilvl w:val="0"/>
              <w:numId w:val="9"/>
            </w:numPr>
          </w:pPr>
          <w:r>
            <w:t>L’investissement communal</w:t>
          </w:r>
          <w:r>
            <w:ptab w:relativeTo="margin" w:alignment="right" w:leader="dot"/>
          </w:r>
          <w:r w:rsidR="0018330A">
            <w:t>11</w:t>
          </w:r>
        </w:p>
        <w:p w:rsidR="00F6567C" w:rsidRDefault="00F6567C" w:rsidP="002F04D1">
          <w:pPr>
            <w:pStyle w:val="TM2"/>
            <w:numPr>
              <w:ilvl w:val="0"/>
              <w:numId w:val="9"/>
            </w:numPr>
          </w:pPr>
          <w:r>
            <w:t>Dispersion/parcellisation de l’investissement communal</w:t>
          </w:r>
          <w:r>
            <w:ptab w:relativeTo="margin" w:alignment="right" w:leader="dot"/>
          </w:r>
          <w:r w:rsidR="00F067CC">
            <w:t>16</w:t>
          </w:r>
        </w:p>
        <w:p w:rsidR="00F6567C" w:rsidRDefault="00F81574" w:rsidP="002F04D1">
          <w:pPr>
            <w:pStyle w:val="TM2"/>
            <w:numPr>
              <w:ilvl w:val="0"/>
              <w:numId w:val="9"/>
            </w:numPr>
          </w:pPr>
          <w:r>
            <w:t>Taux d’absorption des crédits FRD</w:t>
          </w:r>
          <w:r w:rsidR="00F6567C">
            <w:ptab w:relativeTo="margin" w:alignment="right" w:leader="dot"/>
          </w:r>
          <w:r w:rsidR="00F067CC">
            <w:t>18</w:t>
          </w:r>
        </w:p>
        <w:p w:rsidR="00F6567C" w:rsidRDefault="00F6567C" w:rsidP="00F6567C">
          <w:pPr>
            <w:pStyle w:val="TM1"/>
          </w:pPr>
          <w:r>
            <w:rPr>
              <w:b/>
            </w:rPr>
            <w:t>Bilan Régional</w:t>
          </w:r>
          <w:r>
            <w:ptab w:relativeTo="margin" w:alignment="right" w:leader="dot"/>
          </w:r>
          <w:r w:rsidR="0018330A">
            <w:rPr>
              <w:b/>
            </w:rPr>
            <w:t>2</w:t>
          </w:r>
          <w:r w:rsidR="00696DE7">
            <w:rPr>
              <w:b/>
            </w:rPr>
            <w:t>4</w:t>
          </w:r>
        </w:p>
        <w:p w:rsidR="00F6567C" w:rsidRDefault="001246CD" w:rsidP="002F04D1">
          <w:pPr>
            <w:pStyle w:val="TM2"/>
            <w:numPr>
              <w:ilvl w:val="0"/>
              <w:numId w:val="8"/>
            </w:numPr>
          </w:pPr>
          <w:r>
            <w:t>Wilaya</w:t>
          </w:r>
          <w:r w:rsidR="00F81574">
            <w:t xml:space="preserve"> du </w:t>
          </w:r>
          <w:proofErr w:type="spellStart"/>
          <w:r w:rsidR="00F81574">
            <w:t>Hodh</w:t>
          </w:r>
          <w:proofErr w:type="spellEnd"/>
          <w:r w:rsidR="00F81574">
            <w:t xml:space="preserve"> </w:t>
          </w:r>
          <w:proofErr w:type="spellStart"/>
          <w:r w:rsidR="00F81574">
            <w:t>Echargui</w:t>
          </w:r>
          <w:proofErr w:type="spellEnd"/>
          <w:r w:rsidR="00F6567C">
            <w:ptab w:relativeTo="margin" w:alignment="right" w:leader="dot"/>
          </w:r>
          <w:r w:rsidR="00696DE7">
            <w:t>24</w:t>
          </w:r>
        </w:p>
        <w:p w:rsidR="00F6567C" w:rsidRDefault="001246CD" w:rsidP="002F04D1">
          <w:pPr>
            <w:pStyle w:val="TM2"/>
            <w:numPr>
              <w:ilvl w:val="0"/>
              <w:numId w:val="8"/>
            </w:numPr>
          </w:pPr>
          <w:r>
            <w:t>Wilaya</w:t>
          </w:r>
          <w:r w:rsidR="00F81574">
            <w:t xml:space="preserve"> du </w:t>
          </w:r>
          <w:proofErr w:type="spellStart"/>
          <w:r w:rsidR="00F81574">
            <w:t>Hodh</w:t>
          </w:r>
          <w:proofErr w:type="spellEnd"/>
          <w:r w:rsidR="00F81574">
            <w:t xml:space="preserve"> El Gharbi</w:t>
          </w:r>
          <w:r w:rsidR="00F6567C">
            <w:ptab w:relativeTo="margin" w:alignment="right" w:leader="dot"/>
          </w:r>
          <w:r w:rsidR="00696DE7">
            <w:t>36</w:t>
          </w:r>
        </w:p>
        <w:p w:rsidR="00F6567C" w:rsidRDefault="001246CD" w:rsidP="002F04D1">
          <w:pPr>
            <w:pStyle w:val="TM2"/>
            <w:numPr>
              <w:ilvl w:val="0"/>
              <w:numId w:val="8"/>
            </w:numPr>
          </w:pPr>
          <w:r>
            <w:t>Wilaya</w:t>
          </w:r>
          <w:r w:rsidR="00F81574">
            <w:t xml:space="preserve"> de l’</w:t>
          </w:r>
          <w:proofErr w:type="spellStart"/>
          <w:r w:rsidR="00F81574">
            <w:t>Assaba</w:t>
          </w:r>
          <w:proofErr w:type="spellEnd"/>
          <w:r w:rsidR="00F6567C">
            <w:ptab w:relativeTo="margin" w:alignment="right" w:leader="dot"/>
          </w:r>
          <w:r w:rsidR="00696DE7">
            <w:t>45</w:t>
          </w:r>
        </w:p>
        <w:p w:rsidR="00F6567C" w:rsidRDefault="001246CD" w:rsidP="002F04D1">
          <w:pPr>
            <w:pStyle w:val="TM2"/>
            <w:numPr>
              <w:ilvl w:val="0"/>
              <w:numId w:val="8"/>
            </w:numPr>
          </w:pPr>
          <w:r>
            <w:t>Wilaya</w:t>
          </w:r>
          <w:r w:rsidR="00F81574">
            <w:t xml:space="preserve"> du </w:t>
          </w:r>
          <w:proofErr w:type="spellStart"/>
          <w:r w:rsidR="00F81574">
            <w:t>Gorgol</w:t>
          </w:r>
          <w:proofErr w:type="spellEnd"/>
          <w:r w:rsidR="00F6567C">
            <w:ptab w:relativeTo="margin" w:alignment="right" w:leader="dot"/>
          </w:r>
          <w:r w:rsidR="00696DE7">
            <w:t>56</w:t>
          </w:r>
        </w:p>
        <w:p w:rsidR="00F6567C" w:rsidRDefault="001246CD" w:rsidP="002F04D1">
          <w:pPr>
            <w:pStyle w:val="TM2"/>
            <w:numPr>
              <w:ilvl w:val="0"/>
              <w:numId w:val="8"/>
            </w:numPr>
          </w:pPr>
          <w:r>
            <w:t>Wilaya</w:t>
          </w:r>
          <w:r w:rsidR="00F81574">
            <w:t xml:space="preserve"> du </w:t>
          </w:r>
          <w:proofErr w:type="spellStart"/>
          <w:r w:rsidR="00F81574">
            <w:t>Brakna</w:t>
          </w:r>
          <w:proofErr w:type="spellEnd"/>
          <w:r w:rsidR="00F6567C">
            <w:ptab w:relativeTo="margin" w:alignment="right" w:leader="dot"/>
          </w:r>
          <w:r w:rsidR="00696DE7">
            <w:t>65</w:t>
          </w:r>
        </w:p>
        <w:p w:rsidR="00F6567C" w:rsidRDefault="001246CD" w:rsidP="002F04D1">
          <w:pPr>
            <w:pStyle w:val="TM2"/>
            <w:numPr>
              <w:ilvl w:val="0"/>
              <w:numId w:val="8"/>
            </w:numPr>
          </w:pPr>
          <w:r>
            <w:t>Wilaya</w:t>
          </w:r>
          <w:r w:rsidR="00F81574">
            <w:t xml:space="preserve"> du Trarza</w:t>
          </w:r>
          <w:r w:rsidR="00F6567C">
            <w:ptab w:relativeTo="margin" w:alignment="right" w:leader="dot"/>
          </w:r>
          <w:r w:rsidR="00696DE7">
            <w:t>75</w:t>
          </w:r>
        </w:p>
        <w:p w:rsidR="00F6567C" w:rsidRDefault="001246CD" w:rsidP="002F04D1">
          <w:pPr>
            <w:pStyle w:val="TM2"/>
            <w:numPr>
              <w:ilvl w:val="0"/>
              <w:numId w:val="8"/>
            </w:numPr>
          </w:pPr>
          <w:r>
            <w:t>Wilaya</w:t>
          </w:r>
          <w:r w:rsidR="00F81574">
            <w:t xml:space="preserve"> de l’Adrar</w:t>
          </w:r>
          <w:r w:rsidR="00F6567C">
            <w:ptab w:relativeTo="margin" w:alignment="right" w:leader="dot"/>
          </w:r>
          <w:r w:rsidR="00696DE7">
            <w:t>86</w:t>
          </w:r>
        </w:p>
        <w:p w:rsidR="00F6567C" w:rsidRDefault="001246CD" w:rsidP="002F04D1">
          <w:pPr>
            <w:pStyle w:val="TM2"/>
            <w:numPr>
              <w:ilvl w:val="0"/>
              <w:numId w:val="8"/>
            </w:numPr>
          </w:pPr>
          <w:r>
            <w:t>Wilaya</w:t>
          </w:r>
          <w:r w:rsidR="00F81574">
            <w:t xml:space="preserve"> du </w:t>
          </w:r>
          <w:proofErr w:type="spellStart"/>
          <w:r w:rsidR="00F81574">
            <w:t>Dakhlet</w:t>
          </w:r>
          <w:proofErr w:type="spellEnd"/>
          <w:r w:rsidR="00F81574">
            <w:t>-Nouadhibou</w:t>
          </w:r>
          <w:r w:rsidR="00F6567C">
            <w:ptab w:relativeTo="margin" w:alignment="right" w:leader="dot"/>
          </w:r>
          <w:r w:rsidR="00696DE7">
            <w:t>93</w:t>
          </w:r>
        </w:p>
        <w:p w:rsidR="00F6567C" w:rsidRDefault="001246CD" w:rsidP="002F04D1">
          <w:pPr>
            <w:pStyle w:val="TM2"/>
            <w:numPr>
              <w:ilvl w:val="0"/>
              <w:numId w:val="8"/>
            </w:numPr>
          </w:pPr>
          <w:r>
            <w:t>Wilaya</w:t>
          </w:r>
          <w:r w:rsidR="00F067CC">
            <w:t xml:space="preserve"> du </w:t>
          </w:r>
          <w:proofErr w:type="spellStart"/>
          <w:r w:rsidR="00F067CC">
            <w:t>Tagant</w:t>
          </w:r>
          <w:proofErr w:type="spellEnd"/>
          <w:r w:rsidR="00F6567C">
            <w:ptab w:relativeTo="margin" w:alignment="right" w:leader="dot"/>
          </w:r>
          <w:r w:rsidR="00696DE7">
            <w:t>95</w:t>
          </w:r>
        </w:p>
        <w:p w:rsidR="00F6567C" w:rsidRDefault="001246CD" w:rsidP="002F04D1">
          <w:pPr>
            <w:pStyle w:val="TM2"/>
            <w:numPr>
              <w:ilvl w:val="0"/>
              <w:numId w:val="8"/>
            </w:numPr>
          </w:pPr>
          <w:r>
            <w:t>Wilaya</w:t>
          </w:r>
          <w:r w:rsidR="00F067CC">
            <w:t xml:space="preserve"> du </w:t>
          </w:r>
          <w:proofErr w:type="spellStart"/>
          <w:r w:rsidR="00F067CC">
            <w:t>Guidimakha</w:t>
          </w:r>
          <w:proofErr w:type="spellEnd"/>
          <w:r w:rsidR="00F6567C">
            <w:ptab w:relativeTo="margin" w:alignment="right" w:leader="dot"/>
          </w:r>
          <w:r w:rsidR="00696DE7">
            <w:t>101</w:t>
          </w:r>
        </w:p>
        <w:p w:rsidR="00F6567C" w:rsidRDefault="001246CD" w:rsidP="002F04D1">
          <w:pPr>
            <w:pStyle w:val="TM2"/>
            <w:numPr>
              <w:ilvl w:val="0"/>
              <w:numId w:val="8"/>
            </w:numPr>
          </w:pPr>
          <w:r>
            <w:t>Wilaya</w:t>
          </w:r>
          <w:r w:rsidR="00F067CC">
            <w:t xml:space="preserve"> du </w:t>
          </w:r>
          <w:proofErr w:type="spellStart"/>
          <w:r w:rsidR="00F067CC">
            <w:t>Tiris</w:t>
          </w:r>
          <w:proofErr w:type="spellEnd"/>
          <w:r w:rsidR="00F067CC">
            <w:t>-</w:t>
          </w:r>
          <w:proofErr w:type="spellStart"/>
          <w:r w:rsidR="00F067CC">
            <w:t>Zemmour</w:t>
          </w:r>
          <w:proofErr w:type="spellEnd"/>
          <w:r w:rsidR="00F6567C">
            <w:ptab w:relativeTo="margin" w:alignment="right" w:leader="dot"/>
          </w:r>
          <w:r w:rsidR="00696DE7">
            <w:t>106</w:t>
          </w:r>
        </w:p>
        <w:p w:rsidR="00F6567C" w:rsidRDefault="001246CD" w:rsidP="002F04D1">
          <w:pPr>
            <w:pStyle w:val="TM2"/>
            <w:numPr>
              <w:ilvl w:val="0"/>
              <w:numId w:val="8"/>
            </w:numPr>
          </w:pPr>
          <w:r>
            <w:t>Wilaya</w:t>
          </w:r>
          <w:r w:rsidR="00F067CC">
            <w:t xml:space="preserve"> de l’</w:t>
          </w:r>
          <w:proofErr w:type="spellStart"/>
          <w:r w:rsidR="00F067CC">
            <w:t>Inchiri</w:t>
          </w:r>
          <w:proofErr w:type="spellEnd"/>
          <w:r w:rsidR="00F6567C">
            <w:ptab w:relativeTo="margin" w:alignment="right" w:leader="dot"/>
          </w:r>
          <w:r w:rsidR="00696DE7">
            <w:t>111</w:t>
          </w:r>
        </w:p>
        <w:p w:rsidR="00F6567C" w:rsidRDefault="001246CD" w:rsidP="002F04D1">
          <w:pPr>
            <w:pStyle w:val="TM2"/>
            <w:numPr>
              <w:ilvl w:val="0"/>
              <w:numId w:val="8"/>
            </w:numPr>
          </w:pPr>
          <w:r>
            <w:t>Wilaya</w:t>
          </w:r>
          <w:r w:rsidR="00F067CC">
            <w:t xml:space="preserve"> de Nouakchott</w:t>
          </w:r>
          <w:r w:rsidR="00F6567C">
            <w:ptab w:relativeTo="margin" w:alignment="right" w:leader="dot"/>
          </w:r>
          <w:r w:rsidR="00696DE7">
            <w:t>113</w:t>
          </w:r>
        </w:p>
        <w:p w:rsidR="00E70DB0" w:rsidRDefault="00E70DB0" w:rsidP="00E70DB0">
          <w:pPr>
            <w:pStyle w:val="TM1"/>
          </w:pPr>
          <w:r>
            <w:rPr>
              <w:b/>
            </w:rPr>
            <w:t>Constats, propositions et recommandations</w:t>
          </w:r>
          <w:r>
            <w:ptab w:relativeTo="margin" w:alignment="right" w:leader="dot"/>
          </w:r>
          <w:r w:rsidR="0018330A">
            <w:rPr>
              <w:b/>
            </w:rPr>
            <w:t>1</w:t>
          </w:r>
          <w:r w:rsidR="00696DE7">
            <w:rPr>
              <w:b/>
            </w:rPr>
            <w:t>25</w:t>
          </w:r>
        </w:p>
        <w:p w:rsidR="00E70DB0" w:rsidRDefault="00E70DB0" w:rsidP="002F04D1">
          <w:pPr>
            <w:pStyle w:val="TM2"/>
            <w:numPr>
              <w:ilvl w:val="0"/>
              <w:numId w:val="10"/>
            </w:numPr>
          </w:pPr>
          <w:r>
            <w:t>Constats</w:t>
          </w:r>
          <w:r>
            <w:ptab w:relativeTo="margin" w:alignment="right" w:leader="dot"/>
          </w:r>
          <w:r w:rsidR="00696DE7">
            <w:t>125</w:t>
          </w:r>
        </w:p>
        <w:p w:rsidR="00E70DB0" w:rsidRDefault="00E70DB0" w:rsidP="002F04D1">
          <w:pPr>
            <w:pStyle w:val="TM2"/>
            <w:numPr>
              <w:ilvl w:val="0"/>
              <w:numId w:val="10"/>
            </w:numPr>
          </w:pPr>
          <w:r>
            <w:t>Propositions et recommandations générales</w:t>
          </w:r>
          <w:r>
            <w:ptab w:relativeTo="margin" w:alignment="right" w:leader="dot"/>
          </w:r>
          <w:r w:rsidR="00696DE7">
            <w:t>128</w:t>
          </w:r>
        </w:p>
        <w:p w:rsidR="000314D0" w:rsidRDefault="00E70DB0" w:rsidP="000314D0">
          <w:pPr>
            <w:pStyle w:val="TM1"/>
          </w:pPr>
          <w:r>
            <w:rPr>
              <w:b/>
            </w:rPr>
            <w:t>Annexes</w:t>
          </w:r>
          <w:r>
            <w:ptab w:relativeTo="margin" w:alignment="right" w:leader="dot"/>
          </w:r>
          <w:r w:rsidR="0018330A">
            <w:rPr>
              <w:b/>
            </w:rPr>
            <w:t>116</w:t>
          </w:r>
        </w:p>
      </w:sdtContent>
    </w:sdt>
    <w:p w:rsidR="00F528D8" w:rsidRPr="00093D47" w:rsidRDefault="00F528D8" w:rsidP="00F528D8">
      <w:pPr>
        <w:jc w:val="center"/>
        <w:rPr>
          <w:rFonts w:asciiTheme="minorHAnsi" w:hAnsiTheme="minorHAnsi" w:cstheme="minorHAnsi"/>
          <w:b/>
          <w:smallCaps/>
          <w:sz w:val="32"/>
          <w:szCs w:val="32"/>
        </w:rPr>
      </w:pPr>
      <w:r w:rsidRPr="00F528D8">
        <w:rPr>
          <w:rFonts w:asciiTheme="minorHAnsi" w:hAnsiTheme="minorHAnsi" w:cstheme="minorHAnsi"/>
          <w:b/>
          <w:smallCaps/>
          <w:sz w:val="32"/>
          <w:szCs w:val="32"/>
        </w:rPr>
        <w:lastRenderedPageBreak/>
        <w:t xml:space="preserve">Rapport </w:t>
      </w:r>
      <w:proofErr w:type="spellStart"/>
      <w:r w:rsidRPr="00F528D8">
        <w:rPr>
          <w:rFonts w:asciiTheme="minorHAnsi" w:hAnsiTheme="minorHAnsi" w:cstheme="minorHAnsi"/>
          <w:b/>
          <w:smallCaps/>
          <w:sz w:val="32"/>
          <w:szCs w:val="32"/>
        </w:rPr>
        <w:t>g</w:t>
      </w:r>
      <w:r w:rsidRPr="00F528D8">
        <w:rPr>
          <w:rFonts w:asciiTheme="minorHAnsi" w:hAnsiTheme="minorHAnsi" w:cstheme="minorHAnsi"/>
          <w:b/>
          <w:smallCaps/>
          <w:sz w:val="26"/>
          <w:szCs w:val="26"/>
        </w:rPr>
        <w:t>É</w:t>
      </w:r>
      <w:r>
        <w:rPr>
          <w:rFonts w:asciiTheme="minorHAnsi" w:hAnsiTheme="minorHAnsi" w:cstheme="minorHAnsi"/>
          <w:b/>
          <w:smallCaps/>
          <w:sz w:val="26"/>
          <w:szCs w:val="26"/>
        </w:rPr>
        <w:t>N</w:t>
      </w:r>
      <w:r w:rsidRPr="00F528D8">
        <w:rPr>
          <w:rFonts w:asciiTheme="minorHAnsi" w:hAnsiTheme="minorHAnsi" w:cstheme="minorHAnsi"/>
          <w:b/>
          <w:smallCaps/>
          <w:sz w:val="26"/>
          <w:szCs w:val="26"/>
        </w:rPr>
        <w:t>É</w:t>
      </w:r>
      <w:r w:rsidRPr="00F528D8">
        <w:rPr>
          <w:rFonts w:asciiTheme="minorHAnsi" w:hAnsiTheme="minorHAnsi" w:cstheme="minorHAnsi"/>
          <w:b/>
          <w:smallCaps/>
          <w:sz w:val="32"/>
          <w:szCs w:val="32"/>
        </w:rPr>
        <w:t>ral</w:t>
      </w:r>
      <w:proofErr w:type="spellEnd"/>
      <w:r w:rsidRPr="00F528D8">
        <w:rPr>
          <w:rFonts w:ascii="Arial" w:hAnsi="Arial" w:cs="Arial"/>
          <w:b/>
          <w:smallCaps/>
          <w:sz w:val="32"/>
          <w:szCs w:val="32"/>
        </w:rPr>
        <w:t xml:space="preserve"> </w:t>
      </w:r>
      <w:r w:rsidRPr="00F528D8">
        <w:rPr>
          <w:rFonts w:asciiTheme="minorHAnsi" w:hAnsiTheme="minorHAnsi" w:cstheme="minorHAnsi"/>
          <w:b/>
          <w:smallCaps/>
          <w:sz w:val="32"/>
          <w:szCs w:val="32"/>
        </w:rPr>
        <w:t>et financier</w:t>
      </w:r>
      <w:r>
        <w:rPr>
          <w:rFonts w:asciiTheme="minorHAnsi" w:hAnsiTheme="minorHAnsi" w:cstheme="minorHAnsi"/>
          <w:b/>
          <w:smallCaps/>
          <w:sz w:val="32"/>
          <w:szCs w:val="32"/>
        </w:rPr>
        <w:t xml:space="preserve"> 2013</w:t>
      </w:r>
      <w:r w:rsidRPr="00093D47">
        <w:rPr>
          <w:rFonts w:asciiTheme="minorHAnsi" w:hAnsiTheme="minorHAnsi" w:cstheme="minorHAnsi"/>
          <w:b/>
          <w:smallCaps/>
          <w:sz w:val="32"/>
          <w:szCs w:val="32"/>
        </w:rPr>
        <w:t xml:space="preserve"> sur l’utilisation des </w:t>
      </w:r>
      <w:proofErr w:type="spellStart"/>
      <w:r w:rsidRPr="00093D47">
        <w:rPr>
          <w:rFonts w:asciiTheme="minorHAnsi" w:hAnsiTheme="minorHAnsi" w:cstheme="minorHAnsi"/>
          <w:b/>
          <w:smallCaps/>
          <w:sz w:val="32"/>
          <w:szCs w:val="32"/>
        </w:rPr>
        <w:t>cr</w:t>
      </w:r>
      <w:r w:rsidRPr="00F528D8">
        <w:rPr>
          <w:rFonts w:asciiTheme="minorHAnsi" w:hAnsiTheme="minorHAnsi" w:cstheme="minorHAnsi"/>
          <w:b/>
          <w:smallCaps/>
          <w:sz w:val="26"/>
          <w:szCs w:val="26"/>
        </w:rPr>
        <w:t>É</w:t>
      </w:r>
      <w:r w:rsidRPr="00093D47">
        <w:rPr>
          <w:rFonts w:asciiTheme="minorHAnsi" w:hAnsiTheme="minorHAnsi" w:cstheme="minorHAnsi"/>
          <w:b/>
          <w:smallCaps/>
          <w:sz w:val="32"/>
          <w:szCs w:val="32"/>
        </w:rPr>
        <w:t>dits</w:t>
      </w:r>
      <w:proofErr w:type="spellEnd"/>
      <w:r w:rsidRPr="00093D47">
        <w:rPr>
          <w:rFonts w:asciiTheme="minorHAnsi" w:hAnsiTheme="minorHAnsi" w:cstheme="minorHAnsi"/>
          <w:b/>
          <w:smallCaps/>
          <w:sz w:val="32"/>
          <w:szCs w:val="32"/>
        </w:rPr>
        <w:t xml:space="preserve"> d’</w:t>
      </w:r>
      <w:r w:rsidRPr="00F528D8">
        <w:rPr>
          <w:rFonts w:asciiTheme="minorHAnsi" w:hAnsiTheme="minorHAnsi" w:cstheme="minorHAnsi"/>
          <w:b/>
          <w:smallCaps/>
          <w:sz w:val="26"/>
          <w:szCs w:val="26"/>
        </w:rPr>
        <w:t>É</w:t>
      </w:r>
      <w:r w:rsidRPr="00093D47">
        <w:rPr>
          <w:rFonts w:asciiTheme="minorHAnsi" w:hAnsiTheme="minorHAnsi" w:cstheme="minorHAnsi"/>
          <w:b/>
          <w:smallCaps/>
          <w:sz w:val="32"/>
          <w:szCs w:val="32"/>
        </w:rPr>
        <w:t>quipement du Fond</w:t>
      </w:r>
      <w:r>
        <w:rPr>
          <w:rFonts w:asciiTheme="minorHAnsi" w:hAnsiTheme="minorHAnsi" w:cstheme="minorHAnsi"/>
          <w:b/>
          <w:smallCaps/>
          <w:sz w:val="32"/>
          <w:szCs w:val="32"/>
        </w:rPr>
        <w:t>s</w:t>
      </w:r>
      <w:r w:rsidRPr="00093D47">
        <w:rPr>
          <w:rFonts w:asciiTheme="minorHAnsi" w:hAnsiTheme="minorHAnsi" w:cstheme="minorHAnsi"/>
          <w:b/>
          <w:smallCaps/>
          <w:sz w:val="32"/>
          <w:szCs w:val="32"/>
        </w:rPr>
        <w:t xml:space="preserve"> </w:t>
      </w:r>
      <w:proofErr w:type="spellStart"/>
      <w:r w:rsidRPr="00093D47">
        <w:rPr>
          <w:rFonts w:asciiTheme="minorHAnsi" w:hAnsiTheme="minorHAnsi" w:cstheme="minorHAnsi"/>
          <w:b/>
          <w:smallCaps/>
          <w:sz w:val="32"/>
          <w:szCs w:val="32"/>
        </w:rPr>
        <w:t>R</w:t>
      </w:r>
      <w:r w:rsidRPr="00F528D8">
        <w:rPr>
          <w:rFonts w:asciiTheme="minorHAnsi" w:hAnsiTheme="minorHAnsi" w:cstheme="minorHAnsi"/>
          <w:b/>
          <w:smallCaps/>
          <w:sz w:val="26"/>
          <w:szCs w:val="26"/>
        </w:rPr>
        <w:t>É</w:t>
      </w:r>
      <w:r w:rsidRPr="00093D47">
        <w:rPr>
          <w:rFonts w:asciiTheme="minorHAnsi" w:hAnsiTheme="minorHAnsi" w:cstheme="minorHAnsi"/>
          <w:b/>
          <w:smallCaps/>
          <w:sz w:val="32"/>
          <w:szCs w:val="32"/>
        </w:rPr>
        <w:t>gional</w:t>
      </w:r>
      <w:proofErr w:type="spellEnd"/>
      <w:r w:rsidRPr="00093D47">
        <w:rPr>
          <w:rFonts w:asciiTheme="minorHAnsi" w:hAnsiTheme="minorHAnsi" w:cstheme="minorHAnsi"/>
          <w:b/>
          <w:smallCaps/>
          <w:sz w:val="32"/>
          <w:szCs w:val="32"/>
        </w:rPr>
        <w:t xml:space="preserve"> de </w:t>
      </w:r>
      <w:proofErr w:type="spellStart"/>
      <w:r w:rsidRPr="00093D47">
        <w:rPr>
          <w:rFonts w:asciiTheme="minorHAnsi" w:hAnsiTheme="minorHAnsi" w:cstheme="minorHAnsi"/>
          <w:b/>
          <w:smallCaps/>
          <w:sz w:val="32"/>
          <w:szCs w:val="32"/>
        </w:rPr>
        <w:t>D</w:t>
      </w:r>
      <w:r w:rsidRPr="00F528D8">
        <w:rPr>
          <w:rFonts w:asciiTheme="minorHAnsi" w:hAnsiTheme="minorHAnsi" w:cstheme="minorHAnsi"/>
          <w:b/>
          <w:smallCaps/>
          <w:sz w:val="26"/>
          <w:szCs w:val="26"/>
        </w:rPr>
        <w:t>É</w:t>
      </w:r>
      <w:r w:rsidRPr="00093D47">
        <w:rPr>
          <w:rFonts w:asciiTheme="minorHAnsi" w:hAnsiTheme="minorHAnsi" w:cstheme="minorHAnsi"/>
          <w:b/>
          <w:smallCaps/>
          <w:sz w:val="32"/>
          <w:szCs w:val="32"/>
        </w:rPr>
        <w:t>veloppement</w:t>
      </w:r>
      <w:proofErr w:type="spellEnd"/>
    </w:p>
    <w:p w:rsidR="00F528D8" w:rsidRPr="0009391D" w:rsidRDefault="00F528D8" w:rsidP="002F04D1">
      <w:pPr>
        <w:pStyle w:val="Paragraphedeliste"/>
        <w:numPr>
          <w:ilvl w:val="0"/>
          <w:numId w:val="11"/>
        </w:numPr>
        <w:jc w:val="center"/>
        <w:rPr>
          <w:rFonts w:asciiTheme="minorHAnsi" w:hAnsiTheme="minorHAnsi" w:cstheme="minorHAnsi"/>
          <w:b/>
          <w:smallCaps/>
          <w:sz w:val="32"/>
          <w:szCs w:val="32"/>
        </w:rPr>
      </w:pPr>
    </w:p>
    <w:p w:rsidR="00F528D8" w:rsidRPr="00093D47" w:rsidRDefault="00F528D8" w:rsidP="00F528D8">
      <w:pPr>
        <w:jc w:val="center"/>
        <w:rPr>
          <w:rFonts w:asciiTheme="minorHAnsi" w:hAnsiTheme="minorHAnsi" w:cstheme="minorHAnsi"/>
          <w:b/>
          <w:smallCaps/>
          <w:sz w:val="32"/>
          <w:szCs w:val="32"/>
        </w:rPr>
      </w:pPr>
      <w:r>
        <w:rPr>
          <w:rFonts w:asciiTheme="minorHAnsi" w:hAnsiTheme="minorHAnsi" w:cstheme="minorHAnsi"/>
          <w:b/>
          <w:smallCaps/>
          <w:sz w:val="32"/>
          <w:szCs w:val="32"/>
        </w:rPr>
        <w:t>Exercice 2012</w:t>
      </w:r>
    </w:p>
    <w:p w:rsidR="00472166" w:rsidRPr="004846A4" w:rsidRDefault="00472166">
      <w:pPr>
        <w:rPr>
          <w:rFonts w:asciiTheme="minorHAnsi" w:hAnsiTheme="minorHAnsi" w:cstheme="minorHAnsi"/>
        </w:rPr>
      </w:pPr>
    </w:p>
    <w:p w:rsidR="00ED70A0" w:rsidRDefault="00ED70A0" w:rsidP="00ED70A0">
      <w:pPr>
        <w:jc w:val="both"/>
        <w:rPr>
          <w:rFonts w:asciiTheme="minorHAnsi" w:hAnsiTheme="minorHAnsi" w:cstheme="minorHAnsi"/>
          <w:sz w:val="22"/>
          <w:szCs w:val="22"/>
        </w:rPr>
      </w:pPr>
      <w:r>
        <w:rPr>
          <w:rFonts w:asciiTheme="minorHAnsi" w:hAnsiTheme="minorHAnsi" w:cstheme="minorHAnsi"/>
          <w:sz w:val="22"/>
          <w:szCs w:val="22"/>
        </w:rPr>
        <w:t>Ce r</w:t>
      </w:r>
      <w:r w:rsidR="00220EC6">
        <w:rPr>
          <w:rFonts w:asciiTheme="minorHAnsi" w:hAnsiTheme="minorHAnsi" w:cstheme="minorHAnsi"/>
          <w:sz w:val="22"/>
          <w:szCs w:val="22"/>
        </w:rPr>
        <w:t>apport général et financier 2013</w:t>
      </w:r>
      <w:r>
        <w:rPr>
          <w:rFonts w:asciiTheme="minorHAnsi" w:hAnsiTheme="minorHAnsi" w:cstheme="minorHAnsi"/>
          <w:sz w:val="22"/>
          <w:szCs w:val="22"/>
        </w:rPr>
        <w:t>, quatrième du nom, porte sur l’utilisation par les communes des crédits d’équipement du FRD 2012, conformément au décret n°2011-059 du 14 février 2011 portant création du Fonds Régional de Développement (FRD). Lequel a pour objectif de contribuer à renforcer le transfert financier de l’</w:t>
      </w:r>
      <w:r w:rsidRPr="00B646B9">
        <w:rPr>
          <w:rFonts w:asciiTheme="minorHAnsi" w:hAnsiTheme="minorHAnsi" w:cstheme="minorHAnsi"/>
          <w:smallCaps/>
          <w:sz w:val="22"/>
          <w:szCs w:val="22"/>
        </w:rPr>
        <w:t>É</w:t>
      </w:r>
      <w:r>
        <w:rPr>
          <w:rFonts w:asciiTheme="minorHAnsi" w:hAnsiTheme="minorHAnsi" w:cstheme="minorHAnsi"/>
          <w:sz w:val="22"/>
          <w:szCs w:val="22"/>
        </w:rPr>
        <w:t>tat aux communes en vue d’améliorer les ressources mises à leur disposition et promouvoir l’accès de leurs administrés aux services de base, en application de la Déclaration de politique de décentralisation et de développement adoptée par le gouvernement le 22 avril 2010.</w:t>
      </w:r>
    </w:p>
    <w:p w:rsidR="003417C7" w:rsidRDefault="003417C7" w:rsidP="00ED70A0">
      <w:pPr>
        <w:jc w:val="both"/>
        <w:rPr>
          <w:rFonts w:asciiTheme="minorHAnsi" w:hAnsiTheme="minorHAnsi" w:cstheme="minorHAnsi"/>
          <w:sz w:val="22"/>
          <w:szCs w:val="22"/>
        </w:rPr>
      </w:pPr>
    </w:p>
    <w:p w:rsidR="00ED70A0" w:rsidRDefault="00ED70A0" w:rsidP="00ED70A0">
      <w:pPr>
        <w:jc w:val="both"/>
        <w:rPr>
          <w:rFonts w:asciiTheme="minorHAnsi" w:hAnsiTheme="minorHAnsi" w:cstheme="minorHAnsi"/>
          <w:sz w:val="22"/>
          <w:szCs w:val="22"/>
        </w:rPr>
      </w:pPr>
      <w:r>
        <w:rPr>
          <w:rFonts w:asciiTheme="minorHAnsi" w:hAnsiTheme="minorHAnsi" w:cstheme="minorHAnsi"/>
          <w:sz w:val="22"/>
          <w:szCs w:val="22"/>
        </w:rPr>
        <w:t>La répartition des crédits du FRD est basée principalement sur les critères suivants :</w:t>
      </w:r>
    </w:p>
    <w:p w:rsidR="00ED70A0" w:rsidRDefault="00220EC6" w:rsidP="002F04D1">
      <w:pPr>
        <w:pStyle w:val="Paragraphedeliste"/>
        <w:numPr>
          <w:ilvl w:val="0"/>
          <w:numId w:val="12"/>
        </w:numPr>
        <w:jc w:val="both"/>
        <w:rPr>
          <w:rFonts w:asciiTheme="minorHAnsi" w:hAnsiTheme="minorHAnsi" w:cstheme="minorHAnsi"/>
          <w:sz w:val="22"/>
          <w:szCs w:val="22"/>
        </w:rPr>
      </w:pPr>
      <w:r>
        <w:rPr>
          <w:rFonts w:asciiTheme="minorHAnsi" w:hAnsiTheme="minorHAnsi" w:cstheme="minorHAnsi"/>
          <w:sz w:val="22"/>
          <w:szCs w:val="22"/>
        </w:rPr>
        <w:t>l</w:t>
      </w:r>
      <w:r w:rsidR="00ED70A0">
        <w:rPr>
          <w:rFonts w:asciiTheme="minorHAnsi" w:hAnsiTheme="minorHAnsi" w:cstheme="minorHAnsi"/>
          <w:sz w:val="22"/>
          <w:szCs w:val="22"/>
        </w:rPr>
        <w:t>e facteur démographique à raison de 50% ;</w:t>
      </w:r>
    </w:p>
    <w:p w:rsidR="00ED70A0" w:rsidRDefault="00ED70A0" w:rsidP="002F04D1">
      <w:pPr>
        <w:pStyle w:val="Paragraphedeliste"/>
        <w:numPr>
          <w:ilvl w:val="0"/>
          <w:numId w:val="12"/>
        </w:numPr>
        <w:jc w:val="both"/>
        <w:rPr>
          <w:rFonts w:asciiTheme="minorHAnsi" w:hAnsiTheme="minorHAnsi" w:cstheme="minorHAnsi"/>
          <w:sz w:val="22"/>
          <w:szCs w:val="22"/>
        </w:rPr>
      </w:pPr>
      <w:r>
        <w:rPr>
          <w:rFonts w:asciiTheme="minorHAnsi" w:hAnsiTheme="minorHAnsi" w:cstheme="minorHAnsi"/>
          <w:sz w:val="22"/>
          <w:szCs w:val="22"/>
        </w:rPr>
        <w:t>le taux de pauvreté à raison de 20% ;</w:t>
      </w:r>
    </w:p>
    <w:p w:rsidR="00ED70A0" w:rsidRDefault="00861189" w:rsidP="002F04D1">
      <w:pPr>
        <w:pStyle w:val="Paragraphedeliste"/>
        <w:numPr>
          <w:ilvl w:val="0"/>
          <w:numId w:val="12"/>
        </w:numPr>
        <w:jc w:val="both"/>
        <w:rPr>
          <w:rFonts w:asciiTheme="minorHAnsi" w:hAnsiTheme="minorHAnsi" w:cstheme="minorHAnsi"/>
          <w:sz w:val="22"/>
          <w:szCs w:val="22"/>
        </w:rPr>
      </w:pPr>
      <w:r>
        <w:rPr>
          <w:rFonts w:asciiTheme="minorHAnsi" w:hAnsiTheme="minorHAnsi" w:cstheme="minorHAnsi"/>
          <w:sz w:val="22"/>
          <w:szCs w:val="22"/>
        </w:rPr>
        <w:t>le gap</w:t>
      </w:r>
      <w:r w:rsidR="00ED70A0">
        <w:rPr>
          <w:rFonts w:asciiTheme="minorHAnsi" w:hAnsiTheme="minorHAnsi" w:cstheme="minorHAnsi"/>
          <w:sz w:val="22"/>
          <w:szCs w:val="22"/>
        </w:rPr>
        <w:t xml:space="preserve"> d’infrastructures</w:t>
      </w:r>
      <w:r>
        <w:rPr>
          <w:rFonts w:asciiTheme="minorHAnsi" w:hAnsiTheme="minorHAnsi" w:cstheme="minorHAnsi"/>
          <w:sz w:val="22"/>
          <w:szCs w:val="22"/>
        </w:rPr>
        <w:t>/retard d’équipement</w:t>
      </w:r>
      <w:r w:rsidR="00ED70A0">
        <w:rPr>
          <w:rFonts w:asciiTheme="minorHAnsi" w:hAnsiTheme="minorHAnsi" w:cstheme="minorHAnsi"/>
          <w:sz w:val="22"/>
          <w:szCs w:val="22"/>
        </w:rPr>
        <w:t xml:space="preserve"> à raison de 18% ;</w:t>
      </w:r>
    </w:p>
    <w:p w:rsidR="00220EC6" w:rsidRDefault="00220EC6" w:rsidP="00ED70A0">
      <w:pPr>
        <w:jc w:val="both"/>
        <w:rPr>
          <w:rFonts w:asciiTheme="minorHAnsi" w:hAnsiTheme="minorHAnsi" w:cstheme="minorHAnsi"/>
          <w:sz w:val="22"/>
          <w:szCs w:val="22"/>
        </w:rPr>
      </w:pPr>
    </w:p>
    <w:p w:rsidR="00ED70A0" w:rsidRPr="005B408C" w:rsidRDefault="00ED70A0" w:rsidP="00ED70A0">
      <w:pPr>
        <w:jc w:val="both"/>
        <w:rPr>
          <w:rFonts w:asciiTheme="minorHAnsi" w:hAnsiTheme="minorHAnsi" w:cstheme="minorHAnsi"/>
          <w:sz w:val="22"/>
          <w:szCs w:val="22"/>
        </w:rPr>
      </w:pPr>
      <w:r>
        <w:rPr>
          <w:rFonts w:asciiTheme="minorHAnsi" w:hAnsiTheme="minorHAnsi" w:cstheme="minorHAnsi"/>
          <w:sz w:val="22"/>
          <w:szCs w:val="22"/>
        </w:rPr>
        <w:t>Une part forfaitaire à raison de 10% est répartie de manière égale e</w:t>
      </w:r>
      <w:r w:rsidR="00220EC6">
        <w:rPr>
          <w:rFonts w:asciiTheme="minorHAnsi" w:hAnsiTheme="minorHAnsi" w:cstheme="minorHAnsi"/>
          <w:sz w:val="22"/>
          <w:szCs w:val="22"/>
        </w:rPr>
        <w:t>ntre toutes les communes</w:t>
      </w:r>
      <w:r>
        <w:rPr>
          <w:rFonts w:asciiTheme="minorHAnsi" w:hAnsiTheme="minorHAnsi" w:cstheme="minorHAnsi"/>
          <w:sz w:val="22"/>
          <w:szCs w:val="22"/>
        </w:rPr>
        <w:t>.</w:t>
      </w:r>
    </w:p>
    <w:p w:rsidR="00ED70A0" w:rsidRDefault="00ED70A0" w:rsidP="00ED70A0">
      <w:pPr>
        <w:jc w:val="both"/>
        <w:rPr>
          <w:rFonts w:asciiTheme="minorHAnsi" w:hAnsiTheme="minorHAnsi" w:cstheme="minorHAnsi"/>
          <w:sz w:val="22"/>
          <w:szCs w:val="22"/>
        </w:rPr>
      </w:pPr>
      <w:r>
        <w:rPr>
          <w:rFonts w:asciiTheme="minorHAnsi" w:hAnsiTheme="minorHAnsi" w:cstheme="minorHAnsi"/>
          <w:sz w:val="22"/>
          <w:szCs w:val="22"/>
        </w:rPr>
        <w:t>Le décret du 14 février 2011 prévoit en outre la mise en place d’un Comité Technique National (CTN) d</w:t>
      </w:r>
      <w:r w:rsidR="00220EC6">
        <w:rPr>
          <w:rFonts w:asciiTheme="minorHAnsi" w:hAnsiTheme="minorHAnsi" w:cstheme="minorHAnsi"/>
          <w:sz w:val="22"/>
          <w:szCs w:val="22"/>
        </w:rPr>
        <w:t>e suivi-</w:t>
      </w:r>
      <w:r>
        <w:rPr>
          <w:rFonts w:asciiTheme="minorHAnsi" w:hAnsiTheme="minorHAnsi" w:cstheme="minorHAnsi"/>
          <w:sz w:val="22"/>
          <w:szCs w:val="22"/>
        </w:rPr>
        <w:t>évaluation du FRD. Les arrêtés conjoints MIDEC/MF n°592 et 593 du 6 avril 2011 ont permis l’opérationnalisation de ce CTN au moyen de la mise en place d’un dispositif de reportage de l’utilisation des crédits d’équipement FRD sur la base duquel est rédigé le rapport général et financier annuel présenté en Conseil des Ministres.</w:t>
      </w:r>
    </w:p>
    <w:p w:rsidR="00ED70A0" w:rsidRDefault="00ED70A0" w:rsidP="00ED70A0">
      <w:pPr>
        <w:jc w:val="both"/>
        <w:rPr>
          <w:rFonts w:asciiTheme="minorHAnsi" w:hAnsiTheme="minorHAnsi" w:cstheme="minorHAnsi"/>
          <w:sz w:val="22"/>
          <w:szCs w:val="22"/>
        </w:rPr>
      </w:pPr>
    </w:p>
    <w:p w:rsidR="003417C7" w:rsidRDefault="003417C7" w:rsidP="00ED70A0">
      <w:pPr>
        <w:jc w:val="both"/>
        <w:rPr>
          <w:rFonts w:asciiTheme="minorHAnsi" w:hAnsiTheme="minorHAnsi" w:cstheme="minorHAnsi"/>
          <w:sz w:val="22"/>
          <w:szCs w:val="22"/>
        </w:rPr>
      </w:pPr>
      <w:r>
        <w:rPr>
          <w:rFonts w:asciiTheme="minorHAnsi" w:hAnsiTheme="minorHAnsi" w:cstheme="minorHAnsi"/>
          <w:sz w:val="22"/>
          <w:szCs w:val="22"/>
        </w:rPr>
        <w:t xml:space="preserve">2012 constate donc la </w:t>
      </w:r>
      <w:r w:rsidR="00ED70A0">
        <w:rPr>
          <w:rFonts w:asciiTheme="minorHAnsi" w:hAnsiTheme="minorHAnsi" w:cstheme="minorHAnsi"/>
          <w:sz w:val="22"/>
          <w:szCs w:val="22"/>
        </w:rPr>
        <w:t xml:space="preserve">mise en œuvre des dispositions visant à améliorer le fonctionnement de ce fonds et à renforcer les capacités financières des communes en matière d’investissement. Pour mémoire, rappelons que la part du FRD consacrée à l’investissement communal, dite « part d’équipement », est passée de 55 à 68 % </w:t>
      </w:r>
      <w:r w:rsidR="000E11A0">
        <w:rPr>
          <w:rFonts w:asciiTheme="minorHAnsi" w:hAnsiTheme="minorHAnsi" w:cstheme="minorHAnsi"/>
          <w:sz w:val="22"/>
          <w:szCs w:val="22"/>
        </w:rPr>
        <w:t xml:space="preserve">(part proportionnelle à la population : 50% et part compensatrice du retard d’équipement : 18%) </w:t>
      </w:r>
      <w:r w:rsidR="00ED70A0">
        <w:rPr>
          <w:rFonts w:asciiTheme="minorHAnsi" w:hAnsiTheme="minorHAnsi" w:cstheme="minorHAnsi"/>
          <w:sz w:val="22"/>
          <w:szCs w:val="22"/>
        </w:rPr>
        <w:t>du total, grâce à la réduction de la part consacrée à son suivi évaluation (de 10 à 2 % du total) et au fonctionnement des communes (de 35 à 30 % du total</w:t>
      </w:r>
      <w:r w:rsidR="000E11A0">
        <w:rPr>
          <w:rFonts w:asciiTheme="minorHAnsi" w:hAnsiTheme="minorHAnsi" w:cstheme="minorHAnsi"/>
          <w:sz w:val="22"/>
          <w:szCs w:val="22"/>
        </w:rPr>
        <w:t xml:space="preserve"> se décomposant</w:t>
      </w:r>
      <w:r w:rsidR="00220EC6">
        <w:rPr>
          <w:rFonts w:asciiTheme="minorHAnsi" w:hAnsiTheme="minorHAnsi" w:cstheme="minorHAnsi"/>
          <w:sz w:val="22"/>
          <w:szCs w:val="22"/>
        </w:rPr>
        <w:t xml:space="preserve"> comme suit : part forfaitaire à</w:t>
      </w:r>
      <w:r w:rsidR="000E11A0">
        <w:rPr>
          <w:rFonts w:asciiTheme="minorHAnsi" w:hAnsiTheme="minorHAnsi" w:cstheme="minorHAnsi"/>
          <w:sz w:val="22"/>
          <w:szCs w:val="22"/>
        </w:rPr>
        <w:t xml:space="preserve"> 10% et part proporti</w:t>
      </w:r>
      <w:r w:rsidR="00220EC6">
        <w:rPr>
          <w:rFonts w:asciiTheme="minorHAnsi" w:hAnsiTheme="minorHAnsi" w:cstheme="minorHAnsi"/>
          <w:sz w:val="22"/>
          <w:szCs w:val="22"/>
        </w:rPr>
        <w:t>onnelle à la population pauvre à</w:t>
      </w:r>
      <w:r w:rsidR="000E11A0">
        <w:rPr>
          <w:rFonts w:asciiTheme="minorHAnsi" w:hAnsiTheme="minorHAnsi" w:cstheme="minorHAnsi"/>
          <w:sz w:val="22"/>
          <w:szCs w:val="22"/>
        </w:rPr>
        <w:t xml:space="preserve"> 20%</w:t>
      </w:r>
      <w:r w:rsidR="00ED70A0">
        <w:rPr>
          <w:rFonts w:asciiTheme="minorHAnsi" w:hAnsiTheme="minorHAnsi" w:cstheme="minorHAnsi"/>
          <w:sz w:val="22"/>
          <w:szCs w:val="22"/>
        </w:rPr>
        <w:t>)</w:t>
      </w:r>
      <w:r w:rsidR="000E11A0">
        <w:rPr>
          <w:rFonts w:asciiTheme="minorHAnsi" w:hAnsiTheme="minorHAnsi" w:cstheme="minorHAnsi"/>
          <w:sz w:val="22"/>
          <w:szCs w:val="22"/>
        </w:rPr>
        <w:t>.</w:t>
      </w:r>
    </w:p>
    <w:p w:rsidR="00ED70A0" w:rsidRDefault="001F2D69" w:rsidP="00ED70A0">
      <w:pPr>
        <w:jc w:val="both"/>
        <w:rPr>
          <w:rFonts w:asciiTheme="minorHAnsi" w:hAnsiTheme="minorHAnsi" w:cstheme="minorHAnsi"/>
          <w:sz w:val="22"/>
          <w:szCs w:val="22"/>
        </w:rPr>
      </w:pPr>
      <w:r>
        <w:rPr>
          <w:rFonts w:asciiTheme="minorHAnsi" w:hAnsiTheme="minorHAnsi" w:cstheme="minorHAnsi"/>
          <w:sz w:val="22"/>
          <w:szCs w:val="22"/>
        </w:rPr>
        <w:t>La répartition des 3 500 000 000 MRO au titre du FRD 2012 s’est donc traduite de la manière suivante :</w:t>
      </w:r>
    </w:p>
    <w:p w:rsidR="001F2D69" w:rsidRDefault="001F2D69" w:rsidP="002F04D1">
      <w:pPr>
        <w:pStyle w:val="Paragraphedeliste"/>
        <w:numPr>
          <w:ilvl w:val="0"/>
          <w:numId w:val="13"/>
        </w:numPr>
        <w:jc w:val="both"/>
        <w:rPr>
          <w:rFonts w:asciiTheme="minorHAnsi" w:hAnsiTheme="minorHAnsi" w:cstheme="minorHAnsi"/>
          <w:sz w:val="22"/>
          <w:szCs w:val="22"/>
        </w:rPr>
      </w:pPr>
      <w:r>
        <w:rPr>
          <w:rFonts w:asciiTheme="minorHAnsi" w:hAnsiTheme="minorHAnsi" w:cstheme="minorHAnsi"/>
          <w:sz w:val="22"/>
          <w:szCs w:val="22"/>
        </w:rPr>
        <w:t>Part équipement des communes : 2 379 999</w:t>
      </w:r>
      <w:r w:rsidR="00BE77E2">
        <w:rPr>
          <w:rFonts w:asciiTheme="minorHAnsi" w:hAnsiTheme="minorHAnsi" w:cstheme="minorHAnsi"/>
          <w:sz w:val="22"/>
          <w:szCs w:val="22"/>
        </w:rPr>
        <w:t> </w:t>
      </w:r>
      <w:r>
        <w:rPr>
          <w:rFonts w:asciiTheme="minorHAnsi" w:hAnsiTheme="minorHAnsi" w:cstheme="minorHAnsi"/>
          <w:sz w:val="22"/>
          <w:szCs w:val="22"/>
        </w:rPr>
        <w:t>895</w:t>
      </w:r>
      <w:r w:rsidR="00BE77E2">
        <w:rPr>
          <w:rFonts w:asciiTheme="minorHAnsi" w:hAnsiTheme="minorHAnsi" w:cstheme="minorHAnsi"/>
          <w:sz w:val="22"/>
          <w:szCs w:val="22"/>
        </w:rPr>
        <w:t xml:space="preserve"> MRO</w:t>
      </w:r>
      <w:r w:rsidR="00861189">
        <w:rPr>
          <w:rFonts w:asciiTheme="minorHAnsi" w:hAnsiTheme="minorHAnsi" w:cstheme="minorHAnsi"/>
          <w:sz w:val="22"/>
          <w:szCs w:val="22"/>
        </w:rPr>
        <w:t xml:space="preserve"> arrondis à 2 380 000 000 MRO</w:t>
      </w:r>
      <w:r>
        <w:rPr>
          <w:rFonts w:asciiTheme="minorHAnsi" w:hAnsiTheme="minorHAnsi" w:cstheme="minorHAnsi"/>
          <w:sz w:val="22"/>
          <w:szCs w:val="22"/>
        </w:rPr>
        <w:t> ;</w:t>
      </w:r>
    </w:p>
    <w:p w:rsidR="001F2D69" w:rsidRDefault="001F2D69" w:rsidP="002F04D1">
      <w:pPr>
        <w:pStyle w:val="Paragraphedeliste"/>
        <w:numPr>
          <w:ilvl w:val="0"/>
          <w:numId w:val="13"/>
        </w:numPr>
        <w:jc w:val="both"/>
        <w:rPr>
          <w:rFonts w:asciiTheme="minorHAnsi" w:hAnsiTheme="minorHAnsi" w:cstheme="minorHAnsi"/>
          <w:sz w:val="22"/>
          <w:szCs w:val="22"/>
        </w:rPr>
      </w:pPr>
      <w:r>
        <w:rPr>
          <w:rFonts w:asciiTheme="minorHAnsi" w:hAnsiTheme="minorHAnsi" w:cstheme="minorHAnsi"/>
          <w:sz w:val="22"/>
          <w:szCs w:val="22"/>
        </w:rPr>
        <w:t>Part fonctionnement des communes : 1 049 999</w:t>
      </w:r>
      <w:r w:rsidR="00BE77E2">
        <w:rPr>
          <w:rFonts w:asciiTheme="minorHAnsi" w:hAnsiTheme="minorHAnsi" w:cstheme="minorHAnsi"/>
          <w:sz w:val="22"/>
          <w:szCs w:val="22"/>
        </w:rPr>
        <w:t> </w:t>
      </w:r>
      <w:r>
        <w:rPr>
          <w:rFonts w:asciiTheme="minorHAnsi" w:hAnsiTheme="minorHAnsi" w:cstheme="minorHAnsi"/>
          <w:sz w:val="22"/>
          <w:szCs w:val="22"/>
        </w:rPr>
        <w:t>809</w:t>
      </w:r>
      <w:r w:rsidR="00BE77E2">
        <w:rPr>
          <w:rFonts w:asciiTheme="minorHAnsi" w:hAnsiTheme="minorHAnsi" w:cstheme="minorHAnsi"/>
          <w:sz w:val="22"/>
          <w:szCs w:val="22"/>
        </w:rPr>
        <w:t xml:space="preserve"> MRO</w:t>
      </w:r>
      <w:r w:rsidR="00861189">
        <w:rPr>
          <w:rFonts w:asciiTheme="minorHAnsi" w:hAnsiTheme="minorHAnsi" w:cstheme="minorHAnsi"/>
          <w:sz w:val="22"/>
          <w:szCs w:val="22"/>
        </w:rPr>
        <w:t xml:space="preserve"> arrondis à 1 050 000 000 MRO</w:t>
      </w:r>
      <w:r>
        <w:rPr>
          <w:rFonts w:asciiTheme="minorHAnsi" w:hAnsiTheme="minorHAnsi" w:cstheme="minorHAnsi"/>
          <w:sz w:val="22"/>
          <w:szCs w:val="22"/>
        </w:rPr>
        <w:t> ;</w:t>
      </w:r>
    </w:p>
    <w:p w:rsidR="001F2D69" w:rsidRPr="001F2D69" w:rsidRDefault="001F2D69" w:rsidP="002F04D1">
      <w:pPr>
        <w:pStyle w:val="Paragraphedeliste"/>
        <w:numPr>
          <w:ilvl w:val="0"/>
          <w:numId w:val="13"/>
        </w:numPr>
        <w:jc w:val="both"/>
        <w:rPr>
          <w:rFonts w:asciiTheme="minorHAnsi" w:hAnsiTheme="minorHAnsi" w:cstheme="minorHAnsi"/>
          <w:sz w:val="22"/>
          <w:szCs w:val="22"/>
        </w:rPr>
      </w:pPr>
      <w:r>
        <w:rPr>
          <w:rFonts w:asciiTheme="minorHAnsi" w:hAnsiTheme="minorHAnsi" w:cstheme="minorHAnsi"/>
          <w:sz w:val="22"/>
          <w:szCs w:val="22"/>
        </w:rPr>
        <w:t>Part suivi-évaluation du fonds : 70 000</w:t>
      </w:r>
      <w:r w:rsidR="00BE77E2">
        <w:rPr>
          <w:rFonts w:asciiTheme="minorHAnsi" w:hAnsiTheme="minorHAnsi" w:cstheme="minorHAnsi"/>
          <w:sz w:val="22"/>
          <w:szCs w:val="22"/>
        </w:rPr>
        <w:t> </w:t>
      </w:r>
      <w:r>
        <w:rPr>
          <w:rFonts w:asciiTheme="minorHAnsi" w:hAnsiTheme="minorHAnsi" w:cstheme="minorHAnsi"/>
          <w:sz w:val="22"/>
          <w:szCs w:val="22"/>
        </w:rPr>
        <w:t>296</w:t>
      </w:r>
      <w:r w:rsidR="00BE77E2">
        <w:rPr>
          <w:rFonts w:asciiTheme="minorHAnsi" w:hAnsiTheme="minorHAnsi" w:cstheme="minorHAnsi"/>
          <w:sz w:val="22"/>
          <w:szCs w:val="22"/>
        </w:rPr>
        <w:t xml:space="preserve"> MRO</w:t>
      </w:r>
      <w:r w:rsidR="00861189">
        <w:rPr>
          <w:rFonts w:asciiTheme="minorHAnsi" w:hAnsiTheme="minorHAnsi" w:cstheme="minorHAnsi"/>
          <w:sz w:val="22"/>
          <w:szCs w:val="22"/>
        </w:rPr>
        <w:t xml:space="preserve"> arrondis à 70 000 000 MRO</w:t>
      </w:r>
      <w:r>
        <w:rPr>
          <w:rFonts w:asciiTheme="minorHAnsi" w:hAnsiTheme="minorHAnsi" w:cstheme="minorHAnsi"/>
          <w:sz w:val="22"/>
          <w:szCs w:val="22"/>
        </w:rPr>
        <w:t>.</w:t>
      </w:r>
    </w:p>
    <w:p w:rsidR="001F2D69" w:rsidRDefault="001F2D69" w:rsidP="00F93B94">
      <w:pPr>
        <w:jc w:val="both"/>
        <w:rPr>
          <w:rFonts w:asciiTheme="minorHAnsi" w:hAnsiTheme="minorHAnsi" w:cstheme="minorHAnsi"/>
          <w:sz w:val="22"/>
          <w:szCs w:val="22"/>
        </w:rPr>
      </w:pPr>
    </w:p>
    <w:p w:rsidR="004846A4" w:rsidRPr="00A64F7E" w:rsidRDefault="00ED70A0" w:rsidP="00F93B94">
      <w:pPr>
        <w:jc w:val="both"/>
        <w:rPr>
          <w:rFonts w:asciiTheme="minorHAnsi" w:hAnsiTheme="minorHAnsi" w:cstheme="minorHAnsi"/>
          <w:sz w:val="22"/>
          <w:szCs w:val="22"/>
        </w:rPr>
      </w:pPr>
      <w:r>
        <w:rPr>
          <w:rFonts w:asciiTheme="minorHAnsi" w:hAnsiTheme="minorHAnsi" w:cstheme="minorHAnsi"/>
          <w:sz w:val="22"/>
          <w:szCs w:val="22"/>
        </w:rPr>
        <w:t>Ce rapport fait donc le bilan de la répartition des crédits alloués aux communes au titre de l’exercice 2012 et à l</w:t>
      </w:r>
      <w:r w:rsidR="00933580" w:rsidRPr="00A64F7E">
        <w:rPr>
          <w:rFonts w:asciiTheme="minorHAnsi" w:hAnsiTheme="minorHAnsi" w:cstheme="minorHAnsi"/>
          <w:sz w:val="22"/>
          <w:szCs w:val="22"/>
        </w:rPr>
        <w:t>’uti</w:t>
      </w:r>
      <w:r w:rsidR="001F2D69">
        <w:rPr>
          <w:rFonts w:asciiTheme="minorHAnsi" w:hAnsiTheme="minorHAnsi" w:cstheme="minorHAnsi"/>
          <w:sz w:val="22"/>
          <w:szCs w:val="22"/>
        </w:rPr>
        <w:t xml:space="preserve">lisation faite par ces dernières </w:t>
      </w:r>
      <w:r w:rsidR="00933580" w:rsidRPr="00A64F7E">
        <w:rPr>
          <w:rFonts w:asciiTheme="minorHAnsi" w:hAnsiTheme="minorHAnsi" w:cstheme="minorHAnsi"/>
          <w:sz w:val="22"/>
          <w:szCs w:val="22"/>
        </w:rPr>
        <w:t>des crédits inscrits à la part dite d’équipement de ce FRD.</w:t>
      </w:r>
    </w:p>
    <w:p w:rsidR="00933580" w:rsidRPr="00A64F7E" w:rsidRDefault="00933580" w:rsidP="00F93B94">
      <w:pPr>
        <w:jc w:val="both"/>
        <w:rPr>
          <w:rFonts w:asciiTheme="minorHAnsi" w:hAnsiTheme="minorHAnsi" w:cstheme="minorHAnsi"/>
          <w:sz w:val="22"/>
          <w:szCs w:val="22"/>
        </w:rPr>
      </w:pPr>
      <w:r w:rsidRPr="00A64F7E">
        <w:rPr>
          <w:rFonts w:asciiTheme="minorHAnsi" w:hAnsiTheme="minorHAnsi" w:cstheme="minorHAnsi"/>
          <w:sz w:val="22"/>
          <w:szCs w:val="22"/>
        </w:rPr>
        <w:t>Il est fo</w:t>
      </w:r>
      <w:r w:rsidR="0087689B">
        <w:rPr>
          <w:rFonts w:asciiTheme="minorHAnsi" w:hAnsiTheme="minorHAnsi" w:cstheme="minorHAnsi"/>
          <w:sz w:val="22"/>
          <w:szCs w:val="22"/>
        </w:rPr>
        <w:t>ndé sur les chiffres du FRD 2012</w:t>
      </w:r>
      <w:r w:rsidRPr="00A64F7E">
        <w:rPr>
          <w:rFonts w:asciiTheme="minorHAnsi" w:hAnsiTheme="minorHAnsi" w:cstheme="minorHAnsi"/>
          <w:sz w:val="22"/>
          <w:szCs w:val="22"/>
        </w:rPr>
        <w:t xml:space="preserve"> et sur les rapports communau</w:t>
      </w:r>
      <w:r w:rsidR="0087689B">
        <w:rPr>
          <w:rFonts w:asciiTheme="minorHAnsi" w:hAnsiTheme="minorHAnsi" w:cstheme="minorHAnsi"/>
          <w:sz w:val="22"/>
          <w:szCs w:val="22"/>
        </w:rPr>
        <w:t>x d’utilisation des crédits 2012</w:t>
      </w:r>
      <w:r w:rsidRPr="00A64F7E">
        <w:rPr>
          <w:rFonts w:asciiTheme="minorHAnsi" w:hAnsiTheme="minorHAnsi" w:cstheme="minorHAnsi"/>
          <w:sz w:val="22"/>
          <w:szCs w:val="22"/>
        </w:rPr>
        <w:t xml:space="preserve"> consolidés au niveau des </w:t>
      </w:r>
      <w:r w:rsidR="001246CD">
        <w:rPr>
          <w:rFonts w:asciiTheme="minorHAnsi" w:hAnsiTheme="minorHAnsi" w:cstheme="minorHAnsi"/>
          <w:sz w:val="22"/>
          <w:szCs w:val="22"/>
        </w:rPr>
        <w:t>Wilayas</w:t>
      </w:r>
      <w:r w:rsidRPr="00A64F7E">
        <w:rPr>
          <w:rFonts w:asciiTheme="minorHAnsi" w:hAnsiTheme="minorHAnsi" w:cstheme="minorHAnsi"/>
          <w:sz w:val="22"/>
          <w:szCs w:val="22"/>
        </w:rPr>
        <w:t>.</w:t>
      </w:r>
      <w:r w:rsidR="00F16E61">
        <w:rPr>
          <w:rFonts w:asciiTheme="minorHAnsi" w:hAnsiTheme="minorHAnsi" w:cstheme="minorHAnsi"/>
          <w:sz w:val="22"/>
          <w:szCs w:val="22"/>
        </w:rPr>
        <w:t xml:space="preserve"> Son amélioration devra ainsi reposer sur une description plus détaillée des projets et des réalisations effectives, passant par un système de </w:t>
      </w:r>
      <w:proofErr w:type="spellStart"/>
      <w:r w:rsidR="00F16E61">
        <w:rPr>
          <w:rFonts w:asciiTheme="minorHAnsi" w:hAnsiTheme="minorHAnsi" w:cstheme="minorHAnsi"/>
          <w:sz w:val="22"/>
          <w:szCs w:val="22"/>
        </w:rPr>
        <w:t>reporting</w:t>
      </w:r>
      <w:proofErr w:type="spellEnd"/>
      <w:r w:rsidR="00F16E61">
        <w:rPr>
          <w:rFonts w:asciiTheme="minorHAnsi" w:hAnsiTheme="minorHAnsi" w:cstheme="minorHAnsi"/>
          <w:sz w:val="22"/>
          <w:szCs w:val="22"/>
        </w:rPr>
        <w:t xml:space="preserve"> plus axé sur la mise en œuvre effective et l’impact des équipements sur les usagers.</w:t>
      </w:r>
    </w:p>
    <w:p w:rsidR="00933580" w:rsidRPr="00A64F7E" w:rsidRDefault="0087689B" w:rsidP="00F93B94">
      <w:pPr>
        <w:jc w:val="both"/>
        <w:rPr>
          <w:rFonts w:asciiTheme="minorHAnsi" w:hAnsiTheme="minorHAnsi" w:cstheme="minorHAnsi"/>
          <w:sz w:val="22"/>
          <w:szCs w:val="22"/>
        </w:rPr>
      </w:pPr>
      <w:r>
        <w:rPr>
          <w:rFonts w:asciiTheme="minorHAnsi" w:hAnsiTheme="minorHAnsi" w:cstheme="minorHAnsi"/>
          <w:sz w:val="22"/>
          <w:szCs w:val="22"/>
        </w:rPr>
        <w:t>Pour l’exercice 2012</w:t>
      </w:r>
      <w:r w:rsidR="00ED7C50">
        <w:rPr>
          <w:rFonts w:asciiTheme="minorHAnsi" w:hAnsiTheme="minorHAnsi" w:cstheme="minorHAnsi"/>
          <w:sz w:val="22"/>
          <w:szCs w:val="22"/>
        </w:rPr>
        <w:t>, deux cent dix</w:t>
      </w:r>
      <w:r w:rsidR="00933580" w:rsidRPr="00A64F7E">
        <w:rPr>
          <w:rFonts w:asciiTheme="minorHAnsi" w:hAnsiTheme="minorHAnsi" w:cstheme="minorHAnsi"/>
          <w:sz w:val="22"/>
          <w:szCs w:val="22"/>
        </w:rPr>
        <w:t xml:space="preserve"> communes ont transmis leur rapport. L</w:t>
      </w:r>
      <w:r w:rsidR="00ED7C50">
        <w:rPr>
          <w:rFonts w:asciiTheme="minorHAnsi" w:hAnsiTheme="minorHAnsi" w:cstheme="minorHAnsi"/>
          <w:sz w:val="22"/>
          <w:szCs w:val="22"/>
        </w:rPr>
        <w:t>es crédits d’équipement des six</w:t>
      </w:r>
      <w:r w:rsidR="00933580" w:rsidRPr="00A64F7E">
        <w:rPr>
          <w:rFonts w:asciiTheme="minorHAnsi" w:hAnsiTheme="minorHAnsi" w:cstheme="minorHAnsi"/>
          <w:sz w:val="22"/>
          <w:szCs w:val="22"/>
        </w:rPr>
        <w:t xml:space="preserve"> communes restantes sont considérés a priori comme non utilisés.</w:t>
      </w:r>
      <w:r w:rsidR="001A66E9">
        <w:rPr>
          <w:rFonts w:asciiTheme="minorHAnsi" w:hAnsiTheme="minorHAnsi" w:cstheme="minorHAnsi"/>
          <w:sz w:val="22"/>
          <w:szCs w:val="22"/>
        </w:rPr>
        <w:t xml:space="preserve"> Il s’agit des communes de </w:t>
      </w:r>
      <w:proofErr w:type="spellStart"/>
      <w:r w:rsidR="001A66E9">
        <w:rPr>
          <w:rFonts w:asciiTheme="minorHAnsi" w:hAnsiTheme="minorHAnsi" w:cstheme="minorHAnsi"/>
          <w:sz w:val="22"/>
          <w:szCs w:val="22"/>
        </w:rPr>
        <w:t>Tmeïmichatt</w:t>
      </w:r>
      <w:proofErr w:type="spellEnd"/>
      <w:r w:rsidR="001A66E9">
        <w:rPr>
          <w:rFonts w:asciiTheme="minorHAnsi" w:hAnsiTheme="minorHAnsi" w:cstheme="minorHAnsi"/>
          <w:sz w:val="22"/>
          <w:szCs w:val="22"/>
        </w:rPr>
        <w:t xml:space="preserve">, </w:t>
      </w:r>
      <w:proofErr w:type="spellStart"/>
      <w:r w:rsidR="001A66E9">
        <w:rPr>
          <w:rFonts w:asciiTheme="minorHAnsi" w:hAnsiTheme="minorHAnsi" w:cstheme="minorHAnsi"/>
          <w:sz w:val="22"/>
          <w:szCs w:val="22"/>
        </w:rPr>
        <w:t>Inal</w:t>
      </w:r>
      <w:proofErr w:type="spellEnd"/>
      <w:r w:rsidR="001A66E9">
        <w:rPr>
          <w:rFonts w:asciiTheme="minorHAnsi" w:hAnsiTheme="minorHAnsi" w:cstheme="minorHAnsi"/>
          <w:sz w:val="22"/>
          <w:szCs w:val="22"/>
        </w:rPr>
        <w:t xml:space="preserve">, </w:t>
      </w:r>
      <w:r w:rsidR="00BA33E9">
        <w:rPr>
          <w:rFonts w:asciiTheme="minorHAnsi" w:hAnsiTheme="minorHAnsi" w:cstheme="minorHAnsi"/>
          <w:sz w:val="22"/>
          <w:szCs w:val="22"/>
        </w:rPr>
        <w:t xml:space="preserve">Nouamghar, </w:t>
      </w:r>
      <w:proofErr w:type="spellStart"/>
      <w:r w:rsidR="00BA33E9">
        <w:rPr>
          <w:rFonts w:asciiTheme="minorHAnsi" w:hAnsiTheme="minorHAnsi" w:cstheme="minorHAnsi"/>
          <w:sz w:val="22"/>
          <w:szCs w:val="22"/>
        </w:rPr>
        <w:t>Boulenouar</w:t>
      </w:r>
      <w:proofErr w:type="spellEnd"/>
      <w:r w:rsidR="00BA33E9">
        <w:rPr>
          <w:rFonts w:asciiTheme="minorHAnsi" w:hAnsiTheme="minorHAnsi" w:cstheme="minorHAnsi"/>
          <w:sz w:val="22"/>
          <w:szCs w:val="22"/>
        </w:rPr>
        <w:t xml:space="preserve"> (</w:t>
      </w:r>
      <w:r w:rsidR="001246CD">
        <w:rPr>
          <w:rFonts w:asciiTheme="minorHAnsi" w:hAnsiTheme="minorHAnsi" w:cstheme="minorHAnsi"/>
          <w:sz w:val="22"/>
          <w:szCs w:val="22"/>
        </w:rPr>
        <w:t>Wilaya</w:t>
      </w:r>
      <w:r w:rsidR="00BA33E9">
        <w:rPr>
          <w:rFonts w:asciiTheme="minorHAnsi" w:hAnsiTheme="minorHAnsi" w:cstheme="minorHAnsi"/>
          <w:sz w:val="22"/>
          <w:szCs w:val="22"/>
        </w:rPr>
        <w:t xml:space="preserve"> du</w:t>
      </w:r>
      <w:r w:rsidR="001A66E9">
        <w:rPr>
          <w:rFonts w:asciiTheme="minorHAnsi" w:hAnsiTheme="minorHAnsi" w:cstheme="minorHAnsi"/>
          <w:sz w:val="22"/>
          <w:szCs w:val="22"/>
        </w:rPr>
        <w:t xml:space="preserve"> </w:t>
      </w:r>
      <w:proofErr w:type="spellStart"/>
      <w:r w:rsidR="001A66E9">
        <w:rPr>
          <w:rFonts w:asciiTheme="minorHAnsi" w:hAnsiTheme="minorHAnsi" w:cstheme="minorHAnsi"/>
          <w:sz w:val="22"/>
          <w:szCs w:val="22"/>
        </w:rPr>
        <w:t>Dakhlet</w:t>
      </w:r>
      <w:proofErr w:type="spellEnd"/>
      <w:r w:rsidR="001A66E9">
        <w:rPr>
          <w:rFonts w:asciiTheme="minorHAnsi" w:hAnsiTheme="minorHAnsi" w:cstheme="minorHAnsi"/>
          <w:sz w:val="22"/>
          <w:szCs w:val="22"/>
        </w:rPr>
        <w:t xml:space="preserve">-Nouadhibou), d’El </w:t>
      </w:r>
      <w:proofErr w:type="spellStart"/>
      <w:r w:rsidR="001A66E9">
        <w:rPr>
          <w:rFonts w:asciiTheme="minorHAnsi" w:hAnsiTheme="minorHAnsi" w:cstheme="minorHAnsi"/>
          <w:sz w:val="22"/>
          <w:szCs w:val="22"/>
        </w:rPr>
        <w:t>Ghabra</w:t>
      </w:r>
      <w:proofErr w:type="spellEnd"/>
      <w:r w:rsidR="001A66E9">
        <w:rPr>
          <w:rFonts w:asciiTheme="minorHAnsi" w:hAnsiTheme="minorHAnsi" w:cstheme="minorHAnsi"/>
          <w:sz w:val="22"/>
          <w:szCs w:val="22"/>
        </w:rPr>
        <w:t xml:space="preserve"> (</w:t>
      </w:r>
      <w:r w:rsidR="001246CD">
        <w:rPr>
          <w:rFonts w:asciiTheme="minorHAnsi" w:hAnsiTheme="minorHAnsi" w:cstheme="minorHAnsi"/>
          <w:sz w:val="22"/>
          <w:szCs w:val="22"/>
        </w:rPr>
        <w:t>Wilaya</w:t>
      </w:r>
      <w:r w:rsidR="001A66E9">
        <w:rPr>
          <w:rFonts w:asciiTheme="minorHAnsi" w:hAnsiTheme="minorHAnsi" w:cstheme="minorHAnsi"/>
          <w:sz w:val="22"/>
          <w:szCs w:val="22"/>
        </w:rPr>
        <w:t xml:space="preserve"> de l’</w:t>
      </w:r>
      <w:proofErr w:type="spellStart"/>
      <w:r w:rsidR="001A66E9">
        <w:rPr>
          <w:rFonts w:asciiTheme="minorHAnsi" w:hAnsiTheme="minorHAnsi" w:cstheme="minorHAnsi"/>
          <w:sz w:val="22"/>
          <w:szCs w:val="22"/>
        </w:rPr>
        <w:t>Assaba</w:t>
      </w:r>
      <w:proofErr w:type="spellEnd"/>
      <w:r w:rsidR="001A66E9">
        <w:rPr>
          <w:rFonts w:asciiTheme="minorHAnsi" w:hAnsiTheme="minorHAnsi" w:cstheme="minorHAnsi"/>
          <w:sz w:val="22"/>
          <w:szCs w:val="22"/>
        </w:rPr>
        <w:t xml:space="preserve">) et d’El </w:t>
      </w:r>
      <w:proofErr w:type="spellStart"/>
      <w:r w:rsidR="001A66E9">
        <w:rPr>
          <w:rFonts w:asciiTheme="minorHAnsi" w:hAnsiTheme="minorHAnsi" w:cstheme="minorHAnsi"/>
          <w:sz w:val="22"/>
          <w:szCs w:val="22"/>
        </w:rPr>
        <w:t>Megvé</w:t>
      </w:r>
      <w:proofErr w:type="spellEnd"/>
      <w:r w:rsidR="001A66E9">
        <w:rPr>
          <w:rFonts w:asciiTheme="minorHAnsi" w:hAnsiTheme="minorHAnsi" w:cstheme="minorHAnsi"/>
          <w:sz w:val="22"/>
          <w:szCs w:val="22"/>
        </w:rPr>
        <w:t xml:space="preserve"> (</w:t>
      </w:r>
      <w:proofErr w:type="spellStart"/>
      <w:r w:rsidR="003417C7">
        <w:rPr>
          <w:rFonts w:asciiTheme="minorHAnsi" w:hAnsiTheme="minorHAnsi" w:cstheme="minorHAnsi"/>
          <w:sz w:val="22"/>
          <w:szCs w:val="22"/>
        </w:rPr>
        <w:t>Hodh</w:t>
      </w:r>
      <w:proofErr w:type="spellEnd"/>
      <w:r w:rsidR="003417C7">
        <w:rPr>
          <w:rFonts w:asciiTheme="minorHAnsi" w:hAnsiTheme="minorHAnsi" w:cstheme="minorHAnsi"/>
          <w:sz w:val="22"/>
          <w:szCs w:val="22"/>
        </w:rPr>
        <w:t xml:space="preserve"> </w:t>
      </w:r>
      <w:proofErr w:type="spellStart"/>
      <w:r w:rsidR="003417C7">
        <w:rPr>
          <w:rFonts w:asciiTheme="minorHAnsi" w:hAnsiTheme="minorHAnsi" w:cstheme="minorHAnsi"/>
          <w:sz w:val="22"/>
          <w:szCs w:val="22"/>
        </w:rPr>
        <w:t>Ech</w:t>
      </w:r>
      <w:proofErr w:type="spellEnd"/>
      <w:r w:rsidR="003417C7">
        <w:rPr>
          <w:rFonts w:asciiTheme="minorHAnsi" w:hAnsiTheme="minorHAnsi" w:cstheme="minorHAnsi"/>
          <w:sz w:val="22"/>
          <w:szCs w:val="22"/>
        </w:rPr>
        <w:t xml:space="preserve"> </w:t>
      </w:r>
      <w:proofErr w:type="spellStart"/>
      <w:r w:rsidR="003417C7">
        <w:rPr>
          <w:rFonts w:asciiTheme="minorHAnsi" w:hAnsiTheme="minorHAnsi" w:cstheme="minorHAnsi"/>
          <w:sz w:val="22"/>
          <w:szCs w:val="22"/>
        </w:rPr>
        <w:t>Chargui</w:t>
      </w:r>
      <w:proofErr w:type="spellEnd"/>
      <w:r w:rsidR="003417C7">
        <w:rPr>
          <w:rFonts w:asciiTheme="minorHAnsi" w:hAnsiTheme="minorHAnsi" w:cstheme="minorHAnsi"/>
          <w:sz w:val="22"/>
          <w:szCs w:val="22"/>
        </w:rPr>
        <w:t>).</w:t>
      </w:r>
    </w:p>
    <w:p w:rsidR="004846A4" w:rsidRPr="004846A4" w:rsidRDefault="004846A4">
      <w:pPr>
        <w:rPr>
          <w:rFonts w:asciiTheme="minorHAnsi" w:hAnsiTheme="minorHAnsi" w:cstheme="minorHAnsi"/>
        </w:rPr>
      </w:pPr>
    </w:p>
    <w:p w:rsidR="00792095" w:rsidRPr="00CE2E2D" w:rsidRDefault="00792095" w:rsidP="00792095">
      <w:pPr>
        <w:jc w:val="both"/>
        <w:rPr>
          <w:rFonts w:asciiTheme="minorHAnsi" w:hAnsiTheme="minorHAnsi" w:cstheme="minorHAnsi"/>
          <w:sz w:val="22"/>
          <w:szCs w:val="22"/>
        </w:rPr>
      </w:pPr>
      <w:r w:rsidRPr="00CE2E2D">
        <w:rPr>
          <w:rFonts w:asciiTheme="minorHAnsi" w:hAnsiTheme="minorHAnsi" w:cstheme="minorHAnsi"/>
          <w:sz w:val="22"/>
          <w:szCs w:val="22"/>
        </w:rPr>
        <w:t>En augmentation de 500 000 000 MRO, la dotation globale du FRD 2012 permettrait a priori un renforcement significatif des capacités de fonctionnement et d’investissement des communes.</w:t>
      </w:r>
    </w:p>
    <w:p w:rsidR="00792095" w:rsidRPr="00A64F7E" w:rsidRDefault="00CE2E2D" w:rsidP="00792095">
      <w:pPr>
        <w:jc w:val="both"/>
        <w:rPr>
          <w:rFonts w:asciiTheme="minorHAnsi" w:hAnsiTheme="minorHAnsi" w:cstheme="minorHAnsi"/>
          <w:sz w:val="22"/>
          <w:szCs w:val="22"/>
        </w:rPr>
      </w:pPr>
      <w:r>
        <w:rPr>
          <w:rFonts w:asciiTheme="minorHAnsi" w:hAnsiTheme="minorHAnsi" w:cstheme="minorHAnsi"/>
          <w:sz w:val="22"/>
          <w:szCs w:val="22"/>
        </w:rPr>
        <w:t xml:space="preserve">Le rapport, à travers </w:t>
      </w:r>
      <w:r w:rsidR="00792095" w:rsidRPr="00A64F7E">
        <w:rPr>
          <w:rFonts w:asciiTheme="minorHAnsi" w:hAnsiTheme="minorHAnsi" w:cstheme="minorHAnsi"/>
          <w:sz w:val="22"/>
          <w:szCs w:val="22"/>
        </w:rPr>
        <w:t>un bilan et une analyse nationale</w:t>
      </w:r>
      <w:r>
        <w:rPr>
          <w:rFonts w:asciiTheme="minorHAnsi" w:hAnsiTheme="minorHAnsi" w:cstheme="minorHAnsi"/>
          <w:sz w:val="22"/>
          <w:szCs w:val="22"/>
        </w:rPr>
        <w:t xml:space="preserve"> </w:t>
      </w:r>
      <w:proofErr w:type="gramStart"/>
      <w:r>
        <w:rPr>
          <w:rFonts w:asciiTheme="minorHAnsi" w:hAnsiTheme="minorHAnsi" w:cstheme="minorHAnsi"/>
          <w:sz w:val="22"/>
          <w:szCs w:val="22"/>
        </w:rPr>
        <w:t>présentés</w:t>
      </w:r>
      <w:proofErr w:type="gramEnd"/>
      <w:r>
        <w:rPr>
          <w:rFonts w:asciiTheme="minorHAnsi" w:hAnsiTheme="minorHAnsi" w:cstheme="minorHAnsi"/>
          <w:sz w:val="22"/>
          <w:szCs w:val="22"/>
        </w:rPr>
        <w:t xml:space="preserve"> en première partie</w:t>
      </w:r>
      <w:r w:rsidR="00792095" w:rsidRPr="00A64F7E">
        <w:rPr>
          <w:rFonts w:asciiTheme="minorHAnsi" w:hAnsiTheme="minorHAnsi" w:cstheme="minorHAnsi"/>
          <w:sz w:val="22"/>
          <w:szCs w:val="22"/>
        </w:rPr>
        <w:t xml:space="preserve">, puis dans </w:t>
      </w:r>
      <w:r w:rsidR="00220EC6">
        <w:rPr>
          <w:rFonts w:asciiTheme="minorHAnsi" w:hAnsiTheme="minorHAnsi" w:cstheme="minorHAnsi"/>
          <w:sz w:val="22"/>
          <w:szCs w:val="22"/>
        </w:rPr>
        <w:t>une deuxième</w:t>
      </w:r>
      <w:r w:rsidR="00792095" w:rsidRPr="00A64F7E">
        <w:rPr>
          <w:rFonts w:asciiTheme="minorHAnsi" w:hAnsiTheme="minorHAnsi" w:cstheme="minorHAnsi"/>
          <w:sz w:val="22"/>
          <w:szCs w:val="22"/>
        </w:rPr>
        <w:t xml:space="preserve"> un</w:t>
      </w:r>
      <w:r w:rsidR="00792095">
        <w:rPr>
          <w:rFonts w:asciiTheme="minorHAnsi" w:hAnsiTheme="minorHAnsi" w:cstheme="minorHAnsi"/>
          <w:sz w:val="22"/>
          <w:szCs w:val="22"/>
        </w:rPr>
        <w:t xml:space="preserve"> ensemble de données par </w:t>
      </w:r>
      <w:r w:rsidR="001246CD">
        <w:rPr>
          <w:rFonts w:asciiTheme="minorHAnsi" w:hAnsiTheme="minorHAnsi" w:cstheme="minorHAnsi"/>
          <w:sz w:val="22"/>
          <w:szCs w:val="22"/>
        </w:rPr>
        <w:t>Wilaya</w:t>
      </w:r>
      <w:r w:rsidR="00272D5D">
        <w:rPr>
          <w:rFonts w:asciiTheme="minorHAnsi" w:hAnsiTheme="minorHAnsi" w:cstheme="minorHAnsi"/>
          <w:sz w:val="22"/>
          <w:szCs w:val="22"/>
        </w:rPr>
        <w:t xml:space="preserve">, </w:t>
      </w:r>
      <w:proofErr w:type="spellStart"/>
      <w:r w:rsidR="001246CD">
        <w:rPr>
          <w:rFonts w:asciiTheme="minorHAnsi" w:hAnsiTheme="minorHAnsi" w:cstheme="minorHAnsi"/>
          <w:sz w:val="22"/>
          <w:szCs w:val="22"/>
        </w:rPr>
        <w:t>Moughataa</w:t>
      </w:r>
      <w:proofErr w:type="spellEnd"/>
      <w:r w:rsidR="00272D5D">
        <w:rPr>
          <w:rFonts w:asciiTheme="minorHAnsi" w:hAnsiTheme="minorHAnsi" w:cstheme="minorHAnsi"/>
          <w:sz w:val="22"/>
          <w:szCs w:val="22"/>
        </w:rPr>
        <w:t xml:space="preserve"> et Commune</w:t>
      </w:r>
      <w:r>
        <w:rPr>
          <w:rFonts w:asciiTheme="minorHAnsi" w:hAnsiTheme="minorHAnsi" w:cstheme="minorHAnsi"/>
          <w:sz w:val="22"/>
          <w:szCs w:val="22"/>
        </w:rPr>
        <w:t xml:space="preserve">, permettra ainsi de dessiner les grandes tendances en matière d’utilisation des crédits alloués. À partir des constats effectués, </w:t>
      </w:r>
      <w:r w:rsidR="00792095">
        <w:rPr>
          <w:rFonts w:asciiTheme="minorHAnsi" w:hAnsiTheme="minorHAnsi" w:cstheme="minorHAnsi"/>
          <w:sz w:val="22"/>
          <w:szCs w:val="22"/>
        </w:rPr>
        <w:t>un ensemble de recommandation</w:t>
      </w:r>
      <w:r w:rsidR="00272D5D">
        <w:rPr>
          <w:rFonts w:asciiTheme="minorHAnsi" w:hAnsiTheme="minorHAnsi" w:cstheme="minorHAnsi"/>
          <w:sz w:val="22"/>
          <w:szCs w:val="22"/>
        </w:rPr>
        <w:t>s</w:t>
      </w:r>
      <w:r w:rsidR="00220EC6">
        <w:rPr>
          <w:rFonts w:asciiTheme="minorHAnsi" w:hAnsiTheme="minorHAnsi" w:cstheme="minorHAnsi"/>
          <w:sz w:val="22"/>
          <w:szCs w:val="22"/>
        </w:rPr>
        <w:t xml:space="preserve"> et de propositions</w:t>
      </w:r>
      <w:r w:rsidR="00792095">
        <w:rPr>
          <w:rFonts w:asciiTheme="minorHAnsi" w:hAnsiTheme="minorHAnsi" w:cstheme="minorHAnsi"/>
          <w:sz w:val="22"/>
          <w:szCs w:val="22"/>
        </w:rPr>
        <w:t xml:space="preserve"> viendra </w:t>
      </w:r>
      <w:r>
        <w:rPr>
          <w:rFonts w:asciiTheme="minorHAnsi" w:hAnsiTheme="minorHAnsi" w:cstheme="minorHAnsi"/>
          <w:sz w:val="22"/>
          <w:szCs w:val="22"/>
        </w:rPr>
        <w:t xml:space="preserve">en dernier lieu </w:t>
      </w:r>
      <w:r w:rsidR="00792095">
        <w:rPr>
          <w:rFonts w:asciiTheme="minorHAnsi" w:hAnsiTheme="minorHAnsi" w:cstheme="minorHAnsi"/>
          <w:sz w:val="22"/>
          <w:szCs w:val="22"/>
        </w:rPr>
        <w:t xml:space="preserve">compléter le rapport afin d’améliorer des procédures de suivi-évaluation et de contribuer au développement effectif des communes par la mise en place d’équipements répondant </w:t>
      </w:r>
      <w:r w:rsidR="00834910">
        <w:rPr>
          <w:rFonts w:asciiTheme="minorHAnsi" w:hAnsiTheme="minorHAnsi" w:cstheme="minorHAnsi"/>
          <w:sz w:val="22"/>
          <w:szCs w:val="22"/>
        </w:rPr>
        <w:t xml:space="preserve">véritablement </w:t>
      </w:r>
      <w:r w:rsidR="00792095">
        <w:rPr>
          <w:rFonts w:asciiTheme="minorHAnsi" w:hAnsiTheme="minorHAnsi" w:cstheme="minorHAnsi"/>
          <w:sz w:val="22"/>
          <w:szCs w:val="22"/>
        </w:rPr>
        <w:t>a</w:t>
      </w:r>
      <w:r w:rsidR="00834910">
        <w:rPr>
          <w:rFonts w:asciiTheme="minorHAnsi" w:hAnsiTheme="minorHAnsi" w:cstheme="minorHAnsi"/>
          <w:sz w:val="22"/>
          <w:szCs w:val="22"/>
        </w:rPr>
        <w:t xml:space="preserve">ux besoins </w:t>
      </w:r>
      <w:r>
        <w:rPr>
          <w:rFonts w:asciiTheme="minorHAnsi" w:hAnsiTheme="minorHAnsi" w:cstheme="minorHAnsi"/>
          <w:sz w:val="22"/>
          <w:szCs w:val="22"/>
        </w:rPr>
        <w:t xml:space="preserve">des </w:t>
      </w:r>
      <w:r w:rsidR="00834910">
        <w:rPr>
          <w:rFonts w:asciiTheme="minorHAnsi" w:hAnsiTheme="minorHAnsi" w:cstheme="minorHAnsi"/>
          <w:sz w:val="22"/>
          <w:szCs w:val="22"/>
        </w:rPr>
        <w:t>administrés</w:t>
      </w:r>
      <w:r w:rsidR="00792095">
        <w:rPr>
          <w:rFonts w:asciiTheme="minorHAnsi" w:hAnsiTheme="minorHAnsi" w:cstheme="minorHAnsi"/>
          <w:sz w:val="22"/>
          <w:szCs w:val="22"/>
        </w:rPr>
        <w:t>.</w:t>
      </w:r>
    </w:p>
    <w:p w:rsidR="004846A4" w:rsidRDefault="004846A4">
      <w:pPr>
        <w:rPr>
          <w:rFonts w:asciiTheme="minorHAnsi" w:hAnsiTheme="minorHAnsi" w:cstheme="minorHAnsi"/>
        </w:rPr>
      </w:pPr>
    </w:p>
    <w:p w:rsidR="00523F5A" w:rsidRPr="004846A4" w:rsidRDefault="00523F5A">
      <w:pPr>
        <w:rPr>
          <w:rFonts w:asciiTheme="minorHAnsi" w:hAnsiTheme="minorHAnsi" w:cstheme="minorHAnsi"/>
        </w:rPr>
      </w:pPr>
    </w:p>
    <w:p w:rsidR="004846A4" w:rsidRPr="004846A4" w:rsidRDefault="004846A4">
      <w:pPr>
        <w:rPr>
          <w:rFonts w:asciiTheme="minorHAnsi" w:hAnsiTheme="minorHAnsi" w:cstheme="minorHAnsi"/>
        </w:rPr>
      </w:pPr>
    </w:p>
    <w:p w:rsidR="004846A4" w:rsidRPr="004846A4" w:rsidRDefault="00F9433D">
      <w:pPr>
        <w:rPr>
          <w:rFonts w:asciiTheme="minorHAnsi" w:hAnsiTheme="minorHAnsi" w:cstheme="minorHAnsi"/>
        </w:rPr>
      </w:pPr>
      <w:r>
        <w:rPr>
          <w:rFonts w:asciiTheme="minorHAnsi" w:hAnsiTheme="minorHAnsi" w:cstheme="minorHAnsi"/>
          <w:noProof/>
        </w:rPr>
        <w:pict>
          <v:roundrect id="_x0000_s1093" style="position:absolute;margin-left:0;margin-top:46.2pt;width:519.75pt;height:220.5pt;z-index:251974656;mso-position-horizontal:center;mso-position-horizontal-relative:margin" arcsize="10923f" fillcolor="#e5b8b7 [1301]" strokecolor="#e5b8b7 [1301]">
            <v:textbox style="mso-next-textbox:#_x0000_s1093">
              <w:txbxContent>
                <w:p w:rsidR="00B74940" w:rsidRPr="00326786" w:rsidRDefault="00B74940" w:rsidP="00A64F7E">
                  <w:pPr>
                    <w:jc w:val="center"/>
                    <w:rPr>
                      <w:b/>
                      <w:sz w:val="28"/>
                      <w:szCs w:val="28"/>
                    </w:rPr>
                  </w:pPr>
                  <w:r w:rsidRPr="00326786">
                    <w:rPr>
                      <w:b/>
                      <w:sz w:val="28"/>
                      <w:szCs w:val="28"/>
                    </w:rPr>
                    <w:t xml:space="preserve">Utilisation des </w:t>
                  </w:r>
                  <w:r>
                    <w:rPr>
                      <w:b/>
                      <w:sz w:val="28"/>
                      <w:szCs w:val="28"/>
                    </w:rPr>
                    <w:t>crédits d’équipement du FRD 2012</w:t>
                  </w:r>
                </w:p>
                <w:p w:rsidR="00B74940" w:rsidRPr="003417C7" w:rsidRDefault="00B74940" w:rsidP="003417C7">
                  <w:pPr>
                    <w:jc w:val="center"/>
                    <w:rPr>
                      <w:b/>
                      <w:sz w:val="28"/>
                      <w:szCs w:val="28"/>
                    </w:rPr>
                  </w:pPr>
                  <w:r>
                    <w:rPr>
                      <w:b/>
                      <w:sz w:val="28"/>
                      <w:szCs w:val="28"/>
                    </w:rPr>
                    <w:t>Chiffres clés</w:t>
                  </w:r>
                </w:p>
                <w:p w:rsidR="00B74940" w:rsidRDefault="00B74940" w:rsidP="002F04D1">
                  <w:pPr>
                    <w:pStyle w:val="Paragraphedeliste"/>
                    <w:numPr>
                      <w:ilvl w:val="0"/>
                      <w:numId w:val="5"/>
                    </w:numPr>
                    <w:jc w:val="both"/>
                  </w:pPr>
                  <w:r>
                    <w:t>2 379 999 895 MRO arrondis à 2 380 000 000 MRO au titre des dotations 2012 (+ 16,67% par rapport à l’enveloppe des dotations 2011).</w:t>
                  </w:r>
                </w:p>
                <w:p w:rsidR="00B74940" w:rsidRPr="00326786" w:rsidRDefault="00B74940" w:rsidP="002F04D1">
                  <w:pPr>
                    <w:pStyle w:val="Paragraphedeliste"/>
                    <w:numPr>
                      <w:ilvl w:val="0"/>
                      <w:numId w:val="5"/>
                    </w:numPr>
                    <w:jc w:val="both"/>
                  </w:pPr>
                  <w:r>
                    <w:t>2 228 260 832 MRO engagés (+ 5,59% par rapport à 2011</w:t>
                  </w:r>
                  <w:r w:rsidRPr="00326786">
                    <w:t>)</w:t>
                  </w:r>
                  <w:r>
                    <w:t>.</w:t>
                  </w:r>
                </w:p>
                <w:p w:rsidR="00B74940" w:rsidRPr="00326786" w:rsidRDefault="00B74940" w:rsidP="002F04D1">
                  <w:pPr>
                    <w:pStyle w:val="Paragraphedeliste"/>
                    <w:numPr>
                      <w:ilvl w:val="0"/>
                      <w:numId w:val="5"/>
                    </w:numPr>
                    <w:jc w:val="both"/>
                  </w:pPr>
                  <w:r>
                    <w:t>1 789 projets engagés (- 7,21% par rapport à 2011</w:t>
                  </w:r>
                  <w:r w:rsidRPr="00326786">
                    <w:t>)</w:t>
                  </w:r>
                  <w:r>
                    <w:t>.</w:t>
                  </w:r>
                </w:p>
                <w:p w:rsidR="00B74940" w:rsidRPr="00326786" w:rsidRDefault="00B74940" w:rsidP="002F04D1">
                  <w:pPr>
                    <w:pStyle w:val="Paragraphedeliste"/>
                    <w:numPr>
                      <w:ilvl w:val="0"/>
                      <w:numId w:val="5"/>
                    </w:numPr>
                    <w:jc w:val="both"/>
                  </w:pPr>
                  <w:r>
                    <w:t>20,68</w:t>
                  </w:r>
                  <w:r w:rsidRPr="00326786">
                    <w:t xml:space="preserve"> % des projets dans le secteur des bâtiments communaux</w:t>
                  </w:r>
                  <w:r>
                    <w:t>.</w:t>
                  </w:r>
                </w:p>
                <w:p w:rsidR="00B74940" w:rsidRPr="00326786" w:rsidRDefault="00B74940" w:rsidP="002F04D1">
                  <w:pPr>
                    <w:pStyle w:val="Paragraphedeliste"/>
                    <w:numPr>
                      <w:ilvl w:val="0"/>
                      <w:numId w:val="5"/>
                    </w:numPr>
                    <w:jc w:val="both"/>
                  </w:pPr>
                  <w:r>
                    <w:t>19,78</w:t>
                  </w:r>
                  <w:r w:rsidRPr="00326786">
                    <w:t xml:space="preserve"> % des projets dans le secteur de l’éducation</w:t>
                  </w:r>
                  <w:r>
                    <w:t>.</w:t>
                  </w:r>
                </w:p>
                <w:p w:rsidR="00B74940" w:rsidRPr="00326786" w:rsidRDefault="00B74940" w:rsidP="002F04D1">
                  <w:pPr>
                    <w:pStyle w:val="Paragraphedeliste"/>
                    <w:numPr>
                      <w:ilvl w:val="0"/>
                      <w:numId w:val="5"/>
                    </w:numPr>
                    <w:jc w:val="both"/>
                  </w:pPr>
                  <w:r>
                    <w:t>18,76</w:t>
                  </w:r>
                  <w:r w:rsidRPr="00326786">
                    <w:t xml:space="preserve"> % des projets dans le secteur de l’hydraulique</w:t>
                  </w:r>
                  <w:r>
                    <w:t>.</w:t>
                  </w:r>
                </w:p>
                <w:p w:rsidR="00B74940" w:rsidRDefault="00B74940" w:rsidP="002F04D1">
                  <w:pPr>
                    <w:pStyle w:val="Paragraphedeliste"/>
                    <w:numPr>
                      <w:ilvl w:val="0"/>
                      <w:numId w:val="5"/>
                    </w:numPr>
                    <w:jc w:val="both"/>
                  </w:pPr>
                  <w:r w:rsidRPr="00326786">
                    <w:t>Montant moyen de l’inves</w:t>
                  </w:r>
                  <w:r>
                    <w:t>tissement par projet : 1 245 534 MRO (+13,80% par rapport à 2011</w:t>
                  </w:r>
                  <w:r w:rsidRPr="00326786">
                    <w:t>)</w:t>
                  </w:r>
                  <w:r>
                    <w:t>.</w:t>
                  </w:r>
                </w:p>
                <w:p w:rsidR="00B74940" w:rsidRPr="00326786" w:rsidRDefault="00B74940" w:rsidP="00272D5D">
                  <w:pPr>
                    <w:ind w:left="360"/>
                    <w:jc w:val="both"/>
                  </w:pPr>
                </w:p>
              </w:txbxContent>
            </v:textbox>
            <w10:wrap type="square" anchorx="margin"/>
          </v:roundrect>
        </w:pict>
      </w:r>
    </w:p>
    <w:p w:rsidR="004846A4" w:rsidRPr="004846A4" w:rsidRDefault="004846A4">
      <w:pPr>
        <w:rPr>
          <w:rFonts w:asciiTheme="minorHAnsi" w:hAnsiTheme="minorHAnsi" w:cstheme="minorHAnsi"/>
        </w:rPr>
      </w:pPr>
    </w:p>
    <w:p w:rsidR="004846A4" w:rsidRPr="004846A4" w:rsidRDefault="004846A4">
      <w:pPr>
        <w:rPr>
          <w:rFonts w:asciiTheme="minorHAnsi" w:hAnsiTheme="minorHAnsi" w:cstheme="minorHAnsi"/>
        </w:rPr>
      </w:pPr>
    </w:p>
    <w:p w:rsidR="004846A4" w:rsidRPr="004846A4" w:rsidRDefault="004846A4">
      <w:pPr>
        <w:rPr>
          <w:rFonts w:asciiTheme="minorHAnsi" w:hAnsiTheme="minorHAnsi" w:cstheme="minorHAnsi"/>
        </w:rPr>
      </w:pPr>
    </w:p>
    <w:p w:rsidR="004846A4" w:rsidRPr="004846A4" w:rsidRDefault="004846A4">
      <w:pPr>
        <w:rPr>
          <w:rFonts w:asciiTheme="minorHAnsi" w:hAnsiTheme="minorHAnsi" w:cstheme="minorHAnsi"/>
        </w:rPr>
      </w:pPr>
    </w:p>
    <w:p w:rsidR="004846A4" w:rsidRPr="004846A4" w:rsidRDefault="004846A4">
      <w:pPr>
        <w:rPr>
          <w:rFonts w:asciiTheme="minorHAnsi" w:hAnsiTheme="minorHAnsi" w:cstheme="minorHAnsi"/>
        </w:rPr>
      </w:pPr>
    </w:p>
    <w:p w:rsidR="004846A4" w:rsidRPr="004846A4" w:rsidRDefault="004846A4">
      <w:pPr>
        <w:rPr>
          <w:rFonts w:asciiTheme="minorHAnsi" w:hAnsiTheme="minorHAnsi" w:cstheme="minorHAnsi"/>
        </w:rPr>
      </w:pPr>
    </w:p>
    <w:p w:rsidR="004846A4" w:rsidRPr="004846A4" w:rsidRDefault="004846A4">
      <w:pPr>
        <w:rPr>
          <w:rFonts w:asciiTheme="minorHAnsi" w:hAnsiTheme="minorHAnsi" w:cstheme="minorHAnsi"/>
        </w:rPr>
      </w:pPr>
    </w:p>
    <w:p w:rsidR="004846A4" w:rsidRDefault="004846A4">
      <w:pPr>
        <w:rPr>
          <w:rFonts w:asciiTheme="minorHAnsi" w:hAnsiTheme="minorHAnsi" w:cstheme="minorHAnsi"/>
        </w:rPr>
      </w:pPr>
    </w:p>
    <w:p w:rsidR="00834910" w:rsidRDefault="00834910">
      <w:pPr>
        <w:rPr>
          <w:rFonts w:asciiTheme="minorHAnsi" w:hAnsiTheme="minorHAnsi" w:cstheme="minorHAnsi"/>
        </w:rPr>
      </w:pPr>
    </w:p>
    <w:p w:rsidR="00834910" w:rsidRDefault="00834910">
      <w:pPr>
        <w:rPr>
          <w:rFonts w:asciiTheme="minorHAnsi" w:hAnsiTheme="minorHAnsi" w:cstheme="minorHAnsi"/>
        </w:rPr>
      </w:pPr>
    </w:p>
    <w:p w:rsidR="00834910" w:rsidRDefault="00834910">
      <w:pPr>
        <w:rPr>
          <w:rFonts w:asciiTheme="minorHAnsi" w:hAnsiTheme="minorHAnsi" w:cstheme="minorHAnsi"/>
        </w:rPr>
      </w:pPr>
    </w:p>
    <w:p w:rsidR="00834910" w:rsidRDefault="00834910">
      <w:pPr>
        <w:rPr>
          <w:rFonts w:asciiTheme="minorHAnsi" w:hAnsiTheme="minorHAnsi" w:cstheme="minorHAnsi"/>
        </w:rPr>
      </w:pPr>
    </w:p>
    <w:p w:rsidR="00834910" w:rsidRDefault="00834910">
      <w:pPr>
        <w:rPr>
          <w:rFonts w:asciiTheme="minorHAnsi" w:hAnsiTheme="minorHAnsi" w:cstheme="minorHAnsi"/>
        </w:rPr>
      </w:pPr>
    </w:p>
    <w:p w:rsidR="00834910" w:rsidRDefault="00834910">
      <w:pPr>
        <w:rPr>
          <w:rFonts w:asciiTheme="minorHAnsi" w:hAnsiTheme="minorHAnsi" w:cstheme="minorHAnsi"/>
        </w:rPr>
      </w:pPr>
    </w:p>
    <w:p w:rsidR="00834910" w:rsidRDefault="00834910">
      <w:pPr>
        <w:rPr>
          <w:rFonts w:asciiTheme="minorHAnsi" w:hAnsiTheme="minorHAnsi" w:cstheme="minorHAnsi"/>
        </w:rPr>
      </w:pPr>
    </w:p>
    <w:p w:rsidR="00834910" w:rsidRDefault="00834910">
      <w:pPr>
        <w:rPr>
          <w:rFonts w:asciiTheme="minorHAnsi" w:hAnsiTheme="minorHAnsi" w:cstheme="minorHAnsi"/>
        </w:rPr>
      </w:pPr>
    </w:p>
    <w:p w:rsidR="00834910" w:rsidRDefault="00834910">
      <w:pPr>
        <w:rPr>
          <w:rFonts w:asciiTheme="minorHAnsi" w:hAnsiTheme="minorHAnsi" w:cstheme="minorHAnsi"/>
        </w:rPr>
      </w:pPr>
    </w:p>
    <w:p w:rsidR="00834910" w:rsidRDefault="00834910">
      <w:pPr>
        <w:rPr>
          <w:rFonts w:asciiTheme="minorHAnsi" w:hAnsiTheme="minorHAnsi" w:cstheme="minorHAnsi"/>
        </w:rPr>
      </w:pPr>
    </w:p>
    <w:p w:rsidR="00834910" w:rsidRDefault="00834910">
      <w:pPr>
        <w:rPr>
          <w:rFonts w:asciiTheme="minorHAnsi" w:hAnsiTheme="minorHAnsi" w:cstheme="minorHAnsi"/>
        </w:rPr>
      </w:pPr>
    </w:p>
    <w:p w:rsidR="00834910" w:rsidRDefault="00834910">
      <w:pPr>
        <w:rPr>
          <w:rFonts w:asciiTheme="minorHAnsi" w:hAnsiTheme="minorHAnsi" w:cstheme="minorHAnsi"/>
        </w:rPr>
      </w:pPr>
    </w:p>
    <w:p w:rsidR="00834910" w:rsidRDefault="00834910">
      <w:pPr>
        <w:rPr>
          <w:rFonts w:asciiTheme="minorHAnsi" w:hAnsiTheme="minorHAnsi" w:cstheme="minorHAnsi"/>
        </w:rPr>
      </w:pPr>
    </w:p>
    <w:p w:rsidR="00834910" w:rsidRDefault="00834910">
      <w:pPr>
        <w:rPr>
          <w:rFonts w:asciiTheme="minorHAnsi" w:hAnsiTheme="minorHAnsi" w:cstheme="minorHAnsi"/>
        </w:rPr>
      </w:pPr>
    </w:p>
    <w:p w:rsidR="00834910" w:rsidRDefault="00834910">
      <w:pPr>
        <w:rPr>
          <w:rFonts w:asciiTheme="minorHAnsi" w:hAnsiTheme="minorHAnsi" w:cstheme="minorHAnsi"/>
        </w:rPr>
      </w:pPr>
    </w:p>
    <w:p w:rsidR="00834910" w:rsidRDefault="00834910">
      <w:pPr>
        <w:rPr>
          <w:rFonts w:asciiTheme="minorHAnsi" w:hAnsiTheme="minorHAnsi" w:cstheme="minorHAnsi"/>
        </w:rPr>
      </w:pPr>
    </w:p>
    <w:p w:rsidR="005B3F18" w:rsidRDefault="005B3F18">
      <w:pPr>
        <w:spacing w:after="200" w:line="276" w:lineRule="auto"/>
        <w:rPr>
          <w:rFonts w:asciiTheme="minorHAnsi" w:hAnsiTheme="minorHAnsi" w:cstheme="minorHAnsi"/>
        </w:rPr>
      </w:pPr>
      <w:r>
        <w:rPr>
          <w:rFonts w:asciiTheme="minorHAnsi" w:hAnsiTheme="minorHAnsi" w:cstheme="minorHAnsi"/>
        </w:rPr>
        <w:br w:type="page"/>
      </w:r>
    </w:p>
    <w:p w:rsidR="00834910" w:rsidRDefault="00834910">
      <w:pPr>
        <w:rPr>
          <w:rFonts w:asciiTheme="minorHAnsi" w:hAnsiTheme="minorHAnsi" w:cstheme="minorHAnsi"/>
        </w:rPr>
      </w:pPr>
    </w:p>
    <w:p w:rsidR="00834910" w:rsidRPr="004846A4" w:rsidRDefault="00834910">
      <w:pPr>
        <w:rPr>
          <w:rFonts w:asciiTheme="minorHAnsi" w:hAnsiTheme="minorHAnsi" w:cstheme="minorHAnsi"/>
        </w:rPr>
      </w:pPr>
    </w:p>
    <w:p w:rsidR="00F528D8" w:rsidRPr="00093D47" w:rsidRDefault="00F528D8" w:rsidP="00F528D8">
      <w:pPr>
        <w:jc w:val="center"/>
        <w:rPr>
          <w:rFonts w:asciiTheme="minorHAnsi" w:hAnsiTheme="minorHAnsi" w:cstheme="minorHAnsi"/>
          <w:b/>
          <w:smallCaps/>
          <w:sz w:val="32"/>
          <w:szCs w:val="32"/>
        </w:rPr>
      </w:pPr>
      <w:r w:rsidRPr="00F528D8">
        <w:rPr>
          <w:rFonts w:asciiTheme="minorHAnsi" w:hAnsiTheme="minorHAnsi" w:cstheme="minorHAnsi"/>
          <w:b/>
          <w:smallCaps/>
          <w:sz w:val="32"/>
          <w:szCs w:val="32"/>
        </w:rPr>
        <w:t xml:space="preserve">Rapport </w:t>
      </w:r>
      <w:proofErr w:type="spellStart"/>
      <w:r w:rsidRPr="00F528D8">
        <w:rPr>
          <w:rFonts w:asciiTheme="minorHAnsi" w:hAnsiTheme="minorHAnsi" w:cstheme="minorHAnsi"/>
          <w:b/>
          <w:smallCaps/>
          <w:sz w:val="32"/>
          <w:szCs w:val="32"/>
        </w:rPr>
        <w:t>g</w:t>
      </w:r>
      <w:r w:rsidRPr="00F528D8">
        <w:rPr>
          <w:rFonts w:asciiTheme="minorHAnsi" w:hAnsiTheme="minorHAnsi" w:cstheme="minorHAnsi"/>
          <w:b/>
          <w:smallCaps/>
          <w:sz w:val="26"/>
          <w:szCs w:val="26"/>
        </w:rPr>
        <w:t>É</w:t>
      </w:r>
      <w:r>
        <w:rPr>
          <w:rFonts w:asciiTheme="minorHAnsi" w:hAnsiTheme="minorHAnsi" w:cstheme="minorHAnsi"/>
          <w:b/>
          <w:smallCaps/>
          <w:sz w:val="26"/>
          <w:szCs w:val="26"/>
        </w:rPr>
        <w:t>N</w:t>
      </w:r>
      <w:r w:rsidRPr="00F528D8">
        <w:rPr>
          <w:rFonts w:asciiTheme="minorHAnsi" w:hAnsiTheme="minorHAnsi" w:cstheme="minorHAnsi"/>
          <w:b/>
          <w:smallCaps/>
          <w:sz w:val="26"/>
          <w:szCs w:val="26"/>
        </w:rPr>
        <w:t>É</w:t>
      </w:r>
      <w:r w:rsidRPr="00F528D8">
        <w:rPr>
          <w:rFonts w:asciiTheme="minorHAnsi" w:hAnsiTheme="minorHAnsi" w:cstheme="minorHAnsi"/>
          <w:b/>
          <w:smallCaps/>
          <w:sz w:val="32"/>
          <w:szCs w:val="32"/>
        </w:rPr>
        <w:t>ral</w:t>
      </w:r>
      <w:proofErr w:type="spellEnd"/>
      <w:r w:rsidRPr="00F528D8">
        <w:rPr>
          <w:rFonts w:ascii="Arial" w:hAnsi="Arial" w:cs="Arial"/>
          <w:b/>
          <w:smallCaps/>
          <w:sz w:val="32"/>
          <w:szCs w:val="32"/>
        </w:rPr>
        <w:t xml:space="preserve"> </w:t>
      </w:r>
      <w:r w:rsidRPr="00F528D8">
        <w:rPr>
          <w:rFonts w:asciiTheme="minorHAnsi" w:hAnsiTheme="minorHAnsi" w:cstheme="minorHAnsi"/>
          <w:b/>
          <w:smallCaps/>
          <w:sz w:val="32"/>
          <w:szCs w:val="32"/>
        </w:rPr>
        <w:t>et financier</w:t>
      </w:r>
      <w:r>
        <w:rPr>
          <w:rFonts w:asciiTheme="minorHAnsi" w:hAnsiTheme="minorHAnsi" w:cstheme="minorHAnsi"/>
          <w:b/>
          <w:smallCaps/>
          <w:sz w:val="32"/>
          <w:szCs w:val="32"/>
        </w:rPr>
        <w:t xml:space="preserve"> 2013</w:t>
      </w:r>
      <w:r w:rsidRPr="00093D47">
        <w:rPr>
          <w:rFonts w:asciiTheme="minorHAnsi" w:hAnsiTheme="minorHAnsi" w:cstheme="minorHAnsi"/>
          <w:b/>
          <w:smallCaps/>
          <w:sz w:val="32"/>
          <w:szCs w:val="32"/>
        </w:rPr>
        <w:t xml:space="preserve"> sur l’utilisation des </w:t>
      </w:r>
      <w:proofErr w:type="spellStart"/>
      <w:r w:rsidRPr="00093D47">
        <w:rPr>
          <w:rFonts w:asciiTheme="minorHAnsi" w:hAnsiTheme="minorHAnsi" w:cstheme="minorHAnsi"/>
          <w:b/>
          <w:smallCaps/>
          <w:sz w:val="32"/>
          <w:szCs w:val="32"/>
        </w:rPr>
        <w:t>cr</w:t>
      </w:r>
      <w:r w:rsidRPr="00F528D8">
        <w:rPr>
          <w:rFonts w:asciiTheme="minorHAnsi" w:hAnsiTheme="minorHAnsi" w:cstheme="minorHAnsi"/>
          <w:b/>
          <w:smallCaps/>
          <w:sz w:val="26"/>
          <w:szCs w:val="26"/>
        </w:rPr>
        <w:t>É</w:t>
      </w:r>
      <w:r w:rsidRPr="00093D47">
        <w:rPr>
          <w:rFonts w:asciiTheme="minorHAnsi" w:hAnsiTheme="minorHAnsi" w:cstheme="minorHAnsi"/>
          <w:b/>
          <w:smallCaps/>
          <w:sz w:val="32"/>
          <w:szCs w:val="32"/>
        </w:rPr>
        <w:t>dits</w:t>
      </w:r>
      <w:proofErr w:type="spellEnd"/>
      <w:r w:rsidRPr="00093D47">
        <w:rPr>
          <w:rFonts w:asciiTheme="minorHAnsi" w:hAnsiTheme="minorHAnsi" w:cstheme="minorHAnsi"/>
          <w:b/>
          <w:smallCaps/>
          <w:sz w:val="32"/>
          <w:szCs w:val="32"/>
        </w:rPr>
        <w:t xml:space="preserve"> d’</w:t>
      </w:r>
      <w:r w:rsidRPr="00F528D8">
        <w:rPr>
          <w:rFonts w:asciiTheme="minorHAnsi" w:hAnsiTheme="minorHAnsi" w:cstheme="minorHAnsi"/>
          <w:b/>
          <w:smallCaps/>
          <w:sz w:val="26"/>
          <w:szCs w:val="26"/>
        </w:rPr>
        <w:t>É</w:t>
      </w:r>
      <w:r w:rsidRPr="00093D47">
        <w:rPr>
          <w:rFonts w:asciiTheme="minorHAnsi" w:hAnsiTheme="minorHAnsi" w:cstheme="minorHAnsi"/>
          <w:b/>
          <w:smallCaps/>
          <w:sz w:val="32"/>
          <w:szCs w:val="32"/>
        </w:rPr>
        <w:t>quipement du Fond</w:t>
      </w:r>
      <w:r>
        <w:rPr>
          <w:rFonts w:asciiTheme="minorHAnsi" w:hAnsiTheme="minorHAnsi" w:cstheme="minorHAnsi"/>
          <w:b/>
          <w:smallCaps/>
          <w:sz w:val="32"/>
          <w:szCs w:val="32"/>
        </w:rPr>
        <w:t>s</w:t>
      </w:r>
      <w:r w:rsidRPr="00093D47">
        <w:rPr>
          <w:rFonts w:asciiTheme="minorHAnsi" w:hAnsiTheme="minorHAnsi" w:cstheme="minorHAnsi"/>
          <w:b/>
          <w:smallCaps/>
          <w:sz w:val="32"/>
          <w:szCs w:val="32"/>
        </w:rPr>
        <w:t xml:space="preserve"> </w:t>
      </w:r>
      <w:proofErr w:type="spellStart"/>
      <w:r w:rsidRPr="00093D47">
        <w:rPr>
          <w:rFonts w:asciiTheme="minorHAnsi" w:hAnsiTheme="minorHAnsi" w:cstheme="minorHAnsi"/>
          <w:b/>
          <w:smallCaps/>
          <w:sz w:val="32"/>
          <w:szCs w:val="32"/>
        </w:rPr>
        <w:t>R</w:t>
      </w:r>
      <w:r w:rsidRPr="00F528D8">
        <w:rPr>
          <w:rFonts w:asciiTheme="minorHAnsi" w:hAnsiTheme="minorHAnsi" w:cstheme="minorHAnsi"/>
          <w:b/>
          <w:smallCaps/>
          <w:sz w:val="26"/>
          <w:szCs w:val="26"/>
        </w:rPr>
        <w:t>É</w:t>
      </w:r>
      <w:r w:rsidRPr="00093D47">
        <w:rPr>
          <w:rFonts w:asciiTheme="minorHAnsi" w:hAnsiTheme="minorHAnsi" w:cstheme="minorHAnsi"/>
          <w:b/>
          <w:smallCaps/>
          <w:sz w:val="32"/>
          <w:szCs w:val="32"/>
        </w:rPr>
        <w:t>gional</w:t>
      </w:r>
      <w:proofErr w:type="spellEnd"/>
      <w:r w:rsidRPr="00093D47">
        <w:rPr>
          <w:rFonts w:asciiTheme="minorHAnsi" w:hAnsiTheme="minorHAnsi" w:cstheme="minorHAnsi"/>
          <w:b/>
          <w:smallCaps/>
          <w:sz w:val="32"/>
          <w:szCs w:val="32"/>
        </w:rPr>
        <w:t xml:space="preserve"> de </w:t>
      </w:r>
      <w:proofErr w:type="spellStart"/>
      <w:r w:rsidRPr="00093D47">
        <w:rPr>
          <w:rFonts w:asciiTheme="minorHAnsi" w:hAnsiTheme="minorHAnsi" w:cstheme="minorHAnsi"/>
          <w:b/>
          <w:smallCaps/>
          <w:sz w:val="32"/>
          <w:szCs w:val="32"/>
        </w:rPr>
        <w:t>D</w:t>
      </w:r>
      <w:r w:rsidRPr="00F528D8">
        <w:rPr>
          <w:rFonts w:asciiTheme="minorHAnsi" w:hAnsiTheme="minorHAnsi" w:cstheme="minorHAnsi"/>
          <w:b/>
          <w:smallCaps/>
          <w:sz w:val="26"/>
          <w:szCs w:val="26"/>
        </w:rPr>
        <w:t>É</w:t>
      </w:r>
      <w:r w:rsidRPr="00093D47">
        <w:rPr>
          <w:rFonts w:asciiTheme="minorHAnsi" w:hAnsiTheme="minorHAnsi" w:cstheme="minorHAnsi"/>
          <w:b/>
          <w:smallCaps/>
          <w:sz w:val="32"/>
          <w:szCs w:val="32"/>
        </w:rPr>
        <w:t>veloppement</w:t>
      </w:r>
      <w:proofErr w:type="spellEnd"/>
    </w:p>
    <w:p w:rsidR="00F528D8" w:rsidRPr="0009391D" w:rsidRDefault="00F528D8" w:rsidP="002F04D1">
      <w:pPr>
        <w:pStyle w:val="Paragraphedeliste"/>
        <w:numPr>
          <w:ilvl w:val="0"/>
          <w:numId w:val="11"/>
        </w:numPr>
        <w:jc w:val="center"/>
        <w:rPr>
          <w:rFonts w:asciiTheme="minorHAnsi" w:hAnsiTheme="minorHAnsi" w:cstheme="minorHAnsi"/>
          <w:b/>
          <w:smallCaps/>
          <w:sz w:val="32"/>
          <w:szCs w:val="32"/>
        </w:rPr>
      </w:pPr>
    </w:p>
    <w:p w:rsidR="00F528D8" w:rsidRPr="00093D47" w:rsidRDefault="00F528D8" w:rsidP="00F528D8">
      <w:pPr>
        <w:jc w:val="center"/>
        <w:rPr>
          <w:rFonts w:asciiTheme="minorHAnsi" w:hAnsiTheme="minorHAnsi" w:cstheme="minorHAnsi"/>
          <w:b/>
          <w:smallCaps/>
          <w:sz w:val="32"/>
          <w:szCs w:val="32"/>
        </w:rPr>
      </w:pPr>
      <w:r>
        <w:rPr>
          <w:rFonts w:asciiTheme="minorHAnsi" w:hAnsiTheme="minorHAnsi" w:cstheme="minorHAnsi"/>
          <w:b/>
          <w:smallCaps/>
          <w:sz w:val="32"/>
          <w:szCs w:val="32"/>
        </w:rPr>
        <w:t>Exercice 2012</w:t>
      </w:r>
    </w:p>
    <w:p w:rsidR="004846A4" w:rsidRDefault="004846A4">
      <w:pPr>
        <w:rPr>
          <w:rFonts w:asciiTheme="minorHAnsi" w:hAnsiTheme="minorHAnsi" w:cstheme="minorHAnsi"/>
        </w:rPr>
      </w:pPr>
    </w:p>
    <w:p w:rsidR="008D5DF5" w:rsidRDefault="008D5DF5">
      <w:pPr>
        <w:rPr>
          <w:rFonts w:asciiTheme="minorHAnsi" w:hAnsiTheme="minorHAnsi" w:cstheme="minorHAnsi"/>
        </w:rPr>
      </w:pPr>
    </w:p>
    <w:p w:rsidR="008D5DF5" w:rsidRDefault="008D5DF5">
      <w:pPr>
        <w:rPr>
          <w:rFonts w:asciiTheme="minorHAnsi" w:hAnsiTheme="minorHAnsi" w:cstheme="minorHAnsi"/>
        </w:rPr>
      </w:pPr>
    </w:p>
    <w:p w:rsidR="008D5DF5" w:rsidRDefault="008D5DF5">
      <w:pPr>
        <w:rPr>
          <w:rFonts w:asciiTheme="minorHAnsi" w:hAnsiTheme="minorHAnsi" w:cstheme="minorHAnsi"/>
        </w:rPr>
      </w:pPr>
    </w:p>
    <w:p w:rsidR="008D5DF5" w:rsidRDefault="008D5DF5">
      <w:pPr>
        <w:rPr>
          <w:rFonts w:asciiTheme="minorHAnsi" w:hAnsiTheme="minorHAnsi" w:cstheme="minorHAnsi"/>
        </w:rPr>
      </w:pPr>
    </w:p>
    <w:p w:rsidR="008D5DF5" w:rsidRDefault="008D5DF5">
      <w:pPr>
        <w:rPr>
          <w:rFonts w:asciiTheme="minorHAnsi" w:hAnsiTheme="minorHAnsi" w:cstheme="minorHAnsi"/>
        </w:rPr>
      </w:pPr>
    </w:p>
    <w:p w:rsidR="008D5DF5" w:rsidRDefault="008D5DF5">
      <w:pPr>
        <w:rPr>
          <w:rFonts w:asciiTheme="minorHAnsi" w:hAnsiTheme="minorHAnsi" w:cstheme="minorHAnsi"/>
        </w:rPr>
      </w:pPr>
    </w:p>
    <w:p w:rsidR="008D5DF5" w:rsidRDefault="008D5DF5">
      <w:pPr>
        <w:rPr>
          <w:rFonts w:asciiTheme="minorHAnsi" w:hAnsiTheme="minorHAnsi" w:cstheme="minorHAnsi"/>
        </w:rPr>
      </w:pPr>
    </w:p>
    <w:p w:rsidR="008D5DF5" w:rsidRDefault="008D5DF5">
      <w:pPr>
        <w:rPr>
          <w:rFonts w:asciiTheme="minorHAnsi" w:hAnsiTheme="minorHAnsi" w:cstheme="minorHAnsi"/>
        </w:rPr>
      </w:pPr>
    </w:p>
    <w:p w:rsidR="008D5DF5" w:rsidRDefault="008D5DF5">
      <w:pPr>
        <w:rPr>
          <w:rFonts w:asciiTheme="minorHAnsi" w:hAnsiTheme="minorHAnsi" w:cstheme="minorHAnsi"/>
        </w:rPr>
      </w:pPr>
    </w:p>
    <w:p w:rsidR="008D5DF5" w:rsidRDefault="008D5DF5">
      <w:pPr>
        <w:rPr>
          <w:rFonts w:asciiTheme="minorHAnsi" w:hAnsiTheme="minorHAnsi" w:cstheme="minorHAnsi"/>
        </w:rPr>
      </w:pPr>
    </w:p>
    <w:p w:rsidR="008D5DF5" w:rsidRDefault="008D5DF5">
      <w:pPr>
        <w:rPr>
          <w:rFonts w:asciiTheme="minorHAnsi" w:hAnsiTheme="minorHAnsi" w:cstheme="minorHAnsi"/>
        </w:rPr>
      </w:pPr>
    </w:p>
    <w:p w:rsidR="008D5DF5" w:rsidRDefault="008D5DF5">
      <w:pPr>
        <w:rPr>
          <w:rFonts w:asciiTheme="minorHAnsi" w:hAnsiTheme="minorHAnsi" w:cstheme="minorHAnsi"/>
        </w:rPr>
      </w:pPr>
    </w:p>
    <w:p w:rsidR="008D5DF5" w:rsidRPr="004846A4" w:rsidRDefault="008D5DF5">
      <w:pPr>
        <w:rPr>
          <w:rFonts w:asciiTheme="minorHAnsi" w:hAnsiTheme="minorHAnsi" w:cstheme="minorHAnsi"/>
        </w:rPr>
      </w:pPr>
    </w:p>
    <w:p w:rsidR="004846A4" w:rsidRPr="00093D47" w:rsidRDefault="004846A4">
      <w:pPr>
        <w:rPr>
          <w:rFonts w:asciiTheme="minorHAnsi" w:hAnsiTheme="minorHAnsi" w:cstheme="minorHAnsi"/>
          <w:b/>
          <w:smallCaps/>
          <w:sz w:val="32"/>
          <w:szCs w:val="32"/>
        </w:rPr>
      </w:pPr>
      <w:r w:rsidRPr="00093D47">
        <w:rPr>
          <w:rFonts w:asciiTheme="minorHAnsi" w:hAnsiTheme="minorHAnsi" w:cstheme="minorHAnsi"/>
          <w:b/>
          <w:smallCaps/>
          <w:sz w:val="32"/>
          <w:szCs w:val="32"/>
        </w:rPr>
        <w:t>Bilan national</w:t>
      </w:r>
    </w:p>
    <w:p w:rsidR="004846A4" w:rsidRPr="003A4E73" w:rsidRDefault="00F9433D" w:rsidP="003A4E73">
      <w:pPr>
        <w:shd w:val="clear" w:color="auto" w:fill="76923C" w:themeFill="accent3" w:themeFillShade="BF"/>
        <w:rPr>
          <w:rFonts w:asciiTheme="minorHAnsi" w:hAnsiTheme="minorHAnsi" w:cstheme="minorHAnsi"/>
          <w:b/>
          <w:color w:val="76923C" w:themeColor="accent3" w:themeShade="BF"/>
          <w:sz w:val="16"/>
          <w:szCs w:val="16"/>
        </w:rPr>
      </w:pPr>
      <w:r w:rsidRPr="00F9433D">
        <w:rPr>
          <w:rFonts w:asciiTheme="minorHAnsi" w:hAnsiTheme="minorHAnsi" w:cstheme="minorHAnsi"/>
          <w:b/>
          <w:color w:val="76923C" w:themeColor="accent3" w:themeShade="BF"/>
          <w:sz w:val="16"/>
          <w:szCs w:val="16"/>
        </w:rPr>
        <w:pict>
          <v:rect id="_x0000_i1027" style="width:0;height:1.5pt" o:hralign="center" o:hrstd="t" o:hr="t" fillcolor="#a0a0a0" stroked="f"/>
        </w:pict>
      </w:r>
    </w:p>
    <w:p w:rsidR="004846A4" w:rsidRPr="004846A4" w:rsidRDefault="004846A4">
      <w:pPr>
        <w:rPr>
          <w:rFonts w:asciiTheme="minorHAnsi" w:hAnsiTheme="minorHAnsi" w:cstheme="minorHAnsi"/>
        </w:rPr>
      </w:pPr>
    </w:p>
    <w:p w:rsidR="004846A4" w:rsidRPr="002742CC" w:rsidRDefault="00CA016B" w:rsidP="002F04D1">
      <w:pPr>
        <w:pStyle w:val="Paragraphedeliste"/>
        <w:numPr>
          <w:ilvl w:val="0"/>
          <w:numId w:val="1"/>
        </w:numPr>
        <w:rPr>
          <w:rFonts w:asciiTheme="minorHAnsi" w:hAnsiTheme="minorHAnsi" w:cstheme="minorHAnsi"/>
          <w:b/>
        </w:rPr>
      </w:pPr>
      <w:r w:rsidRPr="002742CC">
        <w:rPr>
          <w:rFonts w:asciiTheme="minorHAnsi" w:hAnsiTheme="minorHAnsi" w:cstheme="minorHAnsi"/>
          <w:b/>
        </w:rPr>
        <w:t>Crédits d’équipement du FRD</w:t>
      </w:r>
      <w:r w:rsidR="005B408C">
        <w:rPr>
          <w:rFonts w:asciiTheme="minorHAnsi" w:hAnsiTheme="minorHAnsi" w:cstheme="minorHAnsi"/>
          <w:b/>
        </w:rPr>
        <w:t xml:space="preserve"> 2012</w:t>
      </w:r>
    </w:p>
    <w:p w:rsidR="00E42706" w:rsidRPr="00A04C64" w:rsidRDefault="00E42706" w:rsidP="00E42706">
      <w:pPr>
        <w:pStyle w:val="Paragraphedeliste"/>
        <w:ind w:left="1080"/>
        <w:rPr>
          <w:rFonts w:asciiTheme="minorHAnsi" w:hAnsiTheme="minorHAnsi" w:cstheme="minorHAnsi"/>
          <w:sz w:val="22"/>
          <w:szCs w:val="22"/>
        </w:rPr>
      </w:pPr>
    </w:p>
    <w:p w:rsidR="00F10A84" w:rsidRPr="005C3C55" w:rsidRDefault="00442B3E" w:rsidP="002F04D1">
      <w:pPr>
        <w:pStyle w:val="Paragraphedeliste"/>
        <w:numPr>
          <w:ilvl w:val="0"/>
          <w:numId w:val="2"/>
        </w:numPr>
        <w:rPr>
          <w:rFonts w:asciiTheme="minorHAnsi" w:hAnsiTheme="minorHAnsi" w:cstheme="minorHAnsi"/>
          <w:b/>
          <w:sz w:val="22"/>
          <w:szCs w:val="22"/>
        </w:rPr>
      </w:pPr>
      <w:r>
        <w:rPr>
          <w:rFonts w:asciiTheme="minorHAnsi" w:hAnsiTheme="minorHAnsi" w:cstheme="minorHAnsi"/>
          <w:b/>
          <w:sz w:val="22"/>
          <w:szCs w:val="22"/>
        </w:rPr>
        <w:t>É</w:t>
      </w:r>
      <w:r w:rsidR="00F10A84" w:rsidRPr="005C3C55">
        <w:rPr>
          <w:rFonts w:asciiTheme="minorHAnsi" w:hAnsiTheme="minorHAnsi" w:cstheme="minorHAnsi"/>
          <w:b/>
          <w:sz w:val="22"/>
          <w:szCs w:val="22"/>
        </w:rPr>
        <w:t>volution des m</w:t>
      </w:r>
      <w:r>
        <w:rPr>
          <w:rFonts w:asciiTheme="minorHAnsi" w:hAnsiTheme="minorHAnsi" w:cstheme="minorHAnsi"/>
          <w:b/>
          <w:sz w:val="22"/>
          <w:szCs w:val="22"/>
        </w:rPr>
        <w:t xml:space="preserve">ontants entre les exercices </w:t>
      </w:r>
      <w:r w:rsidR="00DE210A">
        <w:rPr>
          <w:rFonts w:asciiTheme="minorHAnsi" w:hAnsiTheme="minorHAnsi" w:cstheme="minorHAnsi"/>
          <w:b/>
          <w:sz w:val="22"/>
          <w:szCs w:val="22"/>
        </w:rPr>
        <w:t xml:space="preserve">2010, </w:t>
      </w:r>
      <w:r>
        <w:rPr>
          <w:rFonts w:asciiTheme="minorHAnsi" w:hAnsiTheme="minorHAnsi" w:cstheme="minorHAnsi"/>
          <w:b/>
          <w:sz w:val="22"/>
          <w:szCs w:val="22"/>
        </w:rPr>
        <w:t>2011 et 2012</w:t>
      </w:r>
    </w:p>
    <w:p w:rsidR="00F10A84" w:rsidRPr="00A04C64" w:rsidRDefault="00F10A84" w:rsidP="00F10A84">
      <w:pPr>
        <w:rPr>
          <w:rFonts w:asciiTheme="minorHAnsi" w:hAnsiTheme="minorHAnsi" w:cstheme="minorHAnsi"/>
          <w:sz w:val="22"/>
          <w:szCs w:val="22"/>
        </w:rPr>
      </w:pPr>
    </w:p>
    <w:p w:rsidR="001B17B1" w:rsidRDefault="00F10A84" w:rsidP="00964536">
      <w:pPr>
        <w:jc w:val="both"/>
        <w:rPr>
          <w:rFonts w:asciiTheme="minorHAnsi" w:hAnsiTheme="minorHAnsi" w:cstheme="minorHAnsi"/>
          <w:sz w:val="22"/>
          <w:szCs w:val="22"/>
        </w:rPr>
      </w:pPr>
      <w:r w:rsidRPr="00A04C64">
        <w:rPr>
          <w:rFonts w:asciiTheme="minorHAnsi" w:hAnsiTheme="minorHAnsi" w:cstheme="minorHAnsi"/>
          <w:sz w:val="22"/>
          <w:szCs w:val="22"/>
        </w:rPr>
        <w:t>L</w:t>
      </w:r>
      <w:r w:rsidR="00442B3E">
        <w:rPr>
          <w:rFonts w:asciiTheme="minorHAnsi" w:hAnsiTheme="minorHAnsi" w:cstheme="minorHAnsi"/>
          <w:sz w:val="22"/>
          <w:szCs w:val="22"/>
        </w:rPr>
        <w:t>e montant global du FRD a donc augmenté</w:t>
      </w:r>
      <w:r w:rsidRPr="00A04C64">
        <w:rPr>
          <w:rFonts w:asciiTheme="minorHAnsi" w:hAnsiTheme="minorHAnsi" w:cstheme="minorHAnsi"/>
          <w:sz w:val="22"/>
          <w:szCs w:val="22"/>
        </w:rPr>
        <w:t xml:space="preserve"> </w:t>
      </w:r>
      <w:r w:rsidR="00442B3E">
        <w:rPr>
          <w:rFonts w:asciiTheme="minorHAnsi" w:hAnsiTheme="minorHAnsi" w:cstheme="minorHAnsi"/>
          <w:sz w:val="22"/>
          <w:szCs w:val="22"/>
        </w:rPr>
        <w:t>de 500 000 000 MRO entre 2011 et 2012</w:t>
      </w:r>
      <w:r w:rsidRPr="00A04C64">
        <w:rPr>
          <w:rFonts w:asciiTheme="minorHAnsi" w:hAnsiTheme="minorHAnsi" w:cstheme="minorHAnsi"/>
          <w:sz w:val="22"/>
          <w:szCs w:val="22"/>
        </w:rPr>
        <w:t xml:space="preserve">, </w:t>
      </w:r>
      <w:r w:rsidR="00442B3E">
        <w:rPr>
          <w:rFonts w:asciiTheme="minorHAnsi" w:hAnsiTheme="minorHAnsi" w:cstheme="minorHAnsi"/>
          <w:sz w:val="22"/>
          <w:szCs w:val="22"/>
        </w:rPr>
        <w:t>passant de 3 à 3,5 milliards d’</w:t>
      </w:r>
      <w:r w:rsidR="004871EA">
        <w:rPr>
          <w:rFonts w:asciiTheme="minorHAnsi" w:hAnsiTheme="minorHAnsi" w:cstheme="minorHAnsi"/>
          <w:sz w:val="22"/>
          <w:szCs w:val="22"/>
        </w:rPr>
        <w:t>ouguiya</w:t>
      </w:r>
      <w:r w:rsidR="00D53C80">
        <w:rPr>
          <w:rFonts w:asciiTheme="minorHAnsi" w:hAnsiTheme="minorHAnsi" w:cstheme="minorHAnsi"/>
          <w:sz w:val="22"/>
          <w:szCs w:val="22"/>
        </w:rPr>
        <w:t xml:space="preserve"> (+16,67%)</w:t>
      </w:r>
      <w:r w:rsidR="001B17B1">
        <w:rPr>
          <w:rFonts w:asciiTheme="minorHAnsi" w:hAnsiTheme="minorHAnsi" w:cstheme="minorHAnsi"/>
          <w:sz w:val="22"/>
          <w:szCs w:val="22"/>
        </w:rPr>
        <w:t>.</w:t>
      </w:r>
    </w:p>
    <w:p w:rsidR="003223DC" w:rsidRPr="00A04C64" w:rsidRDefault="0072006A" w:rsidP="00964536">
      <w:pPr>
        <w:jc w:val="both"/>
        <w:rPr>
          <w:rFonts w:asciiTheme="minorHAnsi" w:hAnsiTheme="minorHAnsi" w:cstheme="minorHAnsi"/>
          <w:sz w:val="22"/>
          <w:szCs w:val="22"/>
        </w:rPr>
      </w:pPr>
      <w:r>
        <w:rPr>
          <w:rFonts w:asciiTheme="minorHAnsi" w:hAnsiTheme="minorHAnsi" w:cstheme="minorHAnsi"/>
          <w:sz w:val="22"/>
          <w:szCs w:val="22"/>
        </w:rPr>
        <w:t>L</w:t>
      </w:r>
      <w:r w:rsidR="00442B3E">
        <w:rPr>
          <w:rFonts w:asciiTheme="minorHAnsi" w:hAnsiTheme="minorHAnsi" w:cstheme="minorHAnsi"/>
          <w:sz w:val="22"/>
          <w:szCs w:val="22"/>
        </w:rPr>
        <w:t>a répartition</w:t>
      </w:r>
      <w:r w:rsidR="00D53C80">
        <w:rPr>
          <w:rFonts w:asciiTheme="minorHAnsi" w:hAnsiTheme="minorHAnsi" w:cstheme="minorHAnsi"/>
          <w:sz w:val="22"/>
          <w:szCs w:val="22"/>
        </w:rPr>
        <w:t xml:space="preserve"> entre le fonctionnement, l’investissement et le suivi-évaluation </w:t>
      </w:r>
      <w:r>
        <w:rPr>
          <w:rFonts w:asciiTheme="minorHAnsi" w:hAnsiTheme="minorHAnsi" w:cstheme="minorHAnsi"/>
          <w:sz w:val="22"/>
          <w:szCs w:val="22"/>
        </w:rPr>
        <w:t xml:space="preserve">prend en compte dès 2011 les modifications apportées par le </w:t>
      </w:r>
      <w:r w:rsidRPr="00A04C64">
        <w:rPr>
          <w:rFonts w:asciiTheme="minorHAnsi" w:hAnsiTheme="minorHAnsi" w:cstheme="minorHAnsi"/>
          <w:sz w:val="22"/>
          <w:szCs w:val="22"/>
        </w:rPr>
        <w:t>décr</w:t>
      </w:r>
      <w:r>
        <w:rPr>
          <w:rFonts w:asciiTheme="minorHAnsi" w:hAnsiTheme="minorHAnsi" w:cstheme="minorHAnsi"/>
          <w:sz w:val="22"/>
          <w:szCs w:val="22"/>
        </w:rPr>
        <w:t xml:space="preserve">et n°2011-059 du 14 février 2011 et </w:t>
      </w:r>
      <w:r w:rsidR="00D53C80">
        <w:rPr>
          <w:rFonts w:asciiTheme="minorHAnsi" w:hAnsiTheme="minorHAnsi" w:cstheme="minorHAnsi"/>
          <w:sz w:val="22"/>
          <w:szCs w:val="22"/>
        </w:rPr>
        <w:t>se fait donc de la manière suivante, e</w:t>
      </w:r>
      <w:r w:rsidR="00C31A6B">
        <w:rPr>
          <w:rFonts w:asciiTheme="minorHAnsi" w:hAnsiTheme="minorHAnsi" w:cstheme="minorHAnsi"/>
          <w:sz w:val="22"/>
          <w:szCs w:val="22"/>
        </w:rPr>
        <w:t>n montants arrondis</w:t>
      </w:r>
      <w:r w:rsidR="00D53C80">
        <w:rPr>
          <w:rFonts w:asciiTheme="minorHAnsi" w:hAnsiTheme="minorHAnsi" w:cstheme="minorHAnsi"/>
          <w:sz w:val="22"/>
          <w:szCs w:val="22"/>
        </w:rPr>
        <w:t xml:space="preserve">, pour les </w:t>
      </w:r>
      <w:r w:rsidR="003223DC" w:rsidRPr="00A04C64">
        <w:rPr>
          <w:rFonts w:asciiTheme="minorHAnsi" w:hAnsiTheme="minorHAnsi" w:cstheme="minorHAnsi"/>
          <w:sz w:val="22"/>
          <w:szCs w:val="22"/>
        </w:rPr>
        <w:t>exercice</w:t>
      </w:r>
      <w:r w:rsidR="00D53C80">
        <w:rPr>
          <w:rFonts w:asciiTheme="minorHAnsi" w:hAnsiTheme="minorHAnsi" w:cstheme="minorHAnsi"/>
          <w:sz w:val="22"/>
          <w:szCs w:val="22"/>
        </w:rPr>
        <w:t>s</w:t>
      </w:r>
      <w:r w:rsidR="003223DC" w:rsidRPr="00A04C64">
        <w:rPr>
          <w:rFonts w:asciiTheme="minorHAnsi" w:hAnsiTheme="minorHAnsi" w:cstheme="minorHAnsi"/>
          <w:sz w:val="22"/>
          <w:szCs w:val="22"/>
        </w:rPr>
        <w:t xml:space="preserve"> </w:t>
      </w:r>
      <w:r w:rsidR="00DE210A">
        <w:rPr>
          <w:rFonts w:asciiTheme="minorHAnsi" w:hAnsiTheme="minorHAnsi" w:cstheme="minorHAnsi"/>
          <w:sz w:val="22"/>
          <w:szCs w:val="22"/>
        </w:rPr>
        <w:t xml:space="preserve">2010, </w:t>
      </w:r>
      <w:r w:rsidR="003223DC" w:rsidRPr="00A04C64">
        <w:rPr>
          <w:rFonts w:asciiTheme="minorHAnsi" w:hAnsiTheme="minorHAnsi" w:cstheme="minorHAnsi"/>
          <w:sz w:val="22"/>
          <w:szCs w:val="22"/>
        </w:rPr>
        <w:t xml:space="preserve">2011 </w:t>
      </w:r>
      <w:r w:rsidR="001B17B1">
        <w:rPr>
          <w:rFonts w:asciiTheme="minorHAnsi" w:hAnsiTheme="minorHAnsi" w:cstheme="minorHAnsi"/>
          <w:sz w:val="22"/>
          <w:szCs w:val="22"/>
        </w:rPr>
        <w:t>et 2012</w:t>
      </w:r>
      <w:r w:rsidR="003223DC" w:rsidRPr="00A04C64">
        <w:rPr>
          <w:rFonts w:asciiTheme="minorHAnsi" w:hAnsiTheme="minorHAnsi" w:cstheme="minorHAnsi"/>
          <w:sz w:val="22"/>
          <w:szCs w:val="22"/>
        </w:rPr>
        <w:t xml:space="preserve"> : </w:t>
      </w:r>
    </w:p>
    <w:p w:rsidR="003223DC" w:rsidRPr="00A04C64" w:rsidRDefault="003223DC" w:rsidP="00964536">
      <w:pPr>
        <w:jc w:val="both"/>
        <w:rPr>
          <w:rFonts w:asciiTheme="minorHAnsi" w:hAnsiTheme="minorHAnsi" w:cstheme="minorHAnsi"/>
          <w:sz w:val="22"/>
          <w:szCs w:val="22"/>
        </w:rPr>
      </w:pPr>
    </w:p>
    <w:tbl>
      <w:tblPr>
        <w:tblStyle w:val="Grilledutableau"/>
        <w:tblW w:w="0" w:type="auto"/>
        <w:jc w:val="center"/>
        <w:tblInd w:w="-1297" w:type="dxa"/>
        <w:tblLook w:val="04A0"/>
      </w:tblPr>
      <w:tblGrid>
        <w:gridCol w:w="3856"/>
        <w:gridCol w:w="2196"/>
        <w:gridCol w:w="2126"/>
        <w:gridCol w:w="1984"/>
      </w:tblGrid>
      <w:tr w:rsidR="00DE210A" w:rsidRPr="00A04C64" w:rsidTr="008D5DF5">
        <w:trPr>
          <w:jc w:val="center"/>
        </w:trPr>
        <w:tc>
          <w:tcPr>
            <w:tcW w:w="3856" w:type="dxa"/>
            <w:shd w:val="clear" w:color="auto" w:fill="92D050"/>
            <w:vAlign w:val="center"/>
          </w:tcPr>
          <w:p w:rsidR="00DE210A" w:rsidRPr="008D5DF5" w:rsidRDefault="00DE210A" w:rsidP="00964536">
            <w:pPr>
              <w:jc w:val="both"/>
              <w:rPr>
                <w:rFonts w:asciiTheme="minorHAnsi" w:hAnsiTheme="minorHAnsi" w:cstheme="minorHAnsi"/>
                <w:b/>
              </w:rPr>
            </w:pPr>
          </w:p>
        </w:tc>
        <w:tc>
          <w:tcPr>
            <w:tcW w:w="2196" w:type="dxa"/>
            <w:shd w:val="clear" w:color="auto" w:fill="92D050"/>
          </w:tcPr>
          <w:p w:rsidR="00DE210A" w:rsidRPr="008D5DF5" w:rsidRDefault="00DE210A" w:rsidP="00434F7B">
            <w:pPr>
              <w:jc w:val="center"/>
              <w:rPr>
                <w:rFonts w:asciiTheme="minorHAnsi" w:hAnsiTheme="minorHAnsi" w:cstheme="minorHAnsi"/>
                <w:b/>
              </w:rPr>
            </w:pPr>
            <w:r w:rsidRPr="008D5DF5">
              <w:rPr>
                <w:rFonts w:asciiTheme="minorHAnsi" w:hAnsiTheme="minorHAnsi" w:cstheme="minorHAnsi"/>
                <w:b/>
              </w:rPr>
              <w:t xml:space="preserve">Montants 2010 </w:t>
            </w:r>
          </w:p>
          <w:p w:rsidR="00DE210A" w:rsidRPr="008D5DF5" w:rsidRDefault="00DE210A" w:rsidP="00434F7B">
            <w:pPr>
              <w:jc w:val="center"/>
              <w:rPr>
                <w:rFonts w:asciiTheme="minorHAnsi" w:hAnsiTheme="minorHAnsi" w:cstheme="minorHAnsi"/>
                <w:b/>
              </w:rPr>
            </w:pPr>
            <w:r w:rsidRPr="008D5DF5">
              <w:rPr>
                <w:rFonts w:asciiTheme="minorHAnsi" w:hAnsiTheme="minorHAnsi" w:cstheme="minorHAnsi"/>
                <w:b/>
              </w:rPr>
              <w:t>(MRO)</w:t>
            </w:r>
          </w:p>
        </w:tc>
        <w:tc>
          <w:tcPr>
            <w:tcW w:w="2126" w:type="dxa"/>
            <w:shd w:val="clear" w:color="auto" w:fill="92D050"/>
          </w:tcPr>
          <w:p w:rsidR="00DE210A" w:rsidRPr="008D5DF5" w:rsidRDefault="00DE210A" w:rsidP="00434F7B">
            <w:pPr>
              <w:jc w:val="center"/>
              <w:rPr>
                <w:rFonts w:asciiTheme="minorHAnsi" w:hAnsiTheme="minorHAnsi" w:cstheme="minorHAnsi"/>
                <w:b/>
              </w:rPr>
            </w:pPr>
            <w:r w:rsidRPr="008D5DF5">
              <w:rPr>
                <w:rFonts w:asciiTheme="minorHAnsi" w:hAnsiTheme="minorHAnsi" w:cstheme="minorHAnsi"/>
                <w:b/>
              </w:rPr>
              <w:t xml:space="preserve">Montants 2011 </w:t>
            </w:r>
          </w:p>
          <w:p w:rsidR="00DE210A" w:rsidRPr="008D5DF5" w:rsidRDefault="00DE210A" w:rsidP="00434F7B">
            <w:pPr>
              <w:jc w:val="center"/>
              <w:rPr>
                <w:rFonts w:asciiTheme="minorHAnsi" w:hAnsiTheme="minorHAnsi" w:cstheme="minorHAnsi"/>
                <w:b/>
              </w:rPr>
            </w:pPr>
            <w:r w:rsidRPr="008D5DF5">
              <w:rPr>
                <w:rFonts w:asciiTheme="minorHAnsi" w:hAnsiTheme="minorHAnsi" w:cstheme="minorHAnsi"/>
                <w:b/>
              </w:rPr>
              <w:t>(MRO)</w:t>
            </w:r>
          </w:p>
        </w:tc>
        <w:tc>
          <w:tcPr>
            <w:tcW w:w="1984" w:type="dxa"/>
            <w:shd w:val="clear" w:color="auto" w:fill="92D050"/>
          </w:tcPr>
          <w:p w:rsidR="00DE210A" w:rsidRPr="008D5DF5" w:rsidRDefault="00DE210A" w:rsidP="00AE176F">
            <w:pPr>
              <w:jc w:val="center"/>
              <w:rPr>
                <w:rFonts w:asciiTheme="minorHAnsi" w:hAnsiTheme="minorHAnsi" w:cstheme="minorHAnsi"/>
                <w:b/>
              </w:rPr>
            </w:pPr>
            <w:r w:rsidRPr="008D5DF5">
              <w:rPr>
                <w:rFonts w:asciiTheme="minorHAnsi" w:hAnsiTheme="minorHAnsi" w:cstheme="minorHAnsi"/>
                <w:b/>
              </w:rPr>
              <w:t>Montants 2012 (MRO)</w:t>
            </w:r>
          </w:p>
        </w:tc>
      </w:tr>
      <w:tr w:rsidR="00D53C80" w:rsidRPr="00A04C64" w:rsidTr="00DE210A">
        <w:trPr>
          <w:jc w:val="center"/>
        </w:trPr>
        <w:tc>
          <w:tcPr>
            <w:tcW w:w="3856" w:type="dxa"/>
          </w:tcPr>
          <w:p w:rsidR="00D53C80" w:rsidRPr="00A04C64" w:rsidRDefault="00D53C80" w:rsidP="00AE176F">
            <w:pPr>
              <w:jc w:val="both"/>
              <w:rPr>
                <w:rFonts w:asciiTheme="minorHAnsi" w:hAnsiTheme="minorHAnsi" w:cstheme="minorHAnsi"/>
              </w:rPr>
            </w:pPr>
            <w:r>
              <w:rPr>
                <w:rFonts w:asciiTheme="minorHAnsi" w:hAnsiTheme="minorHAnsi" w:cstheme="minorHAnsi"/>
              </w:rPr>
              <w:t>É</w:t>
            </w:r>
            <w:r w:rsidRPr="00A04C64">
              <w:rPr>
                <w:rFonts w:asciiTheme="minorHAnsi" w:hAnsiTheme="minorHAnsi" w:cstheme="minorHAnsi"/>
              </w:rPr>
              <w:t>quipement</w:t>
            </w:r>
            <w:r>
              <w:rPr>
                <w:rFonts w:asciiTheme="minorHAnsi" w:hAnsiTheme="minorHAnsi" w:cstheme="minorHAnsi"/>
              </w:rPr>
              <w:t>/Investissement</w:t>
            </w:r>
          </w:p>
        </w:tc>
        <w:tc>
          <w:tcPr>
            <w:tcW w:w="2196" w:type="dxa"/>
          </w:tcPr>
          <w:p w:rsidR="00D53C80" w:rsidRPr="00A04C64" w:rsidRDefault="00C31A6B" w:rsidP="00AE176F">
            <w:pPr>
              <w:jc w:val="right"/>
              <w:rPr>
                <w:rFonts w:asciiTheme="minorHAnsi" w:hAnsiTheme="minorHAnsi" w:cstheme="minorHAnsi"/>
              </w:rPr>
            </w:pPr>
            <w:r>
              <w:rPr>
                <w:rFonts w:asciiTheme="minorHAnsi" w:hAnsiTheme="minorHAnsi" w:cstheme="minorHAnsi"/>
              </w:rPr>
              <w:t>1 650 000 000</w:t>
            </w:r>
          </w:p>
        </w:tc>
        <w:tc>
          <w:tcPr>
            <w:tcW w:w="2126" w:type="dxa"/>
          </w:tcPr>
          <w:p w:rsidR="00D53C80" w:rsidRPr="00A04C64" w:rsidRDefault="00720A94" w:rsidP="00AE176F">
            <w:pPr>
              <w:jc w:val="right"/>
              <w:rPr>
                <w:rFonts w:asciiTheme="minorHAnsi" w:hAnsiTheme="minorHAnsi" w:cstheme="minorHAnsi"/>
              </w:rPr>
            </w:pPr>
            <w:r>
              <w:rPr>
                <w:rFonts w:asciiTheme="minorHAnsi" w:hAnsiTheme="minorHAnsi" w:cstheme="minorHAnsi"/>
              </w:rPr>
              <w:t>2 040 000 000</w:t>
            </w:r>
          </w:p>
        </w:tc>
        <w:tc>
          <w:tcPr>
            <w:tcW w:w="1984" w:type="dxa"/>
          </w:tcPr>
          <w:p w:rsidR="00D53C80" w:rsidRPr="00A04C64" w:rsidRDefault="00DE210A" w:rsidP="00AE176F">
            <w:pPr>
              <w:jc w:val="right"/>
              <w:rPr>
                <w:rFonts w:asciiTheme="minorHAnsi" w:hAnsiTheme="minorHAnsi" w:cstheme="minorHAnsi"/>
                <w:b/>
              </w:rPr>
            </w:pPr>
            <w:r>
              <w:rPr>
                <w:rFonts w:asciiTheme="minorHAnsi" w:hAnsiTheme="minorHAnsi" w:cstheme="minorHAnsi"/>
                <w:b/>
              </w:rPr>
              <w:t>2</w:t>
            </w:r>
            <w:r w:rsidR="00C31A6B">
              <w:rPr>
                <w:rFonts w:asciiTheme="minorHAnsi" w:hAnsiTheme="minorHAnsi" w:cstheme="minorHAnsi"/>
                <w:b/>
              </w:rPr>
              <w:t> 380 000 000</w:t>
            </w:r>
          </w:p>
        </w:tc>
      </w:tr>
      <w:tr w:rsidR="00D53C80" w:rsidRPr="00A04C64" w:rsidTr="00DE210A">
        <w:trPr>
          <w:jc w:val="center"/>
        </w:trPr>
        <w:tc>
          <w:tcPr>
            <w:tcW w:w="3856" w:type="dxa"/>
          </w:tcPr>
          <w:p w:rsidR="00D53C80" w:rsidRPr="00A04C64" w:rsidRDefault="00D53C80" w:rsidP="00AE176F">
            <w:pPr>
              <w:jc w:val="both"/>
              <w:rPr>
                <w:rFonts w:asciiTheme="minorHAnsi" w:hAnsiTheme="minorHAnsi" w:cstheme="minorHAnsi"/>
              </w:rPr>
            </w:pPr>
            <w:r w:rsidRPr="00A04C64">
              <w:rPr>
                <w:rFonts w:asciiTheme="minorHAnsi" w:hAnsiTheme="minorHAnsi" w:cstheme="minorHAnsi"/>
              </w:rPr>
              <w:t>Fonctionnement</w:t>
            </w:r>
          </w:p>
        </w:tc>
        <w:tc>
          <w:tcPr>
            <w:tcW w:w="2196" w:type="dxa"/>
          </w:tcPr>
          <w:p w:rsidR="00D53C80" w:rsidRPr="00720A94" w:rsidRDefault="00720A94" w:rsidP="00720A94">
            <w:pPr>
              <w:jc w:val="right"/>
              <w:rPr>
                <w:rFonts w:asciiTheme="minorHAnsi" w:hAnsiTheme="minorHAnsi" w:cstheme="minorHAnsi"/>
              </w:rPr>
            </w:pPr>
            <w:r>
              <w:rPr>
                <w:rFonts w:asciiTheme="minorHAnsi" w:hAnsiTheme="minorHAnsi" w:cstheme="minorHAnsi"/>
              </w:rPr>
              <w:t>1 050 000 000</w:t>
            </w:r>
          </w:p>
        </w:tc>
        <w:tc>
          <w:tcPr>
            <w:tcW w:w="2126" w:type="dxa"/>
          </w:tcPr>
          <w:p w:rsidR="00D53C80" w:rsidRPr="00A04C64" w:rsidRDefault="00720A94" w:rsidP="00720A94">
            <w:pPr>
              <w:pStyle w:val="Paragraphedeliste"/>
              <w:jc w:val="center"/>
              <w:rPr>
                <w:rFonts w:asciiTheme="minorHAnsi" w:hAnsiTheme="minorHAnsi" w:cstheme="minorHAnsi"/>
              </w:rPr>
            </w:pPr>
            <w:r>
              <w:rPr>
                <w:rFonts w:asciiTheme="minorHAnsi" w:hAnsiTheme="minorHAnsi" w:cstheme="minorHAnsi"/>
              </w:rPr>
              <w:t>900 000 000</w:t>
            </w:r>
          </w:p>
        </w:tc>
        <w:tc>
          <w:tcPr>
            <w:tcW w:w="1984" w:type="dxa"/>
          </w:tcPr>
          <w:p w:rsidR="00D53C80" w:rsidRPr="00720A94" w:rsidRDefault="00DE210A" w:rsidP="00AE176F">
            <w:pPr>
              <w:jc w:val="right"/>
              <w:rPr>
                <w:rFonts w:asciiTheme="minorHAnsi" w:hAnsiTheme="minorHAnsi" w:cstheme="minorHAnsi"/>
                <w:b/>
              </w:rPr>
            </w:pPr>
            <w:r w:rsidRPr="00720A94">
              <w:rPr>
                <w:rFonts w:asciiTheme="minorHAnsi" w:hAnsiTheme="minorHAnsi" w:cstheme="minorHAnsi"/>
                <w:b/>
              </w:rPr>
              <w:t>1</w:t>
            </w:r>
            <w:r w:rsidR="00C31A6B" w:rsidRPr="00720A94">
              <w:rPr>
                <w:rFonts w:asciiTheme="minorHAnsi" w:hAnsiTheme="minorHAnsi" w:cstheme="minorHAnsi"/>
                <w:b/>
              </w:rPr>
              <w:t> </w:t>
            </w:r>
            <w:r w:rsidRPr="00720A94">
              <w:rPr>
                <w:rFonts w:asciiTheme="minorHAnsi" w:hAnsiTheme="minorHAnsi" w:cstheme="minorHAnsi"/>
                <w:b/>
              </w:rPr>
              <w:t>0</w:t>
            </w:r>
            <w:r w:rsidR="00C31A6B" w:rsidRPr="00720A94">
              <w:rPr>
                <w:rFonts w:asciiTheme="minorHAnsi" w:hAnsiTheme="minorHAnsi" w:cstheme="minorHAnsi"/>
                <w:b/>
              </w:rPr>
              <w:t>50 000 000</w:t>
            </w:r>
          </w:p>
        </w:tc>
      </w:tr>
      <w:tr w:rsidR="00D53C80" w:rsidRPr="00A04C64" w:rsidTr="00DE210A">
        <w:trPr>
          <w:jc w:val="center"/>
        </w:trPr>
        <w:tc>
          <w:tcPr>
            <w:tcW w:w="3856" w:type="dxa"/>
          </w:tcPr>
          <w:p w:rsidR="00D53C80" w:rsidRPr="00A04C64" w:rsidRDefault="00D53C80" w:rsidP="00964536">
            <w:pPr>
              <w:jc w:val="both"/>
              <w:rPr>
                <w:rFonts w:asciiTheme="minorHAnsi" w:hAnsiTheme="minorHAnsi" w:cstheme="minorHAnsi"/>
              </w:rPr>
            </w:pPr>
            <w:r>
              <w:rPr>
                <w:rFonts w:asciiTheme="minorHAnsi" w:hAnsiTheme="minorHAnsi" w:cstheme="minorHAnsi"/>
              </w:rPr>
              <w:t>Suivi-évaluation</w:t>
            </w:r>
          </w:p>
        </w:tc>
        <w:tc>
          <w:tcPr>
            <w:tcW w:w="2196" w:type="dxa"/>
          </w:tcPr>
          <w:p w:rsidR="00D53C80" w:rsidRPr="00A04C64" w:rsidRDefault="00C31A6B" w:rsidP="00082B2F">
            <w:pPr>
              <w:jc w:val="right"/>
              <w:rPr>
                <w:rFonts w:asciiTheme="minorHAnsi" w:hAnsiTheme="minorHAnsi" w:cstheme="minorHAnsi"/>
              </w:rPr>
            </w:pPr>
            <w:r>
              <w:rPr>
                <w:rFonts w:asciiTheme="minorHAnsi" w:hAnsiTheme="minorHAnsi" w:cstheme="minorHAnsi"/>
              </w:rPr>
              <w:t>300 000 000</w:t>
            </w:r>
          </w:p>
        </w:tc>
        <w:tc>
          <w:tcPr>
            <w:tcW w:w="2126" w:type="dxa"/>
          </w:tcPr>
          <w:p w:rsidR="00D53C80" w:rsidRPr="00A04C64" w:rsidRDefault="00720A94" w:rsidP="00082B2F">
            <w:pPr>
              <w:jc w:val="right"/>
              <w:rPr>
                <w:rFonts w:asciiTheme="minorHAnsi" w:hAnsiTheme="minorHAnsi" w:cstheme="minorHAnsi"/>
              </w:rPr>
            </w:pPr>
            <w:r>
              <w:rPr>
                <w:rFonts w:asciiTheme="minorHAnsi" w:hAnsiTheme="minorHAnsi" w:cstheme="minorHAnsi"/>
              </w:rPr>
              <w:t>60 000 000</w:t>
            </w:r>
          </w:p>
        </w:tc>
        <w:tc>
          <w:tcPr>
            <w:tcW w:w="1984" w:type="dxa"/>
          </w:tcPr>
          <w:p w:rsidR="00D53C80" w:rsidRPr="00A04C64" w:rsidRDefault="00DE210A" w:rsidP="00082B2F">
            <w:pPr>
              <w:jc w:val="right"/>
              <w:rPr>
                <w:rFonts w:asciiTheme="minorHAnsi" w:hAnsiTheme="minorHAnsi" w:cstheme="minorHAnsi"/>
                <w:b/>
              </w:rPr>
            </w:pPr>
            <w:r>
              <w:rPr>
                <w:rFonts w:asciiTheme="minorHAnsi" w:hAnsiTheme="minorHAnsi" w:cstheme="minorHAnsi"/>
                <w:b/>
              </w:rPr>
              <w:t xml:space="preserve">70 000 </w:t>
            </w:r>
            <w:r w:rsidR="00C31A6B">
              <w:rPr>
                <w:rFonts w:asciiTheme="minorHAnsi" w:hAnsiTheme="minorHAnsi" w:cstheme="minorHAnsi"/>
                <w:b/>
              </w:rPr>
              <w:t>000</w:t>
            </w:r>
          </w:p>
        </w:tc>
      </w:tr>
      <w:tr w:rsidR="00D53C80" w:rsidRPr="00A04C64" w:rsidTr="00DE210A">
        <w:trPr>
          <w:jc w:val="center"/>
        </w:trPr>
        <w:tc>
          <w:tcPr>
            <w:tcW w:w="3856" w:type="dxa"/>
          </w:tcPr>
          <w:p w:rsidR="00D53C80" w:rsidRDefault="00D53C80" w:rsidP="00964536">
            <w:pPr>
              <w:jc w:val="both"/>
              <w:rPr>
                <w:rFonts w:asciiTheme="minorHAnsi" w:hAnsiTheme="minorHAnsi" w:cstheme="minorHAnsi"/>
              </w:rPr>
            </w:pPr>
            <w:r>
              <w:rPr>
                <w:rFonts w:asciiTheme="minorHAnsi" w:hAnsiTheme="minorHAnsi" w:cstheme="minorHAnsi"/>
              </w:rPr>
              <w:t>Total FRD</w:t>
            </w:r>
          </w:p>
        </w:tc>
        <w:tc>
          <w:tcPr>
            <w:tcW w:w="2196" w:type="dxa"/>
          </w:tcPr>
          <w:p w:rsidR="00D53C80" w:rsidRPr="00A04C64" w:rsidRDefault="00DE210A" w:rsidP="00082B2F">
            <w:pPr>
              <w:jc w:val="right"/>
              <w:rPr>
                <w:rFonts w:asciiTheme="minorHAnsi" w:hAnsiTheme="minorHAnsi" w:cstheme="minorHAnsi"/>
              </w:rPr>
            </w:pPr>
            <w:r>
              <w:rPr>
                <w:rFonts w:asciiTheme="minorHAnsi" w:hAnsiTheme="minorHAnsi" w:cstheme="minorHAnsi"/>
              </w:rPr>
              <w:t>3 000 000 000</w:t>
            </w:r>
          </w:p>
        </w:tc>
        <w:tc>
          <w:tcPr>
            <w:tcW w:w="2126" w:type="dxa"/>
          </w:tcPr>
          <w:p w:rsidR="00D53C80" w:rsidRPr="00A04C64" w:rsidRDefault="00DE210A" w:rsidP="00082B2F">
            <w:pPr>
              <w:jc w:val="right"/>
              <w:rPr>
                <w:rFonts w:asciiTheme="minorHAnsi" w:hAnsiTheme="minorHAnsi" w:cstheme="minorHAnsi"/>
              </w:rPr>
            </w:pPr>
            <w:r>
              <w:rPr>
                <w:rFonts w:asciiTheme="minorHAnsi" w:hAnsiTheme="minorHAnsi" w:cstheme="minorHAnsi"/>
              </w:rPr>
              <w:t>3 000 000 000</w:t>
            </w:r>
          </w:p>
        </w:tc>
        <w:tc>
          <w:tcPr>
            <w:tcW w:w="1984" w:type="dxa"/>
          </w:tcPr>
          <w:p w:rsidR="00D53C80" w:rsidRPr="00A04C64" w:rsidRDefault="00DE210A" w:rsidP="00082B2F">
            <w:pPr>
              <w:jc w:val="right"/>
              <w:rPr>
                <w:rFonts w:asciiTheme="minorHAnsi" w:hAnsiTheme="minorHAnsi" w:cstheme="minorHAnsi"/>
                <w:b/>
              </w:rPr>
            </w:pPr>
            <w:r>
              <w:rPr>
                <w:rFonts w:asciiTheme="minorHAnsi" w:hAnsiTheme="minorHAnsi" w:cstheme="minorHAnsi"/>
                <w:b/>
              </w:rPr>
              <w:t>3 500 000 000</w:t>
            </w:r>
          </w:p>
        </w:tc>
      </w:tr>
    </w:tbl>
    <w:p w:rsidR="003223DC" w:rsidRPr="00A04C64" w:rsidRDefault="003223DC" w:rsidP="00964536">
      <w:pPr>
        <w:jc w:val="both"/>
        <w:rPr>
          <w:rFonts w:asciiTheme="minorHAnsi" w:hAnsiTheme="minorHAnsi" w:cstheme="minorHAnsi"/>
          <w:sz w:val="22"/>
          <w:szCs w:val="22"/>
        </w:rPr>
      </w:pPr>
    </w:p>
    <w:p w:rsidR="003223DC" w:rsidRPr="00A04C64" w:rsidRDefault="0072006A" w:rsidP="00964536">
      <w:pPr>
        <w:jc w:val="both"/>
        <w:rPr>
          <w:rFonts w:asciiTheme="minorHAnsi" w:hAnsiTheme="minorHAnsi" w:cstheme="minorHAnsi"/>
          <w:b/>
          <w:sz w:val="22"/>
          <w:szCs w:val="22"/>
        </w:rPr>
      </w:pPr>
      <w:r>
        <w:rPr>
          <w:rFonts w:asciiTheme="minorHAnsi" w:hAnsiTheme="minorHAnsi" w:cstheme="minorHAnsi"/>
          <w:b/>
          <w:sz w:val="22"/>
          <w:szCs w:val="22"/>
        </w:rPr>
        <w:t>Les effets conjugués de</w:t>
      </w:r>
      <w:r w:rsidR="00CD78B2">
        <w:rPr>
          <w:rFonts w:asciiTheme="minorHAnsi" w:hAnsiTheme="minorHAnsi" w:cstheme="minorHAnsi"/>
          <w:b/>
          <w:sz w:val="22"/>
          <w:szCs w:val="22"/>
        </w:rPr>
        <w:t>s</w:t>
      </w:r>
      <w:r>
        <w:rPr>
          <w:rFonts w:asciiTheme="minorHAnsi" w:hAnsiTheme="minorHAnsi" w:cstheme="minorHAnsi"/>
          <w:b/>
          <w:sz w:val="22"/>
          <w:szCs w:val="22"/>
        </w:rPr>
        <w:t xml:space="preserve"> nouvelles règles de répartition mises en œuvre dès 2011 et </w:t>
      </w:r>
      <w:r w:rsidR="00CD78B2">
        <w:rPr>
          <w:rFonts w:asciiTheme="minorHAnsi" w:hAnsiTheme="minorHAnsi" w:cstheme="minorHAnsi"/>
          <w:b/>
          <w:sz w:val="22"/>
          <w:szCs w:val="22"/>
        </w:rPr>
        <w:t xml:space="preserve">de </w:t>
      </w:r>
      <w:r>
        <w:rPr>
          <w:rFonts w:asciiTheme="minorHAnsi" w:hAnsiTheme="minorHAnsi" w:cstheme="minorHAnsi"/>
          <w:b/>
          <w:sz w:val="22"/>
          <w:szCs w:val="22"/>
        </w:rPr>
        <w:t>l’abondement du fonds en 2012 aboutissent à</w:t>
      </w:r>
      <w:r w:rsidR="00E42706" w:rsidRPr="00A04C64">
        <w:rPr>
          <w:rFonts w:asciiTheme="minorHAnsi" w:hAnsiTheme="minorHAnsi" w:cstheme="minorHAnsi"/>
          <w:b/>
          <w:sz w:val="22"/>
          <w:szCs w:val="22"/>
        </w:rPr>
        <w:t xml:space="preserve"> un renforcement sensible des capacités d’investisse</w:t>
      </w:r>
      <w:r>
        <w:rPr>
          <w:rFonts w:asciiTheme="minorHAnsi" w:hAnsiTheme="minorHAnsi" w:cstheme="minorHAnsi"/>
          <w:b/>
          <w:sz w:val="22"/>
          <w:szCs w:val="22"/>
        </w:rPr>
        <w:t xml:space="preserve">ment des communes. Ainsi la part consacrée à l’investissement </w:t>
      </w:r>
      <w:proofErr w:type="gramStart"/>
      <w:r>
        <w:rPr>
          <w:rFonts w:asciiTheme="minorHAnsi" w:hAnsiTheme="minorHAnsi" w:cstheme="minorHAnsi"/>
          <w:b/>
          <w:sz w:val="22"/>
          <w:szCs w:val="22"/>
        </w:rPr>
        <w:t>des communes passe</w:t>
      </w:r>
      <w:proofErr w:type="gramEnd"/>
      <w:r>
        <w:rPr>
          <w:rFonts w:asciiTheme="minorHAnsi" w:hAnsiTheme="minorHAnsi" w:cstheme="minorHAnsi"/>
          <w:b/>
          <w:sz w:val="22"/>
          <w:szCs w:val="22"/>
        </w:rPr>
        <w:t xml:space="preserve"> de 1 650 000 000 MRO en 2010 à 2 380 000 000 MRO en 2012, soit 44,24% d’augmentation</w:t>
      </w:r>
      <w:r w:rsidR="00CD78B2">
        <w:rPr>
          <w:rFonts w:asciiTheme="minorHAnsi" w:hAnsiTheme="minorHAnsi" w:cstheme="minorHAnsi"/>
          <w:b/>
          <w:sz w:val="22"/>
          <w:szCs w:val="22"/>
        </w:rPr>
        <w:t xml:space="preserve"> en deux ans</w:t>
      </w:r>
      <w:r>
        <w:rPr>
          <w:rFonts w:asciiTheme="minorHAnsi" w:hAnsiTheme="minorHAnsi" w:cstheme="minorHAnsi"/>
          <w:b/>
          <w:sz w:val="22"/>
          <w:szCs w:val="22"/>
        </w:rPr>
        <w:t>.</w:t>
      </w:r>
    </w:p>
    <w:p w:rsidR="00E42706" w:rsidRPr="00A04C64" w:rsidRDefault="00E42706" w:rsidP="00964536">
      <w:pPr>
        <w:jc w:val="both"/>
        <w:rPr>
          <w:rFonts w:asciiTheme="minorHAnsi" w:hAnsiTheme="minorHAnsi" w:cstheme="minorHAnsi"/>
          <w:sz w:val="22"/>
          <w:szCs w:val="22"/>
        </w:rPr>
      </w:pPr>
    </w:p>
    <w:p w:rsidR="00E42706" w:rsidRPr="00A04C64" w:rsidRDefault="00A354AB" w:rsidP="00964536">
      <w:pPr>
        <w:jc w:val="both"/>
        <w:rPr>
          <w:rFonts w:asciiTheme="minorHAnsi" w:hAnsiTheme="minorHAnsi" w:cstheme="minorHAnsi"/>
          <w:sz w:val="22"/>
          <w:szCs w:val="22"/>
        </w:rPr>
      </w:pPr>
      <w:r>
        <w:rPr>
          <w:rFonts w:asciiTheme="minorHAnsi" w:hAnsiTheme="minorHAnsi" w:cstheme="minorHAnsi"/>
          <w:sz w:val="22"/>
          <w:szCs w:val="22"/>
        </w:rPr>
        <w:t xml:space="preserve">La part consacrée au </w:t>
      </w:r>
      <w:r w:rsidR="00E42706" w:rsidRPr="00A04C64">
        <w:rPr>
          <w:rFonts w:asciiTheme="minorHAnsi" w:hAnsiTheme="minorHAnsi" w:cstheme="minorHAnsi"/>
          <w:sz w:val="22"/>
          <w:szCs w:val="22"/>
        </w:rPr>
        <w:t>fonctionn</w:t>
      </w:r>
      <w:r w:rsidR="00964536" w:rsidRPr="00A04C64">
        <w:rPr>
          <w:rFonts w:asciiTheme="minorHAnsi" w:hAnsiTheme="minorHAnsi" w:cstheme="minorHAnsi"/>
          <w:sz w:val="22"/>
          <w:szCs w:val="22"/>
        </w:rPr>
        <w:t xml:space="preserve">ement </w:t>
      </w:r>
      <w:r>
        <w:rPr>
          <w:rFonts w:asciiTheme="minorHAnsi" w:hAnsiTheme="minorHAnsi" w:cstheme="minorHAnsi"/>
          <w:sz w:val="22"/>
          <w:szCs w:val="22"/>
        </w:rPr>
        <w:t xml:space="preserve">des communes revient en outre à son niveau de 2010 dans la mesure </w:t>
      </w:r>
      <w:r w:rsidR="002065F9">
        <w:rPr>
          <w:rFonts w:asciiTheme="minorHAnsi" w:hAnsiTheme="minorHAnsi" w:cstheme="minorHAnsi"/>
          <w:sz w:val="22"/>
          <w:szCs w:val="22"/>
        </w:rPr>
        <w:t>où l’abondement du fonds en 2012</w:t>
      </w:r>
      <w:r>
        <w:rPr>
          <w:rFonts w:asciiTheme="minorHAnsi" w:hAnsiTheme="minorHAnsi" w:cstheme="minorHAnsi"/>
          <w:sz w:val="22"/>
          <w:szCs w:val="22"/>
        </w:rPr>
        <w:t xml:space="preserve"> compense la diminution du taux de répartition intervenue en 2011. D’où le montant identique de 1 050 000 000 MRO constaté en 2010 et 2012</w:t>
      </w:r>
      <w:r w:rsidR="00964536" w:rsidRPr="00A04C64">
        <w:rPr>
          <w:rFonts w:asciiTheme="minorHAnsi" w:hAnsiTheme="minorHAnsi" w:cstheme="minorHAnsi"/>
          <w:sz w:val="22"/>
          <w:szCs w:val="22"/>
        </w:rPr>
        <w:t xml:space="preserve">. </w:t>
      </w:r>
    </w:p>
    <w:p w:rsidR="00964536" w:rsidRPr="00A04C64" w:rsidRDefault="00964536" w:rsidP="00964536">
      <w:pPr>
        <w:jc w:val="both"/>
        <w:rPr>
          <w:rFonts w:asciiTheme="minorHAnsi" w:hAnsiTheme="minorHAnsi" w:cstheme="minorHAnsi"/>
          <w:sz w:val="22"/>
          <w:szCs w:val="22"/>
        </w:rPr>
      </w:pPr>
    </w:p>
    <w:p w:rsidR="00F10A84" w:rsidRPr="00F10A84" w:rsidRDefault="00F10A84" w:rsidP="00F10A84">
      <w:pPr>
        <w:rPr>
          <w:rFonts w:asciiTheme="minorHAnsi" w:hAnsiTheme="minorHAnsi" w:cstheme="minorHAnsi"/>
        </w:rPr>
      </w:pPr>
    </w:p>
    <w:p w:rsidR="00F10A84" w:rsidRDefault="00003400" w:rsidP="002F04D1">
      <w:pPr>
        <w:pStyle w:val="Paragraphedeliste"/>
        <w:numPr>
          <w:ilvl w:val="0"/>
          <w:numId w:val="2"/>
        </w:numPr>
        <w:rPr>
          <w:rFonts w:asciiTheme="minorHAnsi" w:hAnsiTheme="minorHAnsi" w:cstheme="minorHAnsi"/>
          <w:b/>
          <w:sz w:val="22"/>
          <w:szCs w:val="22"/>
        </w:rPr>
      </w:pPr>
      <w:r>
        <w:rPr>
          <w:rFonts w:asciiTheme="minorHAnsi" w:hAnsiTheme="minorHAnsi" w:cstheme="minorHAnsi"/>
          <w:b/>
          <w:sz w:val="22"/>
          <w:szCs w:val="22"/>
        </w:rPr>
        <w:t xml:space="preserve">Répartition </w:t>
      </w:r>
      <w:r w:rsidR="00F10A84" w:rsidRPr="005C3C55">
        <w:rPr>
          <w:rFonts w:asciiTheme="minorHAnsi" w:hAnsiTheme="minorHAnsi" w:cstheme="minorHAnsi"/>
          <w:b/>
          <w:sz w:val="22"/>
          <w:szCs w:val="22"/>
        </w:rPr>
        <w:t>des crédits 2011</w:t>
      </w:r>
    </w:p>
    <w:p w:rsidR="0045224A" w:rsidRDefault="0045224A" w:rsidP="0045224A">
      <w:pPr>
        <w:rPr>
          <w:rFonts w:asciiTheme="minorHAnsi" w:hAnsiTheme="minorHAnsi" w:cstheme="minorHAnsi"/>
          <w:b/>
          <w:sz w:val="22"/>
          <w:szCs w:val="22"/>
        </w:rPr>
      </w:pPr>
    </w:p>
    <w:tbl>
      <w:tblPr>
        <w:tblW w:w="0" w:type="auto"/>
        <w:tblInd w:w="40" w:type="dxa"/>
        <w:tblLayout w:type="fixed"/>
        <w:tblCellMar>
          <w:left w:w="70" w:type="dxa"/>
          <w:right w:w="70" w:type="dxa"/>
        </w:tblCellMar>
        <w:tblLook w:val="0000"/>
      </w:tblPr>
      <w:tblGrid>
        <w:gridCol w:w="2440"/>
        <w:gridCol w:w="2268"/>
        <w:gridCol w:w="2126"/>
        <w:gridCol w:w="2268"/>
        <w:gridCol w:w="1276"/>
      </w:tblGrid>
      <w:tr w:rsidR="006C722A" w:rsidRPr="0045224A" w:rsidTr="006C722A">
        <w:trPr>
          <w:trHeight w:val="540"/>
        </w:trPr>
        <w:tc>
          <w:tcPr>
            <w:tcW w:w="2440" w:type="dxa"/>
            <w:tcBorders>
              <w:top w:val="single" w:sz="12" w:space="0" w:color="auto"/>
              <w:left w:val="single" w:sz="12" w:space="0" w:color="auto"/>
              <w:bottom w:val="single" w:sz="12" w:space="0" w:color="auto"/>
              <w:right w:val="single" w:sz="6" w:space="0" w:color="auto"/>
            </w:tcBorders>
            <w:shd w:val="solid" w:color="C0C0C0" w:fill="auto"/>
          </w:tcPr>
          <w:p w:rsidR="0045224A" w:rsidRPr="0045224A" w:rsidRDefault="001246CD" w:rsidP="0045224A">
            <w:pPr>
              <w:autoSpaceDE w:val="0"/>
              <w:autoSpaceDN w:val="0"/>
              <w:adjustRightInd w:val="0"/>
              <w:jc w:val="center"/>
              <w:rPr>
                <w:rFonts w:ascii="Arial" w:eastAsiaTheme="minorHAnsi" w:hAnsi="Arial" w:cs="Arial"/>
                <w:color w:val="000000"/>
                <w:sz w:val="20"/>
                <w:szCs w:val="20"/>
                <w:lang w:eastAsia="en-US"/>
              </w:rPr>
            </w:pPr>
            <w:r>
              <w:rPr>
                <w:rFonts w:ascii="Arial" w:eastAsiaTheme="minorHAnsi" w:hAnsi="Arial" w:cs="Arial"/>
                <w:color w:val="000000"/>
                <w:sz w:val="20"/>
                <w:szCs w:val="20"/>
                <w:lang w:eastAsia="en-US"/>
              </w:rPr>
              <w:t>Wilaya</w:t>
            </w:r>
            <w:r w:rsidR="0045224A" w:rsidRPr="0045224A">
              <w:rPr>
                <w:rFonts w:ascii="Arial" w:eastAsiaTheme="minorHAnsi" w:hAnsi="Arial" w:cs="Arial"/>
                <w:color w:val="000000"/>
                <w:sz w:val="20"/>
                <w:szCs w:val="20"/>
                <w:lang w:eastAsia="en-US"/>
              </w:rPr>
              <w:t xml:space="preserve"> </w:t>
            </w:r>
          </w:p>
        </w:tc>
        <w:tc>
          <w:tcPr>
            <w:tcW w:w="2268" w:type="dxa"/>
            <w:tcBorders>
              <w:top w:val="single" w:sz="12" w:space="0" w:color="auto"/>
              <w:left w:val="single" w:sz="6" w:space="0" w:color="auto"/>
              <w:bottom w:val="single" w:sz="12" w:space="0" w:color="auto"/>
              <w:right w:val="single" w:sz="6" w:space="0" w:color="auto"/>
            </w:tcBorders>
            <w:shd w:val="solid" w:color="C0C0C0" w:fill="auto"/>
          </w:tcPr>
          <w:p w:rsidR="0045224A" w:rsidRPr="0045224A" w:rsidRDefault="0045224A" w:rsidP="0045224A">
            <w:pPr>
              <w:autoSpaceDE w:val="0"/>
              <w:autoSpaceDN w:val="0"/>
              <w:adjustRightInd w:val="0"/>
              <w:jc w:val="center"/>
              <w:rPr>
                <w:rFonts w:ascii="Arial" w:eastAsiaTheme="minorHAnsi" w:hAnsi="Arial" w:cs="Arial"/>
                <w:color w:val="000000"/>
                <w:sz w:val="20"/>
                <w:szCs w:val="20"/>
                <w:lang w:eastAsia="en-US"/>
              </w:rPr>
            </w:pPr>
            <w:r w:rsidRPr="0045224A">
              <w:rPr>
                <w:rFonts w:ascii="Arial" w:eastAsiaTheme="minorHAnsi" w:hAnsi="Arial" w:cs="Arial"/>
                <w:color w:val="000000"/>
                <w:sz w:val="20"/>
                <w:szCs w:val="20"/>
                <w:lang w:eastAsia="en-US"/>
              </w:rPr>
              <w:t xml:space="preserve"> FRD part équipement</w:t>
            </w:r>
          </w:p>
          <w:p w:rsidR="0045224A" w:rsidRPr="0045224A" w:rsidRDefault="0045224A" w:rsidP="0045224A">
            <w:pPr>
              <w:autoSpaceDE w:val="0"/>
              <w:autoSpaceDN w:val="0"/>
              <w:adjustRightInd w:val="0"/>
              <w:jc w:val="center"/>
              <w:rPr>
                <w:rFonts w:ascii="Arial" w:eastAsiaTheme="minorHAnsi" w:hAnsi="Arial" w:cs="Arial"/>
                <w:color w:val="000000"/>
                <w:sz w:val="20"/>
                <w:szCs w:val="20"/>
                <w:lang w:eastAsia="en-US"/>
              </w:rPr>
            </w:pPr>
            <w:r w:rsidRPr="0045224A">
              <w:rPr>
                <w:rFonts w:ascii="Arial" w:eastAsiaTheme="minorHAnsi" w:hAnsi="Arial" w:cs="Arial"/>
                <w:color w:val="000000"/>
                <w:sz w:val="20"/>
                <w:szCs w:val="20"/>
                <w:lang w:eastAsia="en-US"/>
              </w:rPr>
              <w:t xml:space="preserve">2010 </w:t>
            </w:r>
            <w:r w:rsidR="006C722A">
              <w:rPr>
                <w:rFonts w:ascii="Arial" w:eastAsiaTheme="minorHAnsi" w:hAnsi="Arial" w:cs="Arial"/>
                <w:color w:val="000000"/>
                <w:sz w:val="20"/>
                <w:szCs w:val="20"/>
                <w:lang w:eastAsia="en-US"/>
              </w:rPr>
              <w:t>(en MRO)</w:t>
            </w:r>
          </w:p>
        </w:tc>
        <w:tc>
          <w:tcPr>
            <w:tcW w:w="2126" w:type="dxa"/>
            <w:tcBorders>
              <w:top w:val="single" w:sz="12" w:space="0" w:color="auto"/>
              <w:left w:val="single" w:sz="6" w:space="0" w:color="auto"/>
              <w:bottom w:val="single" w:sz="12" w:space="0" w:color="auto"/>
              <w:right w:val="single" w:sz="6" w:space="0" w:color="auto"/>
            </w:tcBorders>
            <w:shd w:val="solid" w:color="C0C0C0" w:fill="auto"/>
          </w:tcPr>
          <w:p w:rsidR="0045224A" w:rsidRPr="0045224A" w:rsidRDefault="0045224A" w:rsidP="0045224A">
            <w:pPr>
              <w:autoSpaceDE w:val="0"/>
              <w:autoSpaceDN w:val="0"/>
              <w:adjustRightInd w:val="0"/>
              <w:jc w:val="center"/>
              <w:rPr>
                <w:rFonts w:ascii="Arial" w:eastAsiaTheme="minorHAnsi" w:hAnsi="Arial" w:cs="Arial"/>
                <w:color w:val="000000"/>
                <w:sz w:val="20"/>
                <w:szCs w:val="20"/>
                <w:lang w:eastAsia="en-US"/>
              </w:rPr>
            </w:pPr>
            <w:r w:rsidRPr="0045224A">
              <w:rPr>
                <w:rFonts w:ascii="Arial" w:eastAsiaTheme="minorHAnsi" w:hAnsi="Arial" w:cs="Arial"/>
                <w:color w:val="000000"/>
                <w:sz w:val="20"/>
                <w:szCs w:val="20"/>
                <w:lang w:eastAsia="en-US"/>
              </w:rPr>
              <w:t xml:space="preserve"> FRD part équipement</w:t>
            </w:r>
          </w:p>
          <w:p w:rsidR="0045224A" w:rsidRPr="0045224A" w:rsidRDefault="0045224A" w:rsidP="0045224A">
            <w:pPr>
              <w:autoSpaceDE w:val="0"/>
              <w:autoSpaceDN w:val="0"/>
              <w:adjustRightInd w:val="0"/>
              <w:jc w:val="center"/>
              <w:rPr>
                <w:rFonts w:ascii="Arial" w:eastAsiaTheme="minorHAnsi" w:hAnsi="Arial" w:cs="Arial"/>
                <w:color w:val="000000"/>
                <w:sz w:val="20"/>
                <w:szCs w:val="20"/>
                <w:lang w:eastAsia="en-US"/>
              </w:rPr>
            </w:pPr>
            <w:r w:rsidRPr="0045224A">
              <w:rPr>
                <w:rFonts w:ascii="Arial" w:eastAsiaTheme="minorHAnsi" w:hAnsi="Arial" w:cs="Arial"/>
                <w:color w:val="000000"/>
                <w:sz w:val="20"/>
                <w:szCs w:val="20"/>
                <w:lang w:eastAsia="en-US"/>
              </w:rPr>
              <w:t xml:space="preserve">2011 </w:t>
            </w:r>
            <w:r w:rsidR="006C722A">
              <w:rPr>
                <w:rFonts w:ascii="Arial" w:eastAsiaTheme="minorHAnsi" w:hAnsi="Arial" w:cs="Arial"/>
                <w:color w:val="000000"/>
                <w:sz w:val="20"/>
                <w:szCs w:val="20"/>
                <w:lang w:eastAsia="en-US"/>
              </w:rPr>
              <w:t>(en MRO)</w:t>
            </w:r>
          </w:p>
        </w:tc>
        <w:tc>
          <w:tcPr>
            <w:tcW w:w="2268" w:type="dxa"/>
            <w:tcBorders>
              <w:top w:val="single" w:sz="12" w:space="0" w:color="auto"/>
              <w:left w:val="single" w:sz="6" w:space="0" w:color="auto"/>
              <w:bottom w:val="single" w:sz="12" w:space="0" w:color="auto"/>
              <w:right w:val="single" w:sz="6" w:space="0" w:color="auto"/>
            </w:tcBorders>
            <w:shd w:val="solid" w:color="C0C0C0" w:fill="auto"/>
          </w:tcPr>
          <w:p w:rsidR="0045224A" w:rsidRPr="0045224A" w:rsidRDefault="0045224A" w:rsidP="0045224A">
            <w:pPr>
              <w:autoSpaceDE w:val="0"/>
              <w:autoSpaceDN w:val="0"/>
              <w:adjustRightInd w:val="0"/>
              <w:jc w:val="center"/>
              <w:rPr>
                <w:rFonts w:ascii="Arial" w:eastAsiaTheme="minorHAnsi" w:hAnsi="Arial" w:cs="Arial"/>
                <w:b/>
                <w:bCs/>
                <w:color w:val="000000"/>
                <w:sz w:val="20"/>
                <w:szCs w:val="20"/>
                <w:lang w:eastAsia="en-US"/>
              </w:rPr>
            </w:pPr>
            <w:r w:rsidRPr="0045224A">
              <w:rPr>
                <w:rFonts w:ascii="Arial" w:eastAsiaTheme="minorHAnsi" w:hAnsi="Arial" w:cs="Arial"/>
                <w:b/>
                <w:bCs/>
                <w:color w:val="000000"/>
                <w:sz w:val="20"/>
                <w:szCs w:val="20"/>
                <w:lang w:eastAsia="en-US"/>
              </w:rPr>
              <w:t xml:space="preserve"> FRD part équipement</w:t>
            </w:r>
          </w:p>
          <w:p w:rsidR="0045224A" w:rsidRPr="0045224A" w:rsidRDefault="0045224A" w:rsidP="0045224A">
            <w:pPr>
              <w:autoSpaceDE w:val="0"/>
              <w:autoSpaceDN w:val="0"/>
              <w:adjustRightInd w:val="0"/>
              <w:jc w:val="center"/>
              <w:rPr>
                <w:rFonts w:ascii="Arial" w:eastAsiaTheme="minorHAnsi" w:hAnsi="Arial" w:cs="Arial"/>
                <w:b/>
                <w:bCs/>
                <w:color w:val="000000"/>
                <w:sz w:val="20"/>
                <w:szCs w:val="20"/>
                <w:lang w:eastAsia="en-US"/>
              </w:rPr>
            </w:pPr>
            <w:r w:rsidRPr="0045224A">
              <w:rPr>
                <w:rFonts w:ascii="Arial" w:eastAsiaTheme="minorHAnsi" w:hAnsi="Arial" w:cs="Arial"/>
                <w:b/>
                <w:bCs/>
                <w:color w:val="000000"/>
                <w:sz w:val="20"/>
                <w:szCs w:val="20"/>
                <w:lang w:eastAsia="en-US"/>
              </w:rPr>
              <w:t xml:space="preserve">2012 </w:t>
            </w:r>
            <w:r w:rsidR="006C722A">
              <w:rPr>
                <w:rFonts w:ascii="Arial" w:eastAsiaTheme="minorHAnsi" w:hAnsi="Arial" w:cs="Arial"/>
                <w:b/>
                <w:bCs/>
                <w:color w:val="000000"/>
                <w:sz w:val="20"/>
                <w:szCs w:val="20"/>
                <w:lang w:eastAsia="en-US"/>
              </w:rPr>
              <w:t>(en MRO)</w:t>
            </w:r>
          </w:p>
        </w:tc>
        <w:tc>
          <w:tcPr>
            <w:tcW w:w="1276" w:type="dxa"/>
            <w:tcBorders>
              <w:top w:val="single" w:sz="12" w:space="0" w:color="auto"/>
              <w:left w:val="single" w:sz="6" w:space="0" w:color="auto"/>
              <w:bottom w:val="single" w:sz="12" w:space="0" w:color="auto"/>
              <w:right w:val="single" w:sz="12" w:space="0" w:color="auto"/>
            </w:tcBorders>
            <w:shd w:val="solid" w:color="C0C0C0" w:fill="auto"/>
          </w:tcPr>
          <w:p w:rsidR="0045224A" w:rsidRPr="0045224A" w:rsidRDefault="0045224A" w:rsidP="0045224A">
            <w:pPr>
              <w:autoSpaceDE w:val="0"/>
              <w:autoSpaceDN w:val="0"/>
              <w:adjustRightInd w:val="0"/>
              <w:jc w:val="center"/>
              <w:rPr>
                <w:rFonts w:ascii="Arial" w:eastAsiaTheme="minorHAnsi" w:hAnsi="Arial" w:cs="Arial"/>
                <w:b/>
                <w:bCs/>
                <w:color w:val="000000"/>
                <w:sz w:val="20"/>
                <w:szCs w:val="20"/>
                <w:lang w:eastAsia="en-US"/>
              </w:rPr>
            </w:pPr>
            <w:r w:rsidRPr="0045224A">
              <w:rPr>
                <w:rFonts w:ascii="Arial" w:eastAsiaTheme="minorHAnsi" w:hAnsi="Arial" w:cs="Arial"/>
                <w:b/>
                <w:bCs/>
                <w:color w:val="000000"/>
                <w:sz w:val="20"/>
                <w:szCs w:val="20"/>
                <w:lang w:eastAsia="en-US"/>
              </w:rPr>
              <w:t xml:space="preserve">% </w:t>
            </w:r>
          </w:p>
        </w:tc>
      </w:tr>
      <w:tr w:rsidR="006C722A" w:rsidRPr="0045224A" w:rsidTr="006C722A">
        <w:trPr>
          <w:trHeight w:val="247"/>
        </w:trPr>
        <w:tc>
          <w:tcPr>
            <w:tcW w:w="2440" w:type="dxa"/>
            <w:tcBorders>
              <w:top w:val="single" w:sz="12" w:space="0" w:color="auto"/>
              <w:left w:val="single" w:sz="12" w:space="0" w:color="auto"/>
              <w:bottom w:val="single" w:sz="6" w:space="0" w:color="auto"/>
              <w:right w:val="single" w:sz="6" w:space="0" w:color="auto"/>
            </w:tcBorders>
          </w:tcPr>
          <w:p w:rsidR="0045224A" w:rsidRPr="0045224A" w:rsidRDefault="0045224A" w:rsidP="0045224A">
            <w:pPr>
              <w:autoSpaceDE w:val="0"/>
              <w:autoSpaceDN w:val="0"/>
              <w:adjustRightInd w:val="0"/>
              <w:rPr>
                <w:rFonts w:ascii="Arial" w:eastAsiaTheme="minorHAnsi" w:hAnsi="Arial" w:cs="Arial"/>
                <w:color w:val="000000"/>
                <w:sz w:val="20"/>
                <w:szCs w:val="20"/>
                <w:lang w:eastAsia="en-US"/>
              </w:rPr>
            </w:pPr>
            <w:r w:rsidRPr="0045224A">
              <w:rPr>
                <w:rFonts w:ascii="Arial" w:eastAsiaTheme="minorHAnsi" w:hAnsi="Arial" w:cs="Arial"/>
                <w:color w:val="000000"/>
                <w:sz w:val="20"/>
                <w:szCs w:val="20"/>
                <w:lang w:eastAsia="en-US"/>
              </w:rPr>
              <w:t xml:space="preserve"> </w:t>
            </w:r>
            <w:proofErr w:type="spellStart"/>
            <w:r w:rsidRPr="0045224A">
              <w:rPr>
                <w:rFonts w:ascii="Arial" w:eastAsiaTheme="minorHAnsi" w:hAnsi="Arial" w:cs="Arial"/>
                <w:color w:val="000000"/>
                <w:sz w:val="20"/>
                <w:szCs w:val="20"/>
                <w:lang w:eastAsia="en-US"/>
              </w:rPr>
              <w:t>Hodh</w:t>
            </w:r>
            <w:proofErr w:type="spellEnd"/>
            <w:r w:rsidRPr="0045224A">
              <w:rPr>
                <w:rFonts w:ascii="Arial" w:eastAsiaTheme="minorHAnsi" w:hAnsi="Arial" w:cs="Arial"/>
                <w:color w:val="000000"/>
                <w:sz w:val="20"/>
                <w:szCs w:val="20"/>
                <w:lang w:eastAsia="en-US"/>
              </w:rPr>
              <w:t xml:space="preserve"> </w:t>
            </w:r>
            <w:proofErr w:type="spellStart"/>
            <w:r w:rsidRPr="0045224A">
              <w:rPr>
                <w:rFonts w:ascii="Arial" w:eastAsiaTheme="minorHAnsi" w:hAnsi="Arial" w:cs="Arial"/>
                <w:color w:val="000000"/>
                <w:sz w:val="20"/>
                <w:szCs w:val="20"/>
                <w:lang w:eastAsia="en-US"/>
              </w:rPr>
              <w:t>Ech</w:t>
            </w:r>
            <w:proofErr w:type="spellEnd"/>
            <w:r w:rsidRPr="0045224A">
              <w:rPr>
                <w:rFonts w:ascii="Arial" w:eastAsiaTheme="minorHAnsi" w:hAnsi="Arial" w:cs="Arial"/>
                <w:color w:val="000000"/>
                <w:sz w:val="20"/>
                <w:szCs w:val="20"/>
                <w:lang w:eastAsia="en-US"/>
              </w:rPr>
              <w:t xml:space="preserve"> </w:t>
            </w:r>
            <w:proofErr w:type="spellStart"/>
            <w:r w:rsidRPr="0045224A">
              <w:rPr>
                <w:rFonts w:ascii="Arial" w:eastAsiaTheme="minorHAnsi" w:hAnsi="Arial" w:cs="Arial"/>
                <w:color w:val="000000"/>
                <w:sz w:val="20"/>
                <w:szCs w:val="20"/>
                <w:lang w:eastAsia="en-US"/>
              </w:rPr>
              <w:t>Chargui</w:t>
            </w:r>
            <w:proofErr w:type="spellEnd"/>
            <w:r w:rsidRPr="0045224A">
              <w:rPr>
                <w:rFonts w:ascii="Arial" w:eastAsiaTheme="minorHAnsi" w:hAnsi="Arial" w:cs="Arial"/>
                <w:color w:val="000000"/>
                <w:sz w:val="20"/>
                <w:szCs w:val="20"/>
                <w:lang w:eastAsia="en-US"/>
              </w:rPr>
              <w:t xml:space="preserve"> </w:t>
            </w:r>
          </w:p>
        </w:tc>
        <w:tc>
          <w:tcPr>
            <w:tcW w:w="2268" w:type="dxa"/>
            <w:tcBorders>
              <w:top w:val="single" w:sz="12" w:space="0" w:color="auto"/>
              <w:left w:val="single" w:sz="6" w:space="0" w:color="auto"/>
              <w:bottom w:val="single" w:sz="6" w:space="0" w:color="auto"/>
              <w:right w:val="single" w:sz="6" w:space="0" w:color="auto"/>
            </w:tcBorders>
          </w:tcPr>
          <w:p w:rsidR="0045224A" w:rsidRPr="0045224A" w:rsidRDefault="0045224A" w:rsidP="0045224A">
            <w:pPr>
              <w:autoSpaceDE w:val="0"/>
              <w:autoSpaceDN w:val="0"/>
              <w:adjustRightInd w:val="0"/>
              <w:jc w:val="right"/>
              <w:rPr>
                <w:rFonts w:ascii="Arial" w:eastAsiaTheme="minorHAnsi" w:hAnsi="Arial" w:cs="Arial"/>
                <w:color w:val="000000"/>
                <w:sz w:val="20"/>
                <w:szCs w:val="20"/>
                <w:lang w:eastAsia="en-US"/>
              </w:rPr>
            </w:pPr>
            <w:r w:rsidRPr="0045224A">
              <w:rPr>
                <w:rFonts w:ascii="Arial" w:eastAsiaTheme="minorHAnsi" w:hAnsi="Arial" w:cs="Arial"/>
                <w:color w:val="000000"/>
                <w:sz w:val="20"/>
                <w:szCs w:val="20"/>
                <w:lang w:eastAsia="en-US"/>
              </w:rPr>
              <w:t xml:space="preserve">            247 022 651   </w:t>
            </w:r>
          </w:p>
        </w:tc>
        <w:tc>
          <w:tcPr>
            <w:tcW w:w="2126" w:type="dxa"/>
            <w:tcBorders>
              <w:top w:val="single" w:sz="12" w:space="0" w:color="auto"/>
              <w:left w:val="single" w:sz="6" w:space="0" w:color="auto"/>
              <w:bottom w:val="single" w:sz="6" w:space="0" w:color="auto"/>
              <w:right w:val="single" w:sz="6" w:space="0" w:color="auto"/>
            </w:tcBorders>
          </w:tcPr>
          <w:p w:rsidR="0045224A" w:rsidRPr="0045224A" w:rsidRDefault="0045224A" w:rsidP="0045224A">
            <w:pPr>
              <w:autoSpaceDE w:val="0"/>
              <w:autoSpaceDN w:val="0"/>
              <w:adjustRightInd w:val="0"/>
              <w:jc w:val="right"/>
              <w:rPr>
                <w:rFonts w:ascii="Arial" w:eastAsiaTheme="minorHAnsi" w:hAnsi="Arial" w:cs="Arial"/>
                <w:color w:val="000000"/>
                <w:sz w:val="20"/>
                <w:szCs w:val="20"/>
                <w:lang w:eastAsia="en-US"/>
              </w:rPr>
            </w:pPr>
            <w:r w:rsidRPr="0045224A">
              <w:rPr>
                <w:rFonts w:ascii="Arial" w:eastAsiaTheme="minorHAnsi" w:hAnsi="Arial" w:cs="Arial"/>
                <w:color w:val="000000"/>
                <w:sz w:val="20"/>
                <w:szCs w:val="20"/>
                <w:lang w:eastAsia="en-US"/>
              </w:rPr>
              <w:t xml:space="preserve">           302 345 623   </w:t>
            </w:r>
          </w:p>
        </w:tc>
        <w:tc>
          <w:tcPr>
            <w:tcW w:w="2268" w:type="dxa"/>
            <w:tcBorders>
              <w:top w:val="single" w:sz="12" w:space="0" w:color="auto"/>
              <w:left w:val="single" w:sz="6" w:space="0" w:color="auto"/>
              <w:bottom w:val="single" w:sz="6" w:space="0" w:color="auto"/>
              <w:right w:val="single" w:sz="6" w:space="0" w:color="auto"/>
            </w:tcBorders>
          </w:tcPr>
          <w:p w:rsidR="0045224A" w:rsidRPr="0045224A" w:rsidRDefault="00752A3C" w:rsidP="0045224A">
            <w:pPr>
              <w:autoSpaceDE w:val="0"/>
              <w:autoSpaceDN w:val="0"/>
              <w:adjustRightInd w:val="0"/>
              <w:jc w:val="right"/>
              <w:rPr>
                <w:rFonts w:ascii="Arial" w:eastAsiaTheme="minorHAnsi" w:hAnsi="Arial" w:cs="Arial"/>
                <w:b/>
                <w:bCs/>
                <w:color w:val="000000"/>
                <w:sz w:val="20"/>
                <w:szCs w:val="20"/>
                <w:lang w:eastAsia="en-US"/>
              </w:rPr>
            </w:pPr>
            <w:r>
              <w:rPr>
                <w:rFonts w:ascii="Arial" w:eastAsiaTheme="minorHAnsi" w:hAnsi="Arial" w:cs="Arial"/>
                <w:b/>
                <w:bCs/>
                <w:color w:val="000000"/>
                <w:sz w:val="20"/>
                <w:szCs w:val="20"/>
                <w:lang w:eastAsia="en-US"/>
              </w:rPr>
              <w:t xml:space="preserve">              353 690 867</w:t>
            </w:r>
            <w:r w:rsidR="0045224A" w:rsidRPr="0045224A">
              <w:rPr>
                <w:rFonts w:ascii="Arial" w:eastAsiaTheme="minorHAnsi" w:hAnsi="Arial" w:cs="Arial"/>
                <w:b/>
                <w:bCs/>
                <w:color w:val="000000"/>
                <w:sz w:val="20"/>
                <w:szCs w:val="20"/>
                <w:lang w:eastAsia="en-US"/>
              </w:rPr>
              <w:t xml:space="preserve">   </w:t>
            </w:r>
          </w:p>
        </w:tc>
        <w:tc>
          <w:tcPr>
            <w:tcW w:w="1276" w:type="dxa"/>
            <w:tcBorders>
              <w:top w:val="single" w:sz="12" w:space="0" w:color="auto"/>
              <w:left w:val="single" w:sz="6" w:space="0" w:color="auto"/>
              <w:bottom w:val="single" w:sz="6" w:space="0" w:color="auto"/>
              <w:right w:val="single" w:sz="12" w:space="0" w:color="auto"/>
            </w:tcBorders>
          </w:tcPr>
          <w:p w:rsidR="0045224A" w:rsidRPr="0045224A" w:rsidRDefault="0045224A" w:rsidP="0045224A">
            <w:pPr>
              <w:autoSpaceDE w:val="0"/>
              <w:autoSpaceDN w:val="0"/>
              <w:adjustRightInd w:val="0"/>
              <w:jc w:val="right"/>
              <w:rPr>
                <w:rFonts w:ascii="Arial" w:eastAsiaTheme="minorHAnsi" w:hAnsi="Arial" w:cs="Arial"/>
                <w:b/>
                <w:bCs/>
                <w:color w:val="000000"/>
                <w:sz w:val="20"/>
                <w:szCs w:val="20"/>
                <w:lang w:eastAsia="en-US"/>
              </w:rPr>
            </w:pPr>
            <w:r w:rsidRPr="0045224A">
              <w:rPr>
                <w:rFonts w:ascii="Arial" w:eastAsiaTheme="minorHAnsi" w:hAnsi="Arial" w:cs="Arial"/>
                <w:b/>
                <w:bCs/>
                <w:color w:val="000000"/>
                <w:sz w:val="20"/>
                <w:szCs w:val="20"/>
                <w:lang w:eastAsia="en-US"/>
              </w:rPr>
              <w:t>14,86%</w:t>
            </w:r>
          </w:p>
        </w:tc>
      </w:tr>
      <w:tr w:rsidR="006C722A" w:rsidRPr="0045224A" w:rsidTr="001A74BF">
        <w:trPr>
          <w:trHeight w:val="247"/>
        </w:trPr>
        <w:tc>
          <w:tcPr>
            <w:tcW w:w="2440" w:type="dxa"/>
            <w:tcBorders>
              <w:top w:val="single" w:sz="6" w:space="0" w:color="auto"/>
              <w:left w:val="single" w:sz="12" w:space="0" w:color="auto"/>
              <w:bottom w:val="single" w:sz="6" w:space="0" w:color="auto"/>
              <w:right w:val="single" w:sz="6" w:space="0" w:color="auto"/>
            </w:tcBorders>
            <w:shd w:val="clear" w:color="auto" w:fill="EAF1DD" w:themeFill="accent3" w:themeFillTint="33"/>
          </w:tcPr>
          <w:p w:rsidR="0045224A" w:rsidRPr="0045224A" w:rsidRDefault="0045224A" w:rsidP="0045224A">
            <w:pPr>
              <w:autoSpaceDE w:val="0"/>
              <w:autoSpaceDN w:val="0"/>
              <w:adjustRightInd w:val="0"/>
              <w:rPr>
                <w:rFonts w:ascii="Arial" w:eastAsiaTheme="minorHAnsi" w:hAnsi="Arial" w:cs="Arial"/>
                <w:color w:val="000000"/>
                <w:sz w:val="20"/>
                <w:szCs w:val="20"/>
                <w:lang w:eastAsia="en-US"/>
              </w:rPr>
            </w:pPr>
            <w:r w:rsidRPr="0045224A">
              <w:rPr>
                <w:rFonts w:ascii="Arial" w:eastAsiaTheme="minorHAnsi" w:hAnsi="Arial" w:cs="Arial"/>
                <w:color w:val="000000"/>
                <w:sz w:val="20"/>
                <w:szCs w:val="20"/>
                <w:lang w:eastAsia="en-US"/>
              </w:rPr>
              <w:t xml:space="preserve"> </w:t>
            </w:r>
            <w:proofErr w:type="spellStart"/>
            <w:r w:rsidRPr="0045224A">
              <w:rPr>
                <w:rFonts w:ascii="Arial" w:eastAsiaTheme="minorHAnsi" w:hAnsi="Arial" w:cs="Arial"/>
                <w:color w:val="000000"/>
                <w:sz w:val="20"/>
                <w:szCs w:val="20"/>
                <w:lang w:eastAsia="en-US"/>
              </w:rPr>
              <w:t>Hodh</w:t>
            </w:r>
            <w:proofErr w:type="spellEnd"/>
            <w:r w:rsidRPr="0045224A">
              <w:rPr>
                <w:rFonts w:ascii="Arial" w:eastAsiaTheme="minorHAnsi" w:hAnsi="Arial" w:cs="Arial"/>
                <w:color w:val="000000"/>
                <w:sz w:val="20"/>
                <w:szCs w:val="20"/>
                <w:lang w:eastAsia="en-US"/>
              </w:rPr>
              <w:t xml:space="preserve"> El Gharbi </w:t>
            </w:r>
          </w:p>
        </w:tc>
        <w:tc>
          <w:tcPr>
            <w:tcW w:w="2268"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45224A" w:rsidRPr="0045224A" w:rsidRDefault="0045224A" w:rsidP="0045224A">
            <w:pPr>
              <w:autoSpaceDE w:val="0"/>
              <w:autoSpaceDN w:val="0"/>
              <w:adjustRightInd w:val="0"/>
              <w:jc w:val="right"/>
              <w:rPr>
                <w:rFonts w:ascii="Arial" w:eastAsiaTheme="minorHAnsi" w:hAnsi="Arial" w:cs="Arial"/>
                <w:color w:val="000000"/>
                <w:sz w:val="20"/>
                <w:szCs w:val="20"/>
                <w:lang w:eastAsia="en-US"/>
              </w:rPr>
            </w:pPr>
            <w:r w:rsidRPr="0045224A">
              <w:rPr>
                <w:rFonts w:ascii="Arial" w:eastAsiaTheme="minorHAnsi" w:hAnsi="Arial" w:cs="Arial"/>
                <w:color w:val="000000"/>
                <w:sz w:val="20"/>
                <w:szCs w:val="20"/>
                <w:lang w:eastAsia="en-US"/>
              </w:rPr>
              <w:t xml:space="preserve">            142 206 309   </w:t>
            </w:r>
          </w:p>
        </w:tc>
        <w:tc>
          <w:tcPr>
            <w:tcW w:w="2126"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45224A" w:rsidRPr="0045224A" w:rsidRDefault="0045224A" w:rsidP="0045224A">
            <w:pPr>
              <w:autoSpaceDE w:val="0"/>
              <w:autoSpaceDN w:val="0"/>
              <w:adjustRightInd w:val="0"/>
              <w:jc w:val="right"/>
              <w:rPr>
                <w:rFonts w:ascii="Arial" w:eastAsiaTheme="minorHAnsi" w:hAnsi="Arial" w:cs="Arial"/>
                <w:color w:val="000000"/>
                <w:sz w:val="20"/>
                <w:szCs w:val="20"/>
                <w:lang w:eastAsia="en-US"/>
              </w:rPr>
            </w:pPr>
            <w:r w:rsidRPr="0045224A">
              <w:rPr>
                <w:rFonts w:ascii="Arial" w:eastAsiaTheme="minorHAnsi" w:hAnsi="Arial" w:cs="Arial"/>
                <w:color w:val="000000"/>
                <w:sz w:val="20"/>
                <w:szCs w:val="20"/>
                <w:lang w:eastAsia="en-US"/>
              </w:rPr>
              <w:t xml:space="preserve">           177 138 113   </w:t>
            </w:r>
          </w:p>
        </w:tc>
        <w:tc>
          <w:tcPr>
            <w:tcW w:w="2268"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45224A" w:rsidRPr="0045224A" w:rsidRDefault="0045224A" w:rsidP="0045224A">
            <w:pPr>
              <w:autoSpaceDE w:val="0"/>
              <w:autoSpaceDN w:val="0"/>
              <w:adjustRightInd w:val="0"/>
              <w:jc w:val="right"/>
              <w:rPr>
                <w:rFonts w:ascii="Arial" w:eastAsiaTheme="minorHAnsi" w:hAnsi="Arial" w:cs="Arial"/>
                <w:b/>
                <w:bCs/>
                <w:color w:val="000000"/>
                <w:sz w:val="20"/>
                <w:szCs w:val="20"/>
                <w:lang w:eastAsia="en-US"/>
              </w:rPr>
            </w:pPr>
            <w:r w:rsidRPr="0045224A">
              <w:rPr>
                <w:rFonts w:ascii="Arial" w:eastAsiaTheme="minorHAnsi" w:hAnsi="Arial" w:cs="Arial"/>
                <w:b/>
                <w:bCs/>
                <w:color w:val="000000"/>
                <w:sz w:val="20"/>
                <w:szCs w:val="20"/>
                <w:lang w:eastAsia="en-US"/>
              </w:rPr>
              <w:t xml:space="preserve">              205 009 887   </w:t>
            </w:r>
          </w:p>
        </w:tc>
        <w:tc>
          <w:tcPr>
            <w:tcW w:w="1276" w:type="dxa"/>
            <w:tcBorders>
              <w:top w:val="single" w:sz="6" w:space="0" w:color="auto"/>
              <w:left w:val="single" w:sz="6" w:space="0" w:color="auto"/>
              <w:bottom w:val="single" w:sz="6" w:space="0" w:color="auto"/>
              <w:right w:val="single" w:sz="12" w:space="0" w:color="auto"/>
            </w:tcBorders>
            <w:shd w:val="clear" w:color="auto" w:fill="EAF1DD" w:themeFill="accent3" w:themeFillTint="33"/>
          </w:tcPr>
          <w:p w:rsidR="0045224A" w:rsidRPr="0045224A" w:rsidRDefault="0045224A" w:rsidP="0045224A">
            <w:pPr>
              <w:autoSpaceDE w:val="0"/>
              <w:autoSpaceDN w:val="0"/>
              <w:adjustRightInd w:val="0"/>
              <w:jc w:val="right"/>
              <w:rPr>
                <w:rFonts w:ascii="Arial" w:eastAsiaTheme="minorHAnsi" w:hAnsi="Arial" w:cs="Arial"/>
                <w:b/>
                <w:bCs/>
                <w:color w:val="000000"/>
                <w:sz w:val="20"/>
                <w:szCs w:val="20"/>
                <w:lang w:eastAsia="en-US"/>
              </w:rPr>
            </w:pPr>
            <w:r w:rsidRPr="0045224A">
              <w:rPr>
                <w:rFonts w:ascii="Arial" w:eastAsiaTheme="minorHAnsi" w:hAnsi="Arial" w:cs="Arial"/>
                <w:b/>
                <w:bCs/>
                <w:color w:val="000000"/>
                <w:sz w:val="20"/>
                <w:szCs w:val="20"/>
                <w:lang w:eastAsia="en-US"/>
              </w:rPr>
              <w:t>8,61%</w:t>
            </w:r>
          </w:p>
        </w:tc>
      </w:tr>
      <w:tr w:rsidR="006C722A" w:rsidRPr="0045224A" w:rsidTr="006C722A">
        <w:trPr>
          <w:trHeight w:val="247"/>
        </w:trPr>
        <w:tc>
          <w:tcPr>
            <w:tcW w:w="2440" w:type="dxa"/>
            <w:tcBorders>
              <w:top w:val="single" w:sz="6" w:space="0" w:color="auto"/>
              <w:left w:val="single" w:sz="12" w:space="0" w:color="auto"/>
              <w:bottom w:val="single" w:sz="6" w:space="0" w:color="auto"/>
              <w:right w:val="single" w:sz="6" w:space="0" w:color="auto"/>
            </w:tcBorders>
          </w:tcPr>
          <w:p w:rsidR="0045224A" w:rsidRPr="0045224A" w:rsidRDefault="0045224A" w:rsidP="0045224A">
            <w:pPr>
              <w:autoSpaceDE w:val="0"/>
              <w:autoSpaceDN w:val="0"/>
              <w:adjustRightInd w:val="0"/>
              <w:rPr>
                <w:rFonts w:ascii="Arial" w:eastAsiaTheme="minorHAnsi" w:hAnsi="Arial" w:cs="Arial"/>
                <w:color w:val="000000"/>
                <w:sz w:val="20"/>
                <w:szCs w:val="20"/>
                <w:lang w:eastAsia="en-US"/>
              </w:rPr>
            </w:pPr>
            <w:r w:rsidRPr="0045224A">
              <w:rPr>
                <w:rFonts w:ascii="Arial" w:eastAsiaTheme="minorHAnsi" w:hAnsi="Arial" w:cs="Arial"/>
                <w:color w:val="000000"/>
                <w:sz w:val="20"/>
                <w:szCs w:val="20"/>
                <w:lang w:eastAsia="en-US"/>
              </w:rPr>
              <w:t xml:space="preserve"> </w:t>
            </w:r>
            <w:proofErr w:type="spellStart"/>
            <w:r w:rsidRPr="0045224A">
              <w:rPr>
                <w:rFonts w:ascii="Arial" w:eastAsiaTheme="minorHAnsi" w:hAnsi="Arial" w:cs="Arial"/>
                <w:color w:val="000000"/>
                <w:sz w:val="20"/>
                <w:szCs w:val="20"/>
                <w:lang w:eastAsia="en-US"/>
              </w:rPr>
              <w:t>Assaba</w:t>
            </w:r>
            <w:proofErr w:type="spellEnd"/>
            <w:r w:rsidRPr="0045224A">
              <w:rPr>
                <w:rFonts w:ascii="Arial" w:eastAsiaTheme="minorHAnsi" w:hAnsi="Arial" w:cs="Arial"/>
                <w:color w:val="000000"/>
                <w:sz w:val="20"/>
                <w:szCs w:val="20"/>
                <w:lang w:eastAsia="en-US"/>
              </w:rPr>
              <w:t xml:space="preserve"> </w:t>
            </w:r>
          </w:p>
        </w:tc>
        <w:tc>
          <w:tcPr>
            <w:tcW w:w="2268" w:type="dxa"/>
            <w:tcBorders>
              <w:top w:val="single" w:sz="6" w:space="0" w:color="auto"/>
              <w:left w:val="single" w:sz="6" w:space="0" w:color="auto"/>
              <w:bottom w:val="single" w:sz="6" w:space="0" w:color="auto"/>
              <w:right w:val="single" w:sz="6" w:space="0" w:color="auto"/>
            </w:tcBorders>
          </w:tcPr>
          <w:p w:rsidR="0045224A" w:rsidRPr="0045224A" w:rsidRDefault="0045224A" w:rsidP="0045224A">
            <w:pPr>
              <w:autoSpaceDE w:val="0"/>
              <w:autoSpaceDN w:val="0"/>
              <w:adjustRightInd w:val="0"/>
              <w:jc w:val="right"/>
              <w:rPr>
                <w:rFonts w:ascii="Arial" w:eastAsiaTheme="minorHAnsi" w:hAnsi="Arial" w:cs="Arial"/>
                <w:color w:val="000000"/>
                <w:sz w:val="20"/>
                <w:szCs w:val="20"/>
                <w:lang w:eastAsia="en-US"/>
              </w:rPr>
            </w:pPr>
            <w:r w:rsidRPr="0045224A">
              <w:rPr>
                <w:rFonts w:ascii="Arial" w:eastAsiaTheme="minorHAnsi" w:hAnsi="Arial" w:cs="Arial"/>
                <w:color w:val="000000"/>
                <w:sz w:val="20"/>
                <w:szCs w:val="20"/>
                <w:lang w:eastAsia="en-US"/>
              </w:rPr>
              <w:t xml:space="preserve">            163 608 048   </w:t>
            </w:r>
          </w:p>
        </w:tc>
        <w:tc>
          <w:tcPr>
            <w:tcW w:w="2126" w:type="dxa"/>
            <w:tcBorders>
              <w:top w:val="single" w:sz="6" w:space="0" w:color="auto"/>
              <w:left w:val="single" w:sz="6" w:space="0" w:color="auto"/>
              <w:bottom w:val="single" w:sz="6" w:space="0" w:color="auto"/>
              <w:right w:val="single" w:sz="6" w:space="0" w:color="auto"/>
            </w:tcBorders>
          </w:tcPr>
          <w:p w:rsidR="0045224A" w:rsidRPr="0045224A" w:rsidRDefault="0045224A" w:rsidP="0045224A">
            <w:pPr>
              <w:autoSpaceDE w:val="0"/>
              <w:autoSpaceDN w:val="0"/>
              <w:adjustRightInd w:val="0"/>
              <w:jc w:val="right"/>
              <w:rPr>
                <w:rFonts w:ascii="Arial" w:eastAsiaTheme="minorHAnsi" w:hAnsi="Arial" w:cs="Arial"/>
                <w:color w:val="000000"/>
                <w:sz w:val="20"/>
                <w:szCs w:val="20"/>
                <w:lang w:eastAsia="en-US"/>
              </w:rPr>
            </w:pPr>
            <w:r w:rsidRPr="0045224A">
              <w:rPr>
                <w:rFonts w:ascii="Arial" w:eastAsiaTheme="minorHAnsi" w:hAnsi="Arial" w:cs="Arial"/>
                <w:color w:val="000000"/>
                <w:sz w:val="20"/>
                <w:szCs w:val="20"/>
                <w:lang w:eastAsia="en-US"/>
              </w:rPr>
              <w:t xml:space="preserve">           203 191 508   </w:t>
            </w:r>
          </w:p>
        </w:tc>
        <w:tc>
          <w:tcPr>
            <w:tcW w:w="2268" w:type="dxa"/>
            <w:tcBorders>
              <w:top w:val="single" w:sz="6" w:space="0" w:color="auto"/>
              <w:left w:val="single" w:sz="6" w:space="0" w:color="auto"/>
              <w:bottom w:val="single" w:sz="6" w:space="0" w:color="auto"/>
              <w:right w:val="single" w:sz="6" w:space="0" w:color="auto"/>
            </w:tcBorders>
          </w:tcPr>
          <w:p w:rsidR="0045224A" w:rsidRPr="0045224A" w:rsidRDefault="0045224A" w:rsidP="0045224A">
            <w:pPr>
              <w:autoSpaceDE w:val="0"/>
              <w:autoSpaceDN w:val="0"/>
              <w:adjustRightInd w:val="0"/>
              <w:jc w:val="right"/>
              <w:rPr>
                <w:rFonts w:ascii="Arial" w:eastAsiaTheme="minorHAnsi" w:hAnsi="Arial" w:cs="Arial"/>
                <w:b/>
                <w:bCs/>
                <w:color w:val="000000"/>
                <w:sz w:val="20"/>
                <w:szCs w:val="20"/>
                <w:lang w:eastAsia="en-US"/>
              </w:rPr>
            </w:pPr>
            <w:r w:rsidRPr="0045224A">
              <w:rPr>
                <w:rFonts w:ascii="Arial" w:eastAsiaTheme="minorHAnsi" w:hAnsi="Arial" w:cs="Arial"/>
                <w:b/>
                <w:bCs/>
                <w:color w:val="000000"/>
                <w:sz w:val="20"/>
                <w:szCs w:val="20"/>
                <w:lang w:eastAsia="en-US"/>
              </w:rPr>
              <w:t xml:space="preserve">              235 812 627   </w:t>
            </w:r>
          </w:p>
        </w:tc>
        <w:tc>
          <w:tcPr>
            <w:tcW w:w="1276" w:type="dxa"/>
            <w:tcBorders>
              <w:top w:val="single" w:sz="6" w:space="0" w:color="auto"/>
              <w:left w:val="single" w:sz="6" w:space="0" w:color="auto"/>
              <w:bottom w:val="single" w:sz="6" w:space="0" w:color="auto"/>
              <w:right w:val="single" w:sz="12" w:space="0" w:color="auto"/>
            </w:tcBorders>
          </w:tcPr>
          <w:p w:rsidR="0045224A" w:rsidRPr="0045224A" w:rsidRDefault="0045224A" w:rsidP="0045224A">
            <w:pPr>
              <w:autoSpaceDE w:val="0"/>
              <w:autoSpaceDN w:val="0"/>
              <w:adjustRightInd w:val="0"/>
              <w:jc w:val="right"/>
              <w:rPr>
                <w:rFonts w:ascii="Arial" w:eastAsiaTheme="minorHAnsi" w:hAnsi="Arial" w:cs="Arial"/>
                <w:b/>
                <w:bCs/>
                <w:color w:val="000000"/>
                <w:sz w:val="20"/>
                <w:szCs w:val="20"/>
                <w:lang w:eastAsia="en-US"/>
              </w:rPr>
            </w:pPr>
            <w:r w:rsidRPr="0045224A">
              <w:rPr>
                <w:rFonts w:ascii="Arial" w:eastAsiaTheme="minorHAnsi" w:hAnsi="Arial" w:cs="Arial"/>
                <w:b/>
                <w:bCs/>
                <w:color w:val="000000"/>
                <w:sz w:val="20"/>
                <w:szCs w:val="20"/>
                <w:lang w:eastAsia="en-US"/>
              </w:rPr>
              <w:t>9,91%</w:t>
            </w:r>
          </w:p>
        </w:tc>
      </w:tr>
      <w:tr w:rsidR="006C722A" w:rsidRPr="0045224A" w:rsidTr="001A74BF">
        <w:trPr>
          <w:trHeight w:val="247"/>
        </w:trPr>
        <w:tc>
          <w:tcPr>
            <w:tcW w:w="2440" w:type="dxa"/>
            <w:tcBorders>
              <w:top w:val="single" w:sz="6" w:space="0" w:color="auto"/>
              <w:left w:val="single" w:sz="12" w:space="0" w:color="auto"/>
              <w:bottom w:val="single" w:sz="6" w:space="0" w:color="auto"/>
              <w:right w:val="single" w:sz="6" w:space="0" w:color="auto"/>
            </w:tcBorders>
            <w:shd w:val="clear" w:color="auto" w:fill="EAF1DD" w:themeFill="accent3" w:themeFillTint="33"/>
          </w:tcPr>
          <w:p w:rsidR="0045224A" w:rsidRPr="0045224A" w:rsidRDefault="0045224A" w:rsidP="0045224A">
            <w:pPr>
              <w:autoSpaceDE w:val="0"/>
              <w:autoSpaceDN w:val="0"/>
              <w:adjustRightInd w:val="0"/>
              <w:rPr>
                <w:rFonts w:ascii="Arial" w:eastAsiaTheme="minorHAnsi" w:hAnsi="Arial" w:cs="Arial"/>
                <w:color w:val="000000"/>
                <w:sz w:val="20"/>
                <w:szCs w:val="20"/>
                <w:lang w:eastAsia="en-US"/>
              </w:rPr>
            </w:pPr>
            <w:r w:rsidRPr="0045224A">
              <w:rPr>
                <w:rFonts w:ascii="Arial" w:eastAsiaTheme="minorHAnsi" w:hAnsi="Arial" w:cs="Arial"/>
                <w:color w:val="000000"/>
                <w:sz w:val="20"/>
                <w:szCs w:val="20"/>
                <w:lang w:eastAsia="en-US"/>
              </w:rPr>
              <w:t xml:space="preserve"> </w:t>
            </w:r>
            <w:proofErr w:type="spellStart"/>
            <w:r w:rsidRPr="0045224A">
              <w:rPr>
                <w:rFonts w:ascii="Arial" w:eastAsiaTheme="minorHAnsi" w:hAnsi="Arial" w:cs="Arial"/>
                <w:color w:val="000000"/>
                <w:sz w:val="20"/>
                <w:szCs w:val="20"/>
                <w:lang w:eastAsia="en-US"/>
              </w:rPr>
              <w:t>Gorgol</w:t>
            </w:r>
            <w:proofErr w:type="spellEnd"/>
            <w:r w:rsidRPr="0045224A">
              <w:rPr>
                <w:rFonts w:ascii="Arial" w:eastAsiaTheme="minorHAnsi" w:hAnsi="Arial" w:cs="Arial"/>
                <w:color w:val="000000"/>
                <w:sz w:val="20"/>
                <w:szCs w:val="20"/>
                <w:lang w:eastAsia="en-US"/>
              </w:rPr>
              <w:t xml:space="preserve"> </w:t>
            </w:r>
          </w:p>
        </w:tc>
        <w:tc>
          <w:tcPr>
            <w:tcW w:w="2268"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45224A" w:rsidRPr="0045224A" w:rsidRDefault="0045224A" w:rsidP="0045224A">
            <w:pPr>
              <w:autoSpaceDE w:val="0"/>
              <w:autoSpaceDN w:val="0"/>
              <w:adjustRightInd w:val="0"/>
              <w:jc w:val="right"/>
              <w:rPr>
                <w:rFonts w:ascii="Arial" w:eastAsiaTheme="minorHAnsi" w:hAnsi="Arial" w:cs="Arial"/>
                <w:color w:val="000000"/>
                <w:sz w:val="20"/>
                <w:szCs w:val="20"/>
                <w:lang w:eastAsia="en-US"/>
              </w:rPr>
            </w:pPr>
            <w:r w:rsidRPr="0045224A">
              <w:rPr>
                <w:rFonts w:ascii="Arial" w:eastAsiaTheme="minorHAnsi" w:hAnsi="Arial" w:cs="Arial"/>
                <w:color w:val="000000"/>
                <w:sz w:val="20"/>
                <w:szCs w:val="20"/>
                <w:lang w:eastAsia="en-US"/>
              </w:rPr>
              <w:t xml:space="preserve">            169 394 620   </w:t>
            </w:r>
          </w:p>
        </w:tc>
        <w:tc>
          <w:tcPr>
            <w:tcW w:w="2126"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45224A" w:rsidRPr="0045224A" w:rsidRDefault="0045224A" w:rsidP="0045224A">
            <w:pPr>
              <w:autoSpaceDE w:val="0"/>
              <w:autoSpaceDN w:val="0"/>
              <w:adjustRightInd w:val="0"/>
              <w:jc w:val="right"/>
              <w:rPr>
                <w:rFonts w:ascii="Arial" w:eastAsiaTheme="minorHAnsi" w:hAnsi="Arial" w:cs="Arial"/>
                <w:color w:val="000000"/>
                <w:sz w:val="20"/>
                <w:szCs w:val="20"/>
                <w:lang w:eastAsia="en-US"/>
              </w:rPr>
            </w:pPr>
            <w:r w:rsidRPr="0045224A">
              <w:rPr>
                <w:rFonts w:ascii="Arial" w:eastAsiaTheme="minorHAnsi" w:hAnsi="Arial" w:cs="Arial"/>
                <w:color w:val="000000"/>
                <w:sz w:val="20"/>
                <w:szCs w:val="20"/>
                <w:lang w:eastAsia="en-US"/>
              </w:rPr>
              <w:t xml:space="preserve">           209 509 621   </w:t>
            </w:r>
          </w:p>
        </w:tc>
        <w:tc>
          <w:tcPr>
            <w:tcW w:w="2268"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45224A" w:rsidRPr="0045224A" w:rsidRDefault="0045224A" w:rsidP="0045224A">
            <w:pPr>
              <w:autoSpaceDE w:val="0"/>
              <w:autoSpaceDN w:val="0"/>
              <w:adjustRightInd w:val="0"/>
              <w:jc w:val="right"/>
              <w:rPr>
                <w:rFonts w:ascii="Arial" w:eastAsiaTheme="minorHAnsi" w:hAnsi="Arial" w:cs="Arial"/>
                <w:b/>
                <w:bCs/>
                <w:color w:val="000000"/>
                <w:sz w:val="20"/>
                <w:szCs w:val="20"/>
                <w:lang w:eastAsia="en-US"/>
              </w:rPr>
            </w:pPr>
            <w:r w:rsidRPr="0045224A">
              <w:rPr>
                <w:rFonts w:ascii="Arial" w:eastAsiaTheme="minorHAnsi" w:hAnsi="Arial" w:cs="Arial"/>
                <w:b/>
                <w:bCs/>
                <w:color w:val="000000"/>
                <w:sz w:val="20"/>
                <w:szCs w:val="20"/>
                <w:lang w:eastAsia="en-US"/>
              </w:rPr>
              <w:t xml:space="preserve">              243 926 278   </w:t>
            </w:r>
          </w:p>
        </w:tc>
        <w:tc>
          <w:tcPr>
            <w:tcW w:w="1276" w:type="dxa"/>
            <w:tcBorders>
              <w:top w:val="single" w:sz="6" w:space="0" w:color="auto"/>
              <w:left w:val="single" w:sz="6" w:space="0" w:color="auto"/>
              <w:bottom w:val="single" w:sz="6" w:space="0" w:color="auto"/>
              <w:right w:val="single" w:sz="12" w:space="0" w:color="auto"/>
            </w:tcBorders>
            <w:shd w:val="clear" w:color="auto" w:fill="EAF1DD" w:themeFill="accent3" w:themeFillTint="33"/>
          </w:tcPr>
          <w:p w:rsidR="0045224A" w:rsidRPr="0045224A" w:rsidRDefault="0045224A" w:rsidP="0045224A">
            <w:pPr>
              <w:autoSpaceDE w:val="0"/>
              <w:autoSpaceDN w:val="0"/>
              <w:adjustRightInd w:val="0"/>
              <w:jc w:val="right"/>
              <w:rPr>
                <w:rFonts w:ascii="Arial" w:eastAsiaTheme="minorHAnsi" w:hAnsi="Arial" w:cs="Arial"/>
                <w:b/>
                <w:bCs/>
                <w:color w:val="000000"/>
                <w:sz w:val="20"/>
                <w:szCs w:val="20"/>
                <w:lang w:eastAsia="en-US"/>
              </w:rPr>
            </w:pPr>
            <w:r w:rsidRPr="0045224A">
              <w:rPr>
                <w:rFonts w:ascii="Arial" w:eastAsiaTheme="minorHAnsi" w:hAnsi="Arial" w:cs="Arial"/>
                <w:b/>
                <w:bCs/>
                <w:color w:val="000000"/>
                <w:sz w:val="20"/>
                <w:szCs w:val="20"/>
                <w:lang w:eastAsia="en-US"/>
              </w:rPr>
              <w:t>10,25%</w:t>
            </w:r>
          </w:p>
        </w:tc>
      </w:tr>
      <w:tr w:rsidR="006C722A" w:rsidRPr="0045224A" w:rsidTr="006C722A">
        <w:trPr>
          <w:trHeight w:val="247"/>
        </w:trPr>
        <w:tc>
          <w:tcPr>
            <w:tcW w:w="2440" w:type="dxa"/>
            <w:tcBorders>
              <w:top w:val="single" w:sz="6" w:space="0" w:color="auto"/>
              <w:left w:val="single" w:sz="12" w:space="0" w:color="auto"/>
              <w:bottom w:val="single" w:sz="6" w:space="0" w:color="auto"/>
              <w:right w:val="single" w:sz="6" w:space="0" w:color="auto"/>
            </w:tcBorders>
          </w:tcPr>
          <w:p w:rsidR="0045224A" w:rsidRPr="0045224A" w:rsidRDefault="0045224A" w:rsidP="0045224A">
            <w:pPr>
              <w:autoSpaceDE w:val="0"/>
              <w:autoSpaceDN w:val="0"/>
              <w:adjustRightInd w:val="0"/>
              <w:rPr>
                <w:rFonts w:ascii="Arial" w:eastAsiaTheme="minorHAnsi" w:hAnsi="Arial" w:cs="Arial"/>
                <w:color w:val="000000"/>
                <w:sz w:val="20"/>
                <w:szCs w:val="20"/>
                <w:lang w:eastAsia="en-US"/>
              </w:rPr>
            </w:pPr>
            <w:r w:rsidRPr="0045224A">
              <w:rPr>
                <w:rFonts w:ascii="Arial" w:eastAsiaTheme="minorHAnsi" w:hAnsi="Arial" w:cs="Arial"/>
                <w:color w:val="000000"/>
                <w:sz w:val="20"/>
                <w:szCs w:val="20"/>
                <w:lang w:eastAsia="en-US"/>
              </w:rPr>
              <w:t xml:space="preserve"> </w:t>
            </w:r>
            <w:proofErr w:type="spellStart"/>
            <w:r w:rsidRPr="0045224A">
              <w:rPr>
                <w:rFonts w:ascii="Arial" w:eastAsiaTheme="minorHAnsi" w:hAnsi="Arial" w:cs="Arial"/>
                <w:color w:val="000000"/>
                <w:sz w:val="20"/>
                <w:szCs w:val="20"/>
                <w:lang w:eastAsia="en-US"/>
              </w:rPr>
              <w:t>Brakna</w:t>
            </w:r>
            <w:proofErr w:type="spellEnd"/>
            <w:r w:rsidRPr="0045224A">
              <w:rPr>
                <w:rFonts w:ascii="Arial" w:eastAsiaTheme="minorHAnsi" w:hAnsi="Arial" w:cs="Arial"/>
                <w:color w:val="000000"/>
                <w:sz w:val="20"/>
                <w:szCs w:val="20"/>
                <w:lang w:eastAsia="en-US"/>
              </w:rPr>
              <w:t xml:space="preserve"> </w:t>
            </w:r>
          </w:p>
        </w:tc>
        <w:tc>
          <w:tcPr>
            <w:tcW w:w="2268" w:type="dxa"/>
            <w:tcBorders>
              <w:top w:val="single" w:sz="6" w:space="0" w:color="auto"/>
              <w:left w:val="single" w:sz="6" w:space="0" w:color="auto"/>
              <w:bottom w:val="single" w:sz="6" w:space="0" w:color="auto"/>
              <w:right w:val="single" w:sz="6" w:space="0" w:color="auto"/>
            </w:tcBorders>
          </w:tcPr>
          <w:p w:rsidR="0045224A" w:rsidRPr="0045224A" w:rsidRDefault="0045224A" w:rsidP="0045224A">
            <w:pPr>
              <w:autoSpaceDE w:val="0"/>
              <w:autoSpaceDN w:val="0"/>
              <w:adjustRightInd w:val="0"/>
              <w:jc w:val="right"/>
              <w:rPr>
                <w:rFonts w:ascii="Arial" w:eastAsiaTheme="minorHAnsi" w:hAnsi="Arial" w:cs="Arial"/>
                <w:color w:val="000000"/>
                <w:sz w:val="20"/>
                <w:szCs w:val="20"/>
                <w:lang w:eastAsia="en-US"/>
              </w:rPr>
            </w:pPr>
            <w:r w:rsidRPr="0045224A">
              <w:rPr>
                <w:rFonts w:ascii="Arial" w:eastAsiaTheme="minorHAnsi" w:hAnsi="Arial" w:cs="Arial"/>
                <w:color w:val="000000"/>
                <w:sz w:val="20"/>
                <w:szCs w:val="20"/>
                <w:lang w:eastAsia="en-US"/>
              </w:rPr>
              <w:t xml:space="preserve">            148 865 032   </w:t>
            </w:r>
          </w:p>
        </w:tc>
        <w:tc>
          <w:tcPr>
            <w:tcW w:w="2126" w:type="dxa"/>
            <w:tcBorders>
              <w:top w:val="single" w:sz="6" w:space="0" w:color="auto"/>
              <w:left w:val="single" w:sz="6" w:space="0" w:color="auto"/>
              <w:bottom w:val="single" w:sz="6" w:space="0" w:color="auto"/>
              <w:right w:val="single" w:sz="6" w:space="0" w:color="auto"/>
            </w:tcBorders>
          </w:tcPr>
          <w:p w:rsidR="0045224A" w:rsidRPr="0045224A" w:rsidRDefault="0045224A" w:rsidP="0045224A">
            <w:pPr>
              <w:autoSpaceDE w:val="0"/>
              <w:autoSpaceDN w:val="0"/>
              <w:adjustRightInd w:val="0"/>
              <w:jc w:val="right"/>
              <w:rPr>
                <w:rFonts w:ascii="Arial" w:eastAsiaTheme="minorHAnsi" w:hAnsi="Arial" w:cs="Arial"/>
                <w:color w:val="000000"/>
                <w:sz w:val="20"/>
                <w:szCs w:val="20"/>
                <w:lang w:eastAsia="en-US"/>
              </w:rPr>
            </w:pPr>
            <w:r w:rsidRPr="0045224A">
              <w:rPr>
                <w:rFonts w:ascii="Arial" w:eastAsiaTheme="minorHAnsi" w:hAnsi="Arial" w:cs="Arial"/>
                <w:color w:val="000000"/>
                <w:sz w:val="20"/>
                <w:szCs w:val="20"/>
                <w:lang w:eastAsia="en-US"/>
              </w:rPr>
              <w:t xml:space="preserve">           184 942 578   </w:t>
            </w:r>
          </w:p>
        </w:tc>
        <w:tc>
          <w:tcPr>
            <w:tcW w:w="2268" w:type="dxa"/>
            <w:tcBorders>
              <w:top w:val="single" w:sz="6" w:space="0" w:color="auto"/>
              <w:left w:val="single" w:sz="6" w:space="0" w:color="auto"/>
              <w:bottom w:val="single" w:sz="6" w:space="0" w:color="auto"/>
              <w:right w:val="single" w:sz="6" w:space="0" w:color="auto"/>
            </w:tcBorders>
          </w:tcPr>
          <w:p w:rsidR="0045224A" w:rsidRPr="0045224A" w:rsidRDefault="0045224A" w:rsidP="0045224A">
            <w:pPr>
              <w:autoSpaceDE w:val="0"/>
              <w:autoSpaceDN w:val="0"/>
              <w:adjustRightInd w:val="0"/>
              <w:jc w:val="right"/>
              <w:rPr>
                <w:rFonts w:ascii="Arial" w:eastAsiaTheme="minorHAnsi" w:hAnsi="Arial" w:cs="Arial"/>
                <w:b/>
                <w:bCs/>
                <w:color w:val="000000"/>
                <w:sz w:val="20"/>
                <w:szCs w:val="20"/>
                <w:lang w:eastAsia="en-US"/>
              </w:rPr>
            </w:pPr>
            <w:r w:rsidRPr="0045224A">
              <w:rPr>
                <w:rFonts w:ascii="Arial" w:eastAsiaTheme="minorHAnsi" w:hAnsi="Arial" w:cs="Arial"/>
                <w:b/>
                <w:bCs/>
                <w:color w:val="000000"/>
                <w:sz w:val="20"/>
                <w:szCs w:val="20"/>
                <w:lang w:eastAsia="en-US"/>
              </w:rPr>
              <w:t xml:space="preserve">              215 304 720   </w:t>
            </w:r>
          </w:p>
        </w:tc>
        <w:tc>
          <w:tcPr>
            <w:tcW w:w="1276" w:type="dxa"/>
            <w:tcBorders>
              <w:top w:val="single" w:sz="6" w:space="0" w:color="auto"/>
              <w:left w:val="single" w:sz="6" w:space="0" w:color="auto"/>
              <w:bottom w:val="single" w:sz="6" w:space="0" w:color="auto"/>
              <w:right w:val="single" w:sz="12" w:space="0" w:color="auto"/>
            </w:tcBorders>
          </w:tcPr>
          <w:p w:rsidR="0045224A" w:rsidRPr="0045224A" w:rsidRDefault="0045224A" w:rsidP="0045224A">
            <w:pPr>
              <w:autoSpaceDE w:val="0"/>
              <w:autoSpaceDN w:val="0"/>
              <w:adjustRightInd w:val="0"/>
              <w:jc w:val="right"/>
              <w:rPr>
                <w:rFonts w:ascii="Arial" w:eastAsiaTheme="minorHAnsi" w:hAnsi="Arial" w:cs="Arial"/>
                <w:b/>
                <w:bCs/>
                <w:color w:val="000000"/>
                <w:sz w:val="20"/>
                <w:szCs w:val="20"/>
                <w:lang w:eastAsia="en-US"/>
              </w:rPr>
            </w:pPr>
            <w:r w:rsidRPr="0045224A">
              <w:rPr>
                <w:rFonts w:ascii="Arial" w:eastAsiaTheme="minorHAnsi" w:hAnsi="Arial" w:cs="Arial"/>
                <w:b/>
                <w:bCs/>
                <w:color w:val="000000"/>
                <w:sz w:val="20"/>
                <w:szCs w:val="20"/>
                <w:lang w:eastAsia="en-US"/>
              </w:rPr>
              <w:t>9,33%</w:t>
            </w:r>
          </w:p>
        </w:tc>
      </w:tr>
      <w:tr w:rsidR="006C722A" w:rsidRPr="0045224A" w:rsidTr="001A74BF">
        <w:trPr>
          <w:trHeight w:val="247"/>
        </w:trPr>
        <w:tc>
          <w:tcPr>
            <w:tcW w:w="2440" w:type="dxa"/>
            <w:tcBorders>
              <w:top w:val="single" w:sz="6" w:space="0" w:color="auto"/>
              <w:left w:val="single" w:sz="12" w:space="0" w:color="auto"/>
              <w:bottom w:val="single" w:sz="6" w:space="0" w:color="auto"/>
              <w:right w:val="single" w:sz="6" w:space="0" w:color="auto"/>
            </w:tcBorders>
            <w:shd w:val="clear" w:color="auto" w:fill="EAF1DD" w:themeFill="accent3" w:themeFillTint="33"/>
          </w:tcPr>
          <w:p w:rsidR="0045224A" w:rsidRPr="0045224A" w:rsidRDefault="0045224A" w:rsidP="0045224A">
            <w:pPr>
              <w:autoSpaceDE w:val="0"/>
              <w:autoSpaceDN w:val="0"/>
              <w:adjustRightInd w:val="0"/>
              <w:rPr>
                <w:rFonts w:ascii="Arial" w:eastAsiaTheme="minorHAnsi" w:hAnsi="Arial" w:cs="Arial"/>
                <w:color w:val="000000"/>
                <w:sz w:val="20"/>
                <w:szCs w:val="20"/>
                <w:lang w:eastAsia="en-US"/>
              </w:rPr>
            </w:pPr>
            <w:r w:rsidRPr="0045224A">
              <w:rPr>
                <w:rFonts w:ascii="Arial" w:eastAsiaTheme="minorHAnsi" w:hAnsi="Arial" w:cs="Arial"/>
                <w:color w:val="000000"/>
                <w:sz w:val="20"/>
                <w:szCs w:val="20"/>
                <w:lang w:eastAsia="en-US"/>
              </w:rPr>
              <w:t xml:space="preserve"> Trarza </w:t>
            </w:r>
          </w:p>
        </w:tc>
        <w:tc>
          <w:tcPr>
            <w:tcW w:w="2268"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45224A" w:rsidRPr="0045224A" w:rsidRDefault="0045224A" w:rsidP="0045224A">
            <w:pPr>
              <w:autoSpaceDE w:val="0"/>
              <w:autoSpaceDN w:val="0"/>
              <w:adjustRightInd w:val="0"/>
              <w:jc w:val="right"/>
              <w:rPr>
                <w:rFonts w:ascii="Arial" w:eastAsiaTheme="minorHAnsi" w:hAnsi="Arial" w:cs="Arial"/>
                <w:color w:val="000000"/>
                <w:sz w:val="20"/>
                <w:szCs w:val="20"/>
                <w:lang w:eastAsia="en-US"/>
              </w:rPr>
            </w:pPr>
            <w:r w:rsidRPr="0045224A">
              <w:rPr>
                <w:rFonts w:ascii="Arial" w:eastAsiaTheme="minorHAnsi" w:hAnsi="Arial" w:cs="Arial"/>
                <w:color w:val="000000"/>
                <w:sz w:val="20"/>
                <w:szCs w:val="20"/>
                <w:lang w:eastAsia="en-US"/>
              </w:rPr>
              <w:t xml:space="preserve">            154 452 485   </w:t>
            </w:r>
          </w:p>
        </w:tc>
        <w:tc>
          <w:tcPr>
            <w:tcW w:w="2126"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45224A" w:rsidRPr="0045224A" w:rsidRDefault="0045224A" w:rsidP="0045224A">
            <w:pPr>
              <w:autoSpaceDE w:val="0"/>
              <w:autoSpaceDN w:val="0"/>
              <w:adjustRightInd w:val="0"/>
              <w:jc w:val="right"/>
              <w:rPr>
                <w:rFonts w:ascii="Arial" w:eastAsiaTheme="minorHAnsi" w:hAnsi="Arial" w:cs="Arial"/>
                <w:color w:val="000000"/>
                <w:sz w:val="20"/>
                <w:szCs w:val="20"/>
                <w:lang w:eastAsia="en-US"/>
              </w:rPr>
            </w:pPr>
            <w:r w:rsidRPr="0045224A">
              <w:rPr>
                <w:rFonts w:ascii="Arial" w:eastAsiaTheme="minorHAnsi" w:hAnsi="Arial" w:cs="Arial"/>
                <w:color w:val="000000"/>
                <w:sz w:val="20"/>
                <w:szCs w:val="20"/>
                <w:lang w:eastAsia="en-US"/>
              </w:rPr>
              <w:t xml:space="preserve">           192 300 973   </w:t>
            </w:r>
          </w:p>
        </w:tc>
        <w:tc>
          <w:tcPr>
            <w:tcW w:w="2268"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45224A" w:rsidRPr="0045224A" w:rsidRDefault="0045224A" w:rsidP="0045224A">
            <w:pPr>
              <w:autoSpaceDE w:val="0"/>
              <w:autoSpaceDN w:val="0"/>
              <w:adjustRightInd w:val="0"/>
              <w:jc w:val="right"/>
              <w:rPr>
                <w:rFonts w:ascii="Arial" w:eastAsiaTheme="minorHAnsi" w:hAnsi="Arial" w:cs="Arial"/>
                <w:b/>
                <w:bCs/>
                <w:color w:val="000000"/>
                <w:sz w:val="20"/>
                <w:szCs w:val="20"/>
                <w:lang w:eastAsia="en-US"/>
              </w:rPr>
            </w:pPr>
            <w:r w:rsidRPr="0045224A">
              <w:rPr>
                <w:rFonts w:ascii="Arial" w:eastAsiaTheme="minorHAnsi" w:hAnsi="Arial" w:cs="Arial"/>
                <w:b/>
                <w:bCs/>
                <w:color w:val="000000"/>
                <w:sz w:val="20"/>
                <w:szCs w:val="20"/>
                <w:lang w:eastAsia="en-US"/>
              </w:rPr>
              <w:t xml:space="preserve">              223 719 214   </w:t>
            </w:r>
          </w:p>
        </w:tc>
        <w:tc>
          <w:tcPr>
            <w:tcW w:w="1276" w:type="dxa"/>
            <w:tcBorders>
              <w:top w:val="single" w:sz="6" w:space="0" w:color="auto"/>
              <w:left w:val="single" w:sz="6" w:space="0" w:color="auto"/>
              <w:bottom w:val="single" w:sz="6" w:space="0" w:color="auto"/>
              <w:right w:val="single" w:sz="12" w:space="0" w:color="auto"/>
            </w:tcBorders>
            <w:shd w:val="clear" w:color="auto" w:fill="EAF1DD" w:themeFill="accent3" w:themeFillTint="33"/>
          </w:tcPr>
          <w:p w:rsidR="0045224A" w:rsidRPr="0045224A" w:rsidRDefault="0045224A" w:rsidP="0045224A">
            <w:pPr>
              <w:autoSpaceDE w:val="0"/>
              <w:autoSpaceDN w:val="0"/>
              <w:adjustRightInd w:val="0"/>
              <w:jc w:val="right"/>
              <w:rPr>
                <w:rFonts w:ascii="Arial" w:eastAsiaTheme="minorHAnsi" w:hAnsi="Arial" w:cs="Arial"/>
                <w:b/>
                <w:bCs/>
                <w:color w:val="000000"/>
                <w:sz w:val="20"/>
                <w:szCs w:val="20"/>
                <w:lang w:eastAsia="en-US"/>
              </w:rPr>
            </w:pPr>
            <w:r w:rsidRPr="0045224A">
              <w:rPr>
                <w:rFonts w:ascii="Arial" w:eastAsiaTheme="minorHAnsi" w:hAnsi="Arial" w:cs="Arial"/>
                <w:b/>
                <w:bCs/>
                <w:color w:val="000000"/>
                <w:sz w:val="20"/>
                <w:szCs w:val="20"/>
                <w:lang w:eastAsia="en-US"/>
              </w:rPr>
              <w:t>9,40%</w:t>
            </w:r>
          </w:p>
        </w:tc>
      </w:tr>
      <w:tr w:rsidR="006C722A" w:rsidRPr="0045224A" w:rsidTr="006C722A">
        <w:trPr>
          <w:trHeight w:val="247"/>
        </w:trPr>
        <w:tc>
          <w:tcPr>
            <w:tcW w:w="2440" w:type="dxa"/>
            <w:tcBorders>
              <w:top w:val="single" w:sz="6" w:space="0" w:color="auto"/>
              <w:left w:val="single" w:sz="12" w:space="0" w:color="auto"/>
              <w:bottom w:val="single" w:sz="6" w:space="0" w:color="auto"/>
              <w:right w:val="single" w:sz="6" w:space="0" w:color="auto"/>
            </w:tcBorders>
          </w:tcPr>
          <w:p w:rsidR="0045224A" w:rsidRPr="0045224A" w:rsidRDefault="0045224A" w:rsidP="0045224A">
            <w:pPr>
              <w:autoSpaceDE w:val="0"/>
              <w:autoSpaceDN w:val="0"/>
              <w:adjustRightInd w:val="0"/>
              <w:rPr>
                <w:rFonts w:ascii="Arial" w:eastAsiaTheme="minorHAnsi" w:hAnsi="Arial" w:cs="Arial"/>
                <w:color w:val="000000"/>
                <w:sz w:val="20"/>
                <w:szCs w:val="20"/>
                <w:lang w:eastAsia="en-US"/>
              </w:rPr>
            </w:pPr>
            <w:r w:rsidRPr="0045224A">
              <w:rPr>
                <w:rFonts w:ascii="Arial" w:eastAsiaTheme="minorHAnsi" w:hAnsi="Arial" w:cs="Arial"/>
                <w:color w:val="000000"/>
                <w:sz w:val="20"/>
                <w:szCs w:val="20"/>
                <w:lang w:eastAsia="en-US"/>
              </w:rPr>
              <w:t xml:space="preserve"> Adrar </w:t>
            </w:r>
          </w:p>
        </w:tc>
        <w:tc>
          <w:tcPr>
            <w:tcW w:w="2268" w:type="dxa"/>
            <w:tcBorders>
              <w:top w:val="single" w:sz="6" w:space="0" w:color="auto"/>
              <w:left w:val="single" w:sz="6" w:space="0" w:color="auto"/>
              <w:bottom w:val="single" w:sz="6" w:space="0" w:color="auto"/>
              <w:right w:val="single" w:sz="6" w:space="0" w:color="auto"/>
            </w:tcBorders>
          </w:tcPr>
          <w:p w:rsidR="0045224A" w:rsidRPr="0045224A" w:rsidRDefault="0045224A" w:rsidP="0045224A">
            <w:pPr>
              <w:autoSpaceDE w:val="0"/>
              <w:autoSpaceDN w:val="0"/>
              <w:adjustRightInd w:val="0"/>
              <w:jc w:val="right"/>
              <w:rPr>
                <w:rFonts w:ascii="Arial" w:eastAsiaTheme="minorHAnsi" w:hAnsi="Arial" w:cs="Arial"/>
                <w:color w:val="000000"/>
                <w:sz w:val="20"/>
                <w:szCs w:val="20"/>
                <w:lang w:eastAsia="en-US"/>
              </w:rPr>
            </w:pPr>
            <w:r w:rsidRPr="0045224A">
              <w:rPr>
                <w:rFonts w:ascii="Arial" w:eastAsiaTheme="minorHAnsi" w:hAnsi="Arial" w:cs="Arial"/>
                <w:color w:val="000000"/>
                <w:sz w:val="20"/>
                <w:szCs w:val="20"/>
                <w:lang w:eastAsia="en-US"/>
              </w:rPr>
              <w:t xml:space="preserve">             39 005 109   </w:t>
            </w:r>
          </w:p>
        </w:tc>
        <w:tc>
          <w:tcPr>
            <w:tcW w:w="2126" w:type="dxa"/>
            <w:tcBorders>
              <w:top w:val="single" w:sz="6" w:space="0" w:color="auto"/>
              <w:left w:val="single" w:sz="6" w:space="0" w:color="auto"/>
              <w:bottom w:val="single" w:sz="6" w:space="0" w:color="auto"/>
              <w:right w:val="single" w:sz="6" w:space="0" w:color="auto"/>
            </w:tcBorders>
          </w:tcPr>
          <w:p w:rsidR="0045224A" w:rsidRPr="0045224A" w:rsidRDefault="0045224A" w:rsidP="0045224A">
            <w:pPr>
              <w:autoSpaceDE w:val="0"/>
              <w:autoSpaceDN w:val="0"/>
              <w:adjustRightInd w:val="0"/>
              <w:jc w:val="right"/>
              <w:rPr>
                <w:rFonts w:ascii="Arial" w:eastAsiaTheme="minorHAnsi" w:hAnsi="Arial" w:cs="Arial"/>
                <w:color w:val="000000"/>
                <w:sz w:val="20"/>
                <w:szCs w:val="20"/>
                <w:lang w:eastAsia="en-US"/>
              </w:rPr>
            </w:pPr>
            <w:r w:rsidRPr="0045224A">
              <w:rPr>
                <w:rFonts w:ascii="Arial" w:eastAsiaTheme="minorHAnsi" w:hAnsi="Arial" w:cs="Arial"/>
                <w:color w:val="000000"/>
                <w:sz w:val="20"/>
                <w:szCs w:val="20"/>
                <w:lang w:eastAsia="en-US"/>
              </w:rPr>
              <w:t xml:space="preserve">             49 706 799   </w:t>
            </w:r>
          </w:p>
        </w:tc>
        <w:tc>
          <w:tcPr>
            <w:tcW w:w="2268" w:type="dxa"/>
            <w:tcBorders>
              <w:top w:val="single" w:sz="6" w:space="0" w:color="auto"/>
              <w:left w:val="single" w:sz="6" w:space="0" w:color="auto"/>
              <w:bottom w:val="single" w:sz="6" w:space="0" w:color="auto"/>
              <w:right w:val="single" w:sz="6" w:space="0" w:color="auto"/>
            </w:tcBorders>
          </w:tcPr>
          <w:p w:rsidR="0045224A" w:rsidRPr="0045224A" w:rsidRDefault="0045224A" w:rsidP="0045224A">
            <w:pPr>
              <w:autoSpaceDE w:val="0"/>
              <w:autoSpaceDN w:val="0"/>
              <w:adjustRightInd w:val="0"/>
              <w:jc w:val="right"/>
              <w:rPr>
                <w:rFonts w:ascii="Arial" w:eastAsiaTheme="minorHAnsi" w:hAnsi="Arial" w:cs="Arial"/>
                <w:b/>
                <w:bCs/>
                <w:color w:val="000000"/>
                <w:sz w:val="20"/>
                <w:szCs w:val="20"/>
                <w:lang w:eastAsia="en-US"/>
              </w:rPr>
            </w:pPr>
            <w:r w:rsidRPr="0045224A">
              <w:rPr>
                <w:rFonts w:ascii="Arial" w:eastAsiaTheme="minorHAnsi" w:hAnsi="Arial" w:cs="Arial"/>
                <w:b/>
                <w:bCs/>
                <w:color w:val="000000"/>
                <w:sz w:val="20"/>
                <w:szCs w:val="20"/>
                <w:lang w:eastAsia="en-US"/>
              </w:rPr>
              <w:t xml:space="preserve">                56 547 997   </w:t>
            </w:r>
          </w:p>
        </w:tc>
        <w:tc>
          <w:tcPr>
            <w:tcW w:w="1276" w:type="dxa"/>
            <w:tcBorders>
              <w:top w:val="single" w:sz="6" w:space="0" w:color="auto"/>
              <w:left w:val="single" w:sz="6" w:space="0" w:color="auto"/>
              <w:bottom w:val="single" w:sz="6" w:space="0" w:color="auto"/>
              <w:right w:val="single" w:sz="12" w:space="0" w:color="auto"/>
            </w:tcBorders>
          </w:tcPr>
          <w:p w:rsidR="0045224A" w:rsidRPr="0045224A" w:rsidRDefault="0045224A" w:rsidP="0045224A">
            <w:pPr>
              <w:autoSpaceDE w:val="0"/>
              <w:autoSpaceDN w:val="0"/>
              <w:adjustRightInd w:val="0"/>
              <w:jc w:val="right"/>
              <w:rPr>
                <w:rFonts w:ascii="Arial" w:eastAsiaTheme="minorHAnsi" w:hAnsi="Arial" w:cs="Arial"/>
                <w:b/>
                <w:bCs/>
                <w:color w:val="000000"/>
                <w:sz w:val="20"/>
                <w:szCs w:val="20"/>
                <w:lang w:eastAsia="en-US"/>
              </w:rPr>
            </w:pPr>
            <w:r w:rsidRPr="0045224A">
              <w:rPr>
                <w:rFonts w:ascii="Arial" w:eastAsiaTheme="minorHAnsi" w:hAnsi="Arial" w:cs="Arial"/>
                <w:b/>
                <w:bCs/>
                <w:color w:val="000000"/>
                <w:sz w:val="20"/>
                <w:szCs w:val="20"/>
                <w:lang w:eastAsia="en-US"/>
              </w:rPr>
              <w:t>2,38%</w:t>
            </w:r>
          </w:p>
        </w:tc>
      </w:tr>
      <w:tr w:rsidR="006C722A" w:rsidRPr="0045224A" w:rsidTr="001A74BF">
        <w:trPr>
          <w:trHeight w:val="247"/>
        </w:trPr>
        <w:tc>
          <w:tcPr>
            <w:tcW w:w="2440" w:type="dxa"/>
            <w:tcBorders>
              <w:top w:val="single" w:sz="6" w:space="0" w:color="auto"/>
              <w:left w:val="single" w:sz="12" w:space="0" w:color="auto"/>
              <w:bottom w:val="single" w:sz="6" w:space="0" w:color="auto"/>
              <w:right w:val="single" w:sz="6" w:space="0" w:color="auto"/>
            </w:tcBorders>
            <w:shd w:val="clear" w:color="auto" w:fill="EAF1DD" w:themeFill="accent3" w:themeFillTint="33"/>
          </w:tcPr>
          <w:p w:rsidR="0045224A" w:rsidRPr="0045224A" w:rsidRDefault="0045224A" w:rsidP="0045224A">
            <w:pPr>
              <w:autoSpaceDE w:val="0"/>
              <w:autoSpaceDN w:val="0"/>
              <w:adjustRightInd w:val="0"/>
              <w:rPr>
                <w:rFonts w:ascii="Arial" w:eastAsiaTheme="minorHAnsi" w:hAnsi="Arial" w:cs="Arial"/>
                <w:color w:val="000000"/>
                <w:sz w:val="20"/>
                <w:szCs w:val="20"/>
                <w:lang w:eastAsia="en-US"/>
              </w:rPr>
            </w:pPr>
            <w:r w:rsidRPr="0045224A">
              <w:rPr>
                <w:rFonts w:ascii="Arial" w:eastAsiaTheme="minorHAnsi" w:hAnsi="Arial" w:cs="Arial"/>
                <w:color w:val="000000"/>
                <w:sz w:val="20"/>
                <w:szCs w:val="20"/>
                <w:lang w:eastAsia="en-US"/>
              </w:rPr>
              <w:t xml:space="preserve"> </w:t>
            </w:r>
            <w:proofErr w:type="spellStart"/>
            <w:r w:rsidRPr="0045224A">
              <w:rPr>
                <w:rFonts w:ascii="Arial" w:eastAsiaTheme="minorHAnsi" w:hAnsi="Arial" w:cs="Arial"/>
                <w:color w:val="000000"/>
                <w:sz w:val="20"/>
                <w:szCs w:val="20"/>
                <w:lang w:eastAsia="en-US"/>
              </w:rPr>
              <w:t>Dakhlet</w:t>
            </w:r>
            <w:proofErr w:type="spellEnd"/>
            <w:r w:rsidRPr="0045224A">
              <w:rPr>
                <w:rFonts w:ascii="Arial" w:eastAsiaTheme="minorHAnsi" w:hAnsi="Arial" w:cs="Arial"/>
                <w:color w:val="000000"/>
                <w:sz w:val="20"/>
                <w:szCs w:val="20"/>
                <w:lang w:eastAsia="en-US"/>
              </w:rPr>
              <w:t xml:space="preserve">-Nouadhibou </w:t>
            </w:r>
          </w:p>
        </w:tc>
        <w:tc>
          <w:tcPr>
            <w:tcW w:w="2268"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45224A" w:rsidRPr="0045224A" w:rsidRDefault="0045224A" w:rsidP="0045224A">
            <w:pPr>
              <w:autoSpaceDE w:val="0"/>
              <w:autoSpaceDN w:val="0"/>
              <w:adjustRightInd w:val="0"/>
              <w:jc w:val="right"/>
              <w:rPr>
                <w:rFonts w:ascii="Arial" w:eastAsiaTheme="minorHAnsi" w:hAnsi="Arial" w:cs="Arial"/>
                <w:color w:val="000000"/>
                <w:sz w:val="20"/>
                <w:szCs w:val="20"/>
                <w:lang w:eastAsia="en-US"/>
              </w:rPr>
            </w:pPr>
            <w:r w:rsidRPr="0045224A">
              <w:rPr>
                <w:rFonts w:ascii="Arial" w:eastAsiaTheme="minorHAnsi" w:hAnsi="Arial" w:cs="Arial"/>
                <w:color w:val="000000"/>
                <w:sz w:val="20"/>
                <w:szCs w:val="20"/>
                <w:lang w:eastAsia="en-US"/>
              </w:rPr>
              <w:t xml:space="preserve">             50 205 113   </w:t>
            </w:r>
          </w:p>
        </w:tc>
        <w:tc>
          <w:tcPr>
            <w:tcW w:w="2126"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45224A" w:rsidRPr="0045224A" w:rsidRDefault="0045224A" w:rsidP="0045224A">
            <w:pPr>
              <w:autoSpaceDE w:val="0"/>
              <w:autoSpaceDN w:val="0"/>
              <w:adjustRightInd w:val="0"/>
              <w:jc w:val="right"/>
              <w:rPr>
                <w:rFonts w:ascii="Arial" w:eastAsiaTheme="minorHAnsi" w:hAnsi="Arial" w:cs="Arial"/>
                <w:color w:val="000000"/>
                <w:sz w:val="20"/>
                <w:szCs w:val="20"/>
                <w:lang w:eastAsia="en-US"/>
              </w:rPr>
            </w:pPr>
            <w:r w:rsidRPr="0045224A">
              <w:rPr>
                <w:rFonts w:ascii="Arial" w:eastAsiaTheme="minorHAnsi" w:hAnsi="Arial" w:cs="Arial"/>
                <w:color w:val="000000"/>
                <w:sz w:val="20"/>
                <w:szCs w:val="20"/>
                <w:lang w:eastAsia="en-US"/>
              </w:rPr>
              <w:t xml:space="preserve">             62 929 700   </w:t>
            </w:r>
          </w:p>
        </w:tc>
        <w:tc>
          <w:tcPr>
            <w:tcW w:w="2268"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45224A" w:rsidRPr="0045224A" w:rsidRDefault="0045224A" w:rsidP="0045224A">
            <w:pPr>
              <w:autoSpaceDE w:val="0"/>
              <w:autoSpaceDN w:val="0"/>
              <w:adjustRightInd w:val="0"/>
              <w:jc w:val="right"/>
              <w:rPr>
                <w:rFonts w:ascii="Arial" w:eastAsiaTheme="minorHAnsi" w:hAnsi="Arial" w:cs="Arial"/>
                <w:b/>
                <w:bCs/>
                <w:color w:val="000000"/>
                <w:sz w:val="20"/>
                <w:szCs w:val="20"/>
                <w:lang w:eastAsia="en-US"/>
              </w:rPr>
            </w:pPr>
            <w:r w:rsidRPr="0045224A">
              <w:rPr>
                <w:rFonts w:ascii="Arial" w:eastAsiaTheme="minorHAnsi" w:hAnsi="Arial" w:cs="Arial"/>
                <w:b/>
                <w:bCs/>
                <w:color w:val="000000"/>
                <w:sz w:val="20"/>
                <w:szCs w:val="20"/>
                <w:lang w:eastAsia="en-US"/>
              </w:rPr>
              <w:t xml:space="preserve">                72 506 365   </w:t>
            </w:r>
          </w:p>
        </w:tc>
        <w:tc>
          <w:tcPr>
            <w:tcW w:w="1276" w:type="dxa"/>
            <w:tcBorders>
              <w:top w:val="single" w:sz="6" w:space="0" w:color="auto"/>
              <w:left w:val="single" w:sz="6" w:space="0" w:color="auto"/>
              <w:bottom w:val="single" w:sz="6" w:space="0" w:color="auto"/>
              <w:right w:val="single" w:sz="12" w:space="0" w:color="auto"/>
            </w:tcBorders>
            <w:shd w:val="clear" w:color="auto" w:fill="EAF1DD" w:themeFill="accent3" w:themeFillTint="33"/>
          </w:tcPr>
          <w:p w:rsidR="0045224A" w:rsidRPr="0045224A" w:rsidRDefault="0045224A" w:rsidP="0045224A">
            <w:pPr>
              <w:autoSpaceDE w:val="0"/>
              <w:autoSpaceDN w:val="0"/>
              <w:adjustRightInd w:val="0"/>
              <w:jc w:val="right"/>
              <w:rPr>
                <w:rFonts w:ascii="Arial" w:eastAsiaTheme="minorHAnsi" w:hAnsi="Arial" w:cs="Arial"/>
                <w:b/>
                <w:bCs/>
                <w:color w:val="000000"/>
                <w:sz w:val="20"/>
                <w:szCs w:val="20"/>
                <w:lang w:eastAsia="en-US"/>
              </w:rPr>
            </w:pPr>
            <w:r w:rsidRPr="0045224A">
              <w:rPr>
                <w:rFonts w:ascii="Arial" w:eastAsiaTheme="minorHAnsi" w:hAnsi="Arial" w:cs="Arial"/>
                <w:b/>
                <w:bCs/>
                <w:color w:val="000000"/>
                <w:sz w:val="20"/>
                <w:szCs w:val="20"/>
                <w:lang w:eastAsia="en-US"/>
              </w:rPr>
              <w:t>3,05%</w:t>
            </w:r>
          </w:p>
        </w:tc>
      </w:tr>
      <w:tr w:rsidR="006C722A" w:rsidRPr="0045224A" w:rsidTr="006C722A">
        <w:trPr>
          <w:trHeight w:val="247"/>
        </w:trPr>
        <w:tc>
          <w:tcPr>
            <w:tcW w:w="2440" w:type="dxa"/>
            <w:tcBorders>
              <w:top w:val="single" w:sz="6" w:space="0" w:color="auto"/>
              <w:left w:val="single" w:sz="12" w:space="0" w:color="auto"/>
              <w:bottom w:val="single" w:sz="6" w:space="0" w:color="auto"/>
              <w:right w:val="single" w:sz="6" w:space="0" w:color="auto"/>
            </w:tcBorders>
          </w:tcPr>
          <w:p w:rsidR="0045224A" w:rsidRPr="0045224A" w:rsidRDefault="0045224A" w:rsidP="0045224A">
            <w:pPr>
              <w:autoSpaceDE w:val="0"/>
              <w:autoSpaceDN w:val="0"/>
              <w:adjustRightInd w:val="0"/>
              <w:rPr>
                <w:rFonts w:ascii="Arial" w:eastAsiaTheme="minorHAnsi" w:hAnsi="Arial" w:cs="Arial"/>
                <w:color w:val="000000"/>
                <w:sz w:val="20"/>
                <w:szCs w:val="20"/>
                <w:lang w:eastAsia="en-US"/>
              </w:rPr>
            </w:pPr>
            <w:r w:rsidRPr="0045224A">
              <w:rPr>
                <w:rFonts w:ascii="Arial" w:eastAsiaTheme="minorHAnsi" w:hAnsi="Arial" w:cs="Arial"/>
                <w:color w:val="000000"/>
                <w:sz w:val="20"/>
                <w:szCs w:val="20"/>
                <w:lang w:eastAsia="en-US"/>
              </w:rPr>
              <w:t xml:space="preserve"> </w:t>
            </w:r>
            <w:proofErr w:type="spellStart"/>
            <w:r w:rsidRPr="0045224A">
              <w:rPr>
                <w:rFonts w:ascii="Arial" w:eastAsiaTheme="minorHAnsi" w:hAnsi="Arial" w:cs="Arial"/>
                <w:color w:val="000000"/>
                <w:sz w:val="20"/>
                <w:szCs w:val="20"/>
                <w:lang w:eastAsia="en-US"/>
              </w:rPr>
              <w:t>Tagant</w:t>
            </w:r>
            <w:proofErr w:type="spellEnd"/>
            <w:r w:rsidRPr="0045224A">
              <w:rPr>
                <w:rFonts w:ascii="Arial" w:eastAsiaTheme="minorHAnsi" w:hAnsi="Arial" w:cs="Arial"/>
                <w:color w:val="000000"/>
                <w:sz w:val="20"/>
                <w:szCs w:val="20"/>
                <w:lang w:eastAsia="en-US"/>
              </w:rPr>
              <w:t xml:space="preserve"> </w:t>
            </w:r>
          </w:p>
        </w:tc>
        <w:tc>
          <w:tcPr>
            <w:tcW w:w="2268" w:type="dxa"/>
            <w:tcBorders>
              <w:top w:val="single" w:sz="6" w:space="0" w:color="auto"/>
              <w:left w:val="single" w:sz="6" w:space="0" w:color="auto"/>
              <w:bottom w:val="single" w:sz="6" w:space="0" w:color="auto"/>
              <w:right w:val="single" w:sz="6" w:space="0" w:color="auto"/>
            </w:tcBorders>
          </w:tcPr>
          <w:p w:rsidR="0045224A" w:rsidRPr="0045224A" w:rsidRDefault="0045224A" w:rsidP="0045224A">
            <w:pPr>
              <w:autoSpaceDE w:val="0"/>
              <w:autoSpaceDN w:val="0"/>
              <w:adjustRightInd w:val="0"/>
              <w:jc w:val="right"/>
              <w:rPr>
                <w:rFonts w:ascii="Arial" w:eastAsiaTheme="minorHAnsi" w:hAnsi="Arial" w:cs="Arial"/>
                <w:color w:val="000000"/>
                <w:sz w:val="20"/>
                <w:szCs w:val="20"/>
                <w:lang w:eastAsia="en-US"/>
              </w:rPr>
            </w:pPr>
            <w:r w:rsidRPr="0045224A">
              <w:rPr>
                <w:rFonts w:ascii="Arial" w:eastAsiaTheme="minorHAnsi" w:hAnsi="Arial" w:cs="Arial"/>
                <w:color w:val="000000"/>
                <w:sz w:val="20"/>
                <w:szCs w:val="20"/>
                <w:lang w:eastAsia="en-US"/>
              </w:rPr>
              <w:t xml:space="preserve">             45 870 377   </w:t>
            </w:r>
          </w:p>
        </w:tc>
        <w:tc>
          <w:tcPr>
            <w:tcW w:w="2126" w:type="dxa"/>
            <w:tcBorders>
              <w:top w:val="single" w:sz="6" w:space="0" w:color="auto"/>
              <w:left w:val="single" w:sz="6" w:space="0" w:color="auto"/>
              <w:bottom w:val="single" w:sz="6" w:space="0" w:color="auto"/>
              <w:right w:val="single" w:sz="6" w:space="0" w:color="auto"/>
            </w:tcBorders>
          </w:tcPr>
          <w:p w:rsidR="0045224A" w:rsidRPr="0045224A" w:rsidRDefault="0045224A" w:rsidP="0045224A">
            <w:pPr>
              <w:autoSpaceDE w:val="0"/>
              <w:autoSpaceDN w:val="0"/>
              <w:adjustRightInd w:val="0"/>
              <w:jc w:val="right"/>
              <w:rPr>
                <w:rFonts w:ascii="Arial" w:eastAsiaTheme="minorHAnsi" w:hAnsi="Arial" w:cs="Arial"/>
                <w:color w:val="000000"/>
                <w:sz w:val="20"/>
                <w:szCs w:val="20"/>
                <w:lang w:eastAsia="en-US"/>
              </w:rPr>
            </w:pPr>
            <w:r w:rsidRPr="0045224A">
              <w:rPr>
                <w:rFonts w:ascii="Arial" w:eastAsiaTheme="minorHAnsi" w:hAnsi="Arial" w:cs="Arial"/>
                <w:color w:val="000000"/>
                <w:sz w:val="20"/>
                <w:szCs w:val="20"/>
                <w:lang w:eastAsia="en-US"/>
              </w:rPr>
              <w:t xml:space="preserve">             58 037 943   </w:t>
            </w:r>
          </w:p>
        </w:tc>
        <w:tc>
          <w:tcPr>
            <w:tcW w:w="2268" w:type="dxa"/>
            <w:tcBorders>
              <w:top w:val="single" w:sz="6" w:space="0" w:color="auto"/>
              <w:left w:val="single" w:sz="6" w:space="0" w:color="auto"/>
              <w:bottom w:val="single" w:sz="6" w:space="0" w:color="auto"/>
              <w:right w:val="single" w:sz="6" w:space="0" w:color="auto"/>
            </w:tcBorders>
          </w:tcPr>
          <w:p w:rsidR="0045224A" w:rsidRPr="0045224A" w:rsidRDefault="0045224A" w:rsidP="0045224A">
            <w:pPr>
              <w:autoSpaceDE w:val="0"/>
              <w:autoSpaceDN w:val="0"/>
              <w:adjustRightInd w:val="0"/>
              <w:jc w:val="right"/>
              <w:rPr>
                <w:rFonts w:ascii="Arial" w:eastAsiaTheme="minorHAnsi" w:hAnsi="Arial" w:cs="Arial"/>
                <w:b/>
                <w:bCs/>
                <w:color w:val="000000"/>
                <w:sz w:val="20"/>
                <w:szCs w:val="20"/>
                <w:lang w:eastAsia="en-US"/>
              </w:rPr>
            </w:pPr>
            <w:r w:rsidRPr="0045224A">
              <w:rPr>
                <w:rFonts w:ascii="Arial" w:eastAsiaTheme="minorHAnsi" w:hAnsi="Arial" w:cs="Arial"/>
                <w:b/>
                <w:bCs/>
                <w:color w:val="000000"/>
                <w:sz w:val="20"/>
                <w:szCs w:val="20"/>
                <w:lang w:eastAsia="en-US"/>
              </w:rPr>
              <w:t xml:space="preserve">                66 356 908   </w:t>
            </w:r>
          </w:p>
        </w:tc>
        <w:tc>
          <w:tcPr>
            <w:tcW w:w="1276" w:type="dxa"/>
            <w:tcBorders>
              <w:top w:val="single" w:sz="6" w:space="0" w:color="auto"/>
              <w:left w:val="single" w:sz="6" w:space="0" w:color="auto"/>
              <w:bottom w:val="single" w:sz="6" w:space="0" w:color="auto"/>
              <w:right w:val="single" w:sz="12" w:space="0" w:color="auto"/>
            </w:tcBorders>
          </w:tcPr>
          <w:p w:rsidR="0045224A" w:rsidRPr="0045224A" w:rsidRDefault="0045224A" w:rsidP="0045224A">
            <w:pPr>
              <w:autoSpaceDE w:val="0"/>
              <w:autoSpaceDN w:val="0"/>
              <w:adjustRightInd w:val="0"/>
              <w:jc w:val="right"/>
              <w:rPr>
                <w:rFonts w:ascii="Arial" w:eastAsiaTheme="minorHAnsi" w:hAnsi="Arial" w:cs="Arial"/>
                <w:b/>
                <w:bCs/>
                <w:color w:val="000000"/>
                <w:sz w:val="20"/>
                <w:szCs w:val="20"/>
                <w:lang w:eastAsia="en-US"/>
              </w:rPr>
            </w:pPr>
            <w:r w:rsidRPr="0045224A">
              <w:rPr>
                <w:rFonts w:ascii="Arial" w:eastAsiaTheme="minorHAnsi" w:hAnsi="Arial" w:cs="Arial"/>
                <w:b/>
                <w:bCs/>
                <w:color w:val="000000"/>
                <w:sz w:val="20"/>
                <w:szCs w:val="20"/>
                <w:lang w:eastAsia="en-US"/>
              </w:rPr>
              <w:t>2,79%</w:t>
            </w:r>
          </w:p>
        </w:tc>
      </w:tr>
      <w:tr w:rsidR="006C722A" w:rsidRPr="0045224A" w:rsidTr="001A74BF">
        <w:trPr>
          <w:trHeight w:val="247"/>
        </w:trPr>
        <w:tc>
          <w:tcPr>
            <w:tcW w:w="2440" w:type="dxa"/>
            <w:tcBorders>
              <w:top w:val="single" w:sz="6" w:space="0" w:color="auto"/>
              <w:left w:val="single" w:sz="12" w:space="0" w:color="auto"/>
              <w:bottom w:val="single" w:sz="6" w:space="0" w:color="auto"/>
              <w:right w:val="single" w:sz="6" w:space="0" w:color="auto"/>
            </w:tcBorders>
            <w:shd w:val="clear" w:color="auto" w:fill="EAF1DD" w:themeFill="accent3" w:themeFillTint="33"/>
          </w:tcPr>
          <w:p w:rsidR="0045224A" w:rsidRPr="0045224A" w:rsidRDefault="0045224A" w:rsidP="0045224A">
            <w:pPr>
              <w:autoSpaceDE w:val="0"/>
              <w:autoSpaceDN w:val="0"/>
              <w:adjustRightInd w:val="0"/>
              <w:rPr>
                <w:rFonts w:ascii="Arial" w:eastAsiaTheme="minorHAnsi" w:hAnsi="Arial" w:cs="Arial"/>
                <w:color w:val="000000"/>
                <w:sz w:val="20"/>
                <w:szCs w:val="20"/>
                <w:lang w:eastAsia="en-US"/>
              </w:rPr>
            </w:pPr>
            <w:r w:rsidRPr="0045224A">
              <w:rPr>
                <w:rFonts w:ascii="Arial" w:eastAsiaTheme="minorHAnsi" w:hAnsi="Arial" w:cs="Arial"/>
                <w:color w:val="000000"/>
                <w:sz w:val="20"/>
                <w:szCs w:val="20"/>
                <w:lang w:eastAsia="en-US"/>
              </w:rPr>
              <w:t xml:space="preserve"> </w:t>
            </w:r>
            <w:proofErr w:type="spellStart"/>
            <w:r w:rsidRPr="0045224A">
              <w:rPr>
                <w:rFonts w:ascii="Arial" w:eastAsiaTheme="minorHAnsi" w:hAnsi="Arial" w:cs="Arial"/>
                <w:color w:val="000000"/>
                <w:sz w:val="20"/>
                <w:szCs w:val="20"/>
                <w:lang w:eastAsia="en-US"/>
              </w:rPr>
              <w:t>Guidimakha</w:t>
            </w:r>
            <w:proofErr w:type="spellEnd"/>
            <w:r w:rsidRPr="0045224A">
              <w:rPr>
                <w:rFonts w:ascii="Arial" w:eastAsiaTheme="minorHAnsi" w:hAnsi="Arial" w:cs="Arial"/>
                <w:color w:val="000000"/>
                <w:sz w:val="20"/>
                <w:szCs w:val="20"/>
                <w:lang w:eastAsia="en-US"/>
              </w:rPr>
              <w:t xml:space="preserve"> </w:t>
            </w:r>
          </w:p>
        </w:tc>
        <w:tc>
          <w:tcPr>
            <w:tcW w:w="2268"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45224A" w:rsidRPr="0045224A" w:rsidRDefault="0045224A" w:rsidP="0045224A">
            <w:pPr>
              <w:autoSpaceDE w:val="0"/>
              <w:autoSpaceDN w:val="0"/>
              <w:adjustRightInd w:val="0"/>
              <w:jc w:val="right"/>
              <w:rPr>
                <w:rFonts w:ascii="Arial" w:eastAsiaTheme="minorHAnsi" w:hAnsi="Arial" w:cs="Arial"/>
                <w:color w:val="000000"/>
                <w:sz w:val="20"/>
                <w:szCs w:val="20"/>
                <w:lang w:eastAsia="en-US"/>
              </w:rPr>
            </w:pPr>
            <w:r w:rsidRPr="0045224A">
              <w:rPr>
                <w:rFonts w:ascii="Arial" w:eastAsiaTheme="minorHAnsi" w:hAnsi="Arial" w:cs="Arial"/>
                <w:color w:val="000000"/>
                <w:sz w:val="20"/>
                <w:szCs w:val="20"/>
                <w:lang w:eastAsia="en-US"/>
              </w:rPr>
              <w:t xml:space="preserve">            116 126 131   </w:t>
            </w:r>
          </w:p>
        </w:tc>
        <w:tc>
          <w:tcPr>
            <w:tcW w:w="2126"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45224A" w:rsidRPr="0045224A" w:rsidRDefault="0045224A" w:rsidP="0045224A">
            <w:pPr>
              <w:autoSpaceDE w:val="0"/>
              <w:autoSpaceDN w:val="0"/>
              <w:adjustRightInd w:val="0"/>
              <w:jc w:val="right"/>
              <w:rPr>
                <w:rFonts w:ascii="Arial" w:eastAsiaTheme="minorHAnsi" w:hAnsi="Arial" w:cs="Arial"/>
                <w:color w:val="000000"/>
                <w:sz w:val="20"/>
                <w:szCs w:val="20"/>
                <w:lang w:eastAsia="en-US"/>
              </w:rPr>
            </w:pPr>
            <w:r w:rsidRPr="0045224A">
              <w:rPr>
                <w:rFonts w:ascii="Arial" w:eastAsiaTheme="minorHAnsi" w:hAnsi="Arial" w:cs="Arial"/>
                <w:color w:val="000000"/>
                <w:sz w:val="20"/>
                <w:szCs w:val="20"/>
                <w:lang w:eastAsia="en-US"/>
              </w:rPr>
              <w:t xml:space="preserve">           143 903 191   </w:t>
            </w:r>
          </w:p>
        </w:tc>
        <w:tc>
          <w:tcPr>
            <w:tcW w:w="2268"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45224A" w:rsidRPr="0045224A" w:rsidRDefault="0045224A" w:rsidP="0045224A">
            <w:pPr>
              <w:autoSpaceDE w:val="0"/>
              <w:autoSpaceDN w:val="0"/>
              <w:adjustRightInd w:val="0"/>
              <w:jc w:val="right"/>
              <w:rPr>
                <w:rFonts w:ascii="Arial" w:eastAsiaTheme="minorHAnsi" w:hAnsi="Arial" w:cs="Arial"/>
                <w:b/>
                <w:bCs/>
                <w:color w:val="000000"/>
                <w:sz w:val="20"/>
                <w:szCs w:val="20"/>
                <w:lang w:eastAsia="en-US"/>
              </w:rPr>
            </w:pPr>
            <w:r w:rsidRPr="0045224A">
              <w:rPr>
                <w:rFonts w:ascii="Arial" w:eastAsiaTheme="minorHAnsi" w:hAnsi="Arial" w:cs="Arial"/>
                <w:b/>
                <w:bCs/>
                <w:color w:val="000000"/>
                <w:sz w:val="20"/>
                <w:szCs w:val="20"/>
                <w:lang w:eastAsia="en-US"/>
              </w:rPr>
              <w:t xml:space="preserve">              167 536 195   </w:t>
            </w:r>
          </w:p>
        </w:tc>
        <w:tc>
          <w:tcPr>
            <w:tcW w:w="1276" w:type="dxa"/>
            <w:tcBorders>
              <w:top w:val="single" w:sz="6" w:space="0" w:color="auto"/>
              <w:left w:val="single" w:sz="6" w:space="0" w:color="auto"/>
              <w:bottom w:val="single" w:sz="6" w:space="0" w:color="auto"/>
              <w:right w:val="single" w:sz="12" w:space="0" w:color="auto"/>
            </w:tcBorders>
            <w:shd w:val="clear" w:color="auto" w:fill="EAF1DD" w:themeFill="accent3" w:themeFillTint="33"/>
          </w:tcPr>
          <w:p w:rsidR="0045224A" w:rsidRPr="0045224A" w:rsidRDefault="0045224A" w:rsidP="0045224A">
            <w:pPr>
              <w:autoSpaceDE w:val="0"/>
              <w:autoSpaceDN w:val="0"/>
              <w:adjustRightInd w:val="0"/>
              <w:jc w:val="right"/>
              <w:rPr>
                <w:rFonts w:ascii="Arial" w:eastAsiaTheme="minorHAnsi" w:hAnsi="Arial" w:cs="Arial"/>
                <w:b/>
                <w:bCs/>
                <w:color w:val="000000"/>
                <w:sz w:val="20"/>
                <w:szCs w:val="20"/>
                <w:lang w:eastAsia="en-US"/>
              </w:rPr>
            </w:pPr>
            <w:r w:rsidRPr="0045224A">
              <w:rPr>
                <w:rFonts w:ascii="Arial" w:eastAsiaTheme="minorHAnsi" w:hAnsi="Arial" w:cs="Arial"/>
                <w:b/>
                <w:bCs/>
                <w:color w:val="000000"/>
                <w:sz w:val="20"/>
                <w:szCs w:val="20"/>
                <w:lang w:eastAsia="en-US"/>
              </w:rPr>
              <w:t>7,04%</w:t>
            </w:r>
          </w:p>
        </w:tc>
      </w:tr>
      <w:tr w:rsidR="006C722A" w:rsidRPr="0045224A" w:rsidTr="006C722A">
        <w:trPr>
          <w:trHeight w:val="247"/>
        </w:trPr>
        <w:tc>
          <w:tcPr>
            <w:tcW w:w="2440" w:type="dxa"/>
            <w:tcBorders>
              <w:top w:val="single" w:sz="6" w:space="0" w:color="auto"/>
              <w:left w:val="single" w:sz="12" w:space="0" w:color="auto"/>
              <w:bottom w:val="single" w:sz="6" w:space="0" w:color="auto"/>
              <w:right w:val="single" w:sz="6" w:space="0" w:color="auto"/>
            </w:tcBorders>
          </w:tcPr>
          <w:p w:rsidR="0045224A" w:rsidRPr="0045224A" w:rsidRDefault="0045224A" w:rsidP="0045224A">
            <w:pPr>
              <w:autoSpaceDE w:val="0"/>
              <w:autoSpaceDN w:val="0"/>
              <w:adjustRightInd w:val="0"/>
              <w:rPr>
                <w:rFonts w:ascii="Arial" w:eastAsiaTheme="minorHAnsi" w:hAnsi="Arial" w:cs="Arial"/>
                <w:color w:val="000000"/>
                <w:sz w:val="20"/>
                <w:szCs w:val="20"/>
                <w:lang w:eastAsia="en-US"/>
              </w:rPr>
            </w:pPr>
            <w:r w:rsidRPr="0045224A">
              <w:rPr>
                <w:rFonts w:ascii="Arial" w:eastAsiaTheme="minorHAnsi" w:hAnsi="Arial" w:cs="Arial"/>
                <w:color w:val="000000"/>
                <w:sz w:val="20"/>
                <w:szCs w:val="20"/>
                <w:lang w:eastAsia="en-US"/>
              </w:rPr>
              <w:t xml:space="preserve"> </w:t>
            </w:r>
            <w:proofErr w:type="spellStart"/>
            <w:r w:rsidRPr="0045224A">
              <w:rPr>
                <w:rFonts w:ascii="Arial" w:eastAsiaTheme="minorHAnsi" w:hAnsi="Arial" w:cs="Arial"/>
                <w:color w:val="000000"/>
                <w:sz w:val="20"/>
                <w:szCs w:val="20"/>
                <w:lang w:eastAsia="en-US"/>
              </w:rPr>
              <w:t>Tiris</w:t>
            </w:r>
            <w:proofErr w:type="spellEnd"/>
            <w:r w:rsidRPr="0045224A">
              <w:rPr>
                <w:rFonts w:ascii="Arial" w:eastAsiaTheme="minorHAnsi" w:hAnsi="Arial" w:cs="Arial"/>
                <w:color w:val="000000"/>
                <w:sz w:val="20"/>
                <w:szCs w:val="20"/>
                <w:lang w:eastAsia="en-US"/>
              </w:rPr>
              <w:t>-</w:t>
            </w:r>
            <w:proofErr w:type="spellStart"/>
            <w:r w:rsidRPr="0045224A">
              <w:rPr>
                <w:rFonts w:ascii="Arial" w:eastAsiaTheme="minorHAnsi" w:hAnsi="Arial" w:cs="Arial"/>
                <w:color w:val="000000"/>
                <w:sz w:val="20"/>
                <w:szCs w:val="20"/>
                <w:lang w:eastAsia="en-US"/>
              </w:rPr>
              <w:t>Zemmour</w:t>
            </w:r>
            <w:proofErr w:type="spellEnd"/>
            <w:r w:rsidRPr="0045224A">
              <w:rPr>
                <w:rFonts w:ascii="Arial" w:eastAsiaTheme="minorHAnsi" w:hAnsi="Arial" w:cs="Arial"/>
                <w:color w:val="000000"/>
                <w:sz w:val="20"/>
                <w:szCs w:val="20"/>
                <w:lang w:eastAsia="en-US"/>
              </w:rPr>
              <w:t xml:space="preserve"> </w:t>
            </w:r>
          </w:p>
        </w:tc>
        <w:tc>
          <w:tcPr>
            <w:tcW w:w="2268" w:type="dxa"/>
            <w:tcBorders>
              <w:top w:val="single" w:sz="6" w:space="0" w:color="auto"/>
              <w:left w:val="single" w:sz="6" w:space="0" w:color="auto"/>
              <w:bottom w:val="single" w:sz="6" w:space="0" w:color="auto"/>
              <w:right w:val="single" w:sz="6" w:space="0" w:color="auto"/>
            </w:tcBorders>
          </w:tcPr>
          <w:p w:rsidR="0045224A" w:rsidRPr="0045224A" w:rsidRDefault="0045224A" w:rsidP="0045224A">
            <w:pPr>
              <w:autoSpaceDE w:val="0"/>
              <w:autoSpaceDN w:val="0"/>
              <w:adjustRightInd w:val="0"/>
              <w:jc w:val="right"/>
              <w:rPr>
                <w:rFonts w:ascii="Arial" w:eastAsiaTheme="minorHAnsi" w:hAnsi="Arial" w:cs="Arial"/>
                <w:color w:val="000000"/>
                <w:sz w:val="20"/>
                <w:szCs w:val="20"/>
                <w:lang w:eastAsia="en-US"/>
              </w:rPr>
            </w:pPr>
            <w:r w:rsidRPr="0045224A">
              <w:rPr>
                <w:rFonts w:ascii="Arial" w:eastAsiaTheme="minorHAnsi" w:hAnsi="Arial" w:cs="Arial"/>
                <w:color w:val="000000"/>
                <w:sz w:val="20"/>
                <w:szCs w:val="20"/>
                <w:lang w:eastAsia="en-US"/>
              </w:rPr>
              <w:t xml:space="preserve">             23 772 967   </w:t>
            </w:r>
          </w:p>
        </w:tc>
        <w:tc>
          <w:tcPr>
            <w:tcW w:w="2126" w:type="dxa"/>
            <w:tcBorders>
              <w:top w:val="single" w:sz="6" w:space="0" w:color="auto"/>
              <w:left w:val="single" w:sz="6" w:space="0" w:color="auto"/>
              <w:bottom w:val="single" w:sz="6" w:space="0" w:color="auto"/>
              <w:right w:val="single" w:sz="6" w:space="0" w:color="auto"/>
            </w:tcBorders>
          </w:tcPr>
          <w:p w:rsidR="0045224A" w:rsidRPr="0045224A" w:rsidRDefault="0045224A" w:rsidP="0045224A">
            <w:pPr>
              <w:autoSpaceDE w:val="0"/>
              <w:autoSpaceDN w:val="0"/>
              <w:adjustRightInd w:val="0"/>
              <w:jc w:val="right"/>
              <w:rPr>
                <w:rFonts w:ascii="Arial" w:eastAsiaTheme="minorHAnsi" w:hAnsi="Arial" w:cs="Arial"/>
                <w:color w:val="000000"/>
                <w:sz w:val="20"/>
                <w:szCs w:val="20"/>
                <w:lang w:eastAsia="en-US"/>
              </w:rPr>
            </w:pPr>
            <w:r w:rsidRPr="0045224A">
              <w:rPr>
                <w:rFonts w:ascii="Arial" w:eastAsiaTheme="minorHAnsi" w:hAnsi="Arial" w:cs="Arial"/>
                <w:color w:val="000000"/>
                <w:sz w:val="20"/>
                <w:szCs w:val="20"/>
                <w:lang w:eastAsia="en-US"/>
              </w:rPr>
              <w:t xml:space="preserve">             29 834 200   </w:t>
            </w:r>
          </w:p>
        </w:tc>
        <w:tc>
          <w:tcPr>
            <w:tcW w:w="2268" w:type="dxa"/>
            <w:tcBorders>
              <w:top w:val="single" w:sz="6" w:space="0" w:color="auto"/>
              <w:left w:val="single" w:sz="6" w:space="0" w:color="auto"/>
              <w:bottom w:val="single" w:sz="6" w:space="0" w:color="auto"/>
              <w:right w:val="single" w:sz="6" w:space="0" w:color="auto"/>
            </w:tcBorders>
          </w:tcPr>
          <w:p w:rsidR="0045224A" w:rsidRPr="0045224A" w:rsidRDefault="0045224A" w:rsidP="0045224A">
            <w:pPr>
              <w:autoSpaceDE w:val="0"/>
              <w:autoSpaceDN w:val="0"/>
              <w:adjustRightInd w:val="0"/>
              <w:jc w:val="right"/>
              <w:rPr>
                <w:rFonts w:ascii="Arial" w:eastAsiaTheme="minorHAnsi" w:hAnsi="Arial" w:cs="Arial"/>
                <w:b/>
                <w:bCs/>
                <w:color w:val="000000"/>
                <w:sz w:val="20"/>
                <w:szCs w:val="20"/>
                <w:lang w:eastAsia="en-US"/>
              </w:rPr>
            </w:pPr>
            <w:r w:rsidRPr="0045224A">
              <w:rPr>
                <w:rFonts w:ascii="Arial" w:eastAsiaTheme="minorHAnsi" w:hAnsi="Arial" w:cs="Arial"/>
                <w:b/>
                <w:bCs/>
                <w:color w:val="000000"/>
                <w:sz w:val="20"/>
                <w:szCs w:val="20"/>
                <w:lang w:eastAsia="en-US"/>
              </w:rPr>
              <w:t xml:space="preserve">                34 429 797   </w:t>
            </w:r>
          </w:p>
        </w:tc>
        <w:tc>
          <w:tcPr>
            <w:tcW w:w="1276" w:type="dxa"/>
            <w:tcBorders>
              <w:top w:val="single" w:sz="6" w:space="0" w:color="auto"/>
              <w:left w:val="single" w:sz="6" w:space="0" w:color="auto"/>
              <w:bottom w:val="single" w:sz="6" w:space="0" w:color="auto"/>
              <w:right w:val="single" w:sz="12" w:space="0" w:color="auto"/>
            </w:tcBorders>
          </w:tcPr>
          <w:p w:rsidR="0045224A" w:rsidRPr="0045224A" w:rsidRDefault="0045224A" w:rsidP="0045224A">
            <w:pPr>
              <w:autoSpaceDE w:val="0"/>
              <w:autoSpaceDN w:val="0"/>
              <w:adjustRightInd w:val="0"/>
              <w:jc w:val="right"/>
              <w:rPr>
                <w:rFonts w:ascii="Arial" w:eastAsiaTheme="minorHAnsi" w:hAnsi="Arial" w:cs="Arial"/>
                <w:b/>
                <w:bCs/>
                <w:color w:val="000000"/>
                <w:sz w:val="20"/>
                <w:szCs w:val="20"/>
                <w:lang w:eastAsia="en-US"/>
              </w:rPr>
            </w:pPr>
            <w:r w:rsidRPr="0045224A">
              <w:rPr>
                <w:rFonts w:ascii="Arial" w:eastAsiaTheme="minorHAnsi" w:hAnsi="Arial" w:cs="Arial"/>
                <w:b/>
                <w:bCs/>
                <w:color w:val="000000"/>
                <w:sz w:val="20"/>
                <w:szCs w:val="20"/>
                <w:lang w:eastAsia="en-US"/>
              </w:rPr>
              <w:t>1,45%</w:t>
            </w:r>
          </w:p>
        </w:tc>
      </w:tr>
      <w:tr w:rsidR="006C722A" w:rsidRPr="0045224A" w:rsidTr="001A74BF">
        <w:trPr>
          <w:trHeight w:val="247"/>
        </w:trPr>
        <w:tc>
          <w:tcPr>
            <w:tcW w:w="2440" w:type="dxa"/>
            <w:tcBorders>
              <w:top w:val="single" w:sz="6" w:space="0" w:color="auto"/>
              <w:left w:val="single" w:sz="12" w:space="0" w:color="auto"/>
              <w:bottom w:val="single" w:sz="6" w:space="0" w:color="auto"/>
              <w:right w:val="single" w:sz="6" w:space="0" w:color="auto"/>
            </w:tcBorders>
            <w:shd w:val="clear" w:color="auto" w:fill="EAF1DD" w:themeFill="accent3" w:themeFillTint="33"/>
          </w:tcPr>
          <w:p w:rsidR="0045224A" w:rsidRPr="0045224A" w:rsidRDefault="0045224A" w:rsidP="0045224A">
            <w:pPr>
              <w:autoSpaceDE w:val="0"/>
              <w:autoSpaceDN w:val="0"/>
              <w:adjustRightInd w:val="0"/>
              <w:rPr>
                <w:rFonts w:ascii="Arial" w:eastAsiaTheme="minorHAnsi" w:hAnsi="Arial" w:cs="Arial"/>
                <w:color w:val="000000"/>
                <w:sz w:val="20"/>
                <w:szCs w:val="20"/>
                <w:lang w:eastAsia="en-US"/>
              </w:rPr>
            </w:pPr>
            <w:r w:rsidRPr="0045224A">
              <w:rPr>
                <w:rFonts w:ascii="Arial" w:eastAsiaTheme="minorHAnsi" w:hAnsi="Arial" w:cs="Arial"/>
                <w:color w:val="000000"/>
                <w:sz w:val="20"/>
                <w:szCs w:val="20"/>
                <w:lang w:eastAsia="en-US"/>
              </w:rPr>
              <w:t xml:space="preserve"> </w:t>
            </w:r>
            <w:proofErr w:type="spellStart"/>
            <w:r w:rsidRPr="0045224A">
              <w:rPr>
                <w:rFonts w:ascii="Arial" w:eastAsiaTheme="minorHAnsi" w:hAnsi="Arial" w:cs="Arial"/>
                <w:color w:val="000000"/>
                <w:sz w:val="20"/>
                <w:szCs w:val="20"/>
                <w:lang w:eastAsia="en-US"/>
              </w:rPr>
              <w:t>Inchiri</w:t>
            </w:r>
            <w:proofErr w:type="spellEnd"/>
            <w:r w:rsidRPr="0045224A">
              <w:rPr>
                <w:rFonts w:ascii="Arial" w:eastAsiaTheme="minorHAnsi" w:hAnsi="Arial" w:cs="Arial"/>
                <w:color w:val="000000"/>
                <w:sz w:val="20"/>
                <w:szCs w:val="20"/>
                <w:lang w:eastAsia="en-US"/>
              </w:rPr>
              <w:t xml:space="preserve"> </w:t>
            </w:r>
          </w:p>
        </w:tc>
        <w:tc>
          <w:tcPr>
            <w:tcW w:w="2268"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45224A" w:rsidRPr="0045224A" w:rsidRDefault="0045224A" w:rsidP="0045224A">
            <w:pPr>
              <w:autoSpaceDE w:val="0"/>
              <w:autoSpaceDN w:val="0"/>
              <w:adjustRightInd w:val="0"/>
              <w:jc w:val="right"/>
              <w:rPr>
                <w:rFonts w:ascii="Arial" w:eastAsiaTheme="minorHAnsi" w:hAnsi="Arial" w:cs="Arial"/>
                <w:color w:val="000000"/>
                <w:sz w:val="20"/>
                <w:szCs w:val="20"/>
                <w:lang w:eastAsia="en-US"/>
              </w:rPr>
            </w:pPr>
            <w:r w:rsidRPr="0045224A">
              <w:rPr>
                <w:rFonts w:ascii="Arial" w:eastAsiaTheme="minorHAnsi" w:hAnsi="Arial" w:cs="Arial"/>
                <w:color w:val="000000"/>
                <w:sz w:val="20"/>
                <w:szCs w:val="20"/>
                <w:lang w:eastAsia="en-US"/>
              </w:rPr>
              <w:t xml:space="preserve">               6 292 467   </w:t>
            </w:r>
          </w:p>
        </w:tc>
        <w:tc>
          <w:tcPr>
            <w:tcW w:w="2126"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45224A" w:rsidRPr="0045224A" w:rsidRDefault="0045224A" w:rsidP="0045224A">
            <w:pPr>
              <w:autoSpaceDE w:val="0"/>
              <w:autoSpaceDN w:val="0"/>
              <w:adjustRightInd w:val="0"/>
              <w:jc w:val="right"/>
              <w:rPr>
                <w:rFonts w:ascii="Arial" w:eastAsiaTheme="minorHAnsi" w:hAnsi="Arial" w:cs="Arial"/>
                <w:color w:val="000000"/>
                <w:sz w:val="20"/>
                <w:szCs w:val="20"/>
                <w:lang w:eastAsia="en-US"/>
              </w:rPr>
            </w:pPr>
            <w:r w:rsidRPr="0045224A">
              <w:rPr>
                <w:rFonts w:ascii="Arial" w:eastAsiaTheme="minorHAnsi" w:hAnsi="Arial" w:cs="Arial"/>
                <w:color w:val="000000"/>
                <w:sz w:val="20"/>
                <w:szCs w:val="20"/>
                <w:lang w:eastAsia="en-US"/>
              </w:rPr>
              <w:t xml:space="preserve">               8 006 232   </w:t>
            </w:r>
          </w:p>
        </w:tc>
        <w:tc>
          <w:tcPr>
            <w:tcW w:w="2268"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45224A" w:rsidRPr="0045224A" w:rsidRDefault="0045224A" w:rsidP="0045224A">
            <w:pPr>
              <w:autoSpaceDE w:val="0"/>
              <w:autoSpaceDN w:val="0"/>
              <w:adjustRightInd w:val="0"/>
              <w:jc w:val="right"/>
              <w:rPr>
                <w:rFonts w:ascii="Arial" w:eastAsiaTheme="minorHAnsi" w:hAnsi="Arial" w:cs="Arial"/>
                <w:b/>
                <w:bCs/>
                <w:color w:val="000000"/>
                <w:sz w:val="20"/>
                <w:szCs w:val="20"/>
                <w:lang w:eastAsia="en-US"/>
              </w:rPr>
            </w:pPr>
            <w:r w:rsidRPr="0045224A">
              <w:rPr>
                <w:rFonts w:ascii="Arial" w:eastAsiaTheme="minorHAnsi" w:hAnsi="Arial" w:cs="Arial"/>
                <w:b/>
                <w:bCs/>
                <w:color w:val="000000"/>
                <w:sz w:val="20"/>
                <w:szCs w:val="20"/>
                <w:lang w:eastAsia="en-US"/>
              </w:rPr>
              <w:t xml:space="preserve">                  9 130 406   </w:t>
            </w:r>
          </w:p>
        </w:tc>
        <w:tc>
          <w:tcPr>
            <w:tcW w:w="1276" w:type="dxa"/>
            <w:tcBorders>
              <w:top w:val="single" w:sz="6" w:space="0" w:color="auto"/>
              <w:left w:val="single" w:sz="6" w:space="0" w:color="auto"/>
              <w:bottom w:val="single" w:sz="6" w:space="0" w:color="auto"/>
              <w:right w:val="single" w:sz="12" w:space="0" w:color="auto"/>
            </w:tcBorders>
            <w:shd w:val="clear" w:color="auto" w:fill="EAF1DD" w:themeFill="accent3" w:themeFillTint="33"/>
          </w:tcPr>
          <w:p w:rsidR="0045224A" w:rsidRPr="0045224A" w:rsidRDefault="0045224A" w:rsidP="0045224A">
            <w:pPr>
              <w:autoSpaceDE w:val="0"/>
              <w:autoSpaceDN w:val="0"/>
              <w:adjustRightInd w:val="0"/>
              <w:jc w:val="right"/>
              <w:rPr>
                <w:rFonts w:ascii="Arial" w:eastAsiaTheme="minorHAnsi" w:hAnsi="Arial" w:cs="Arial"/>
                <w:b/>
                <w:bCs/>
                <w:color w:val="000000"/>
                <w:sz w:val="20"/>
                <w:szCs w:val="20"/>
                <w:lang w:eastAsia="en-US"/>
              </w:rPr>
            </w:pPr>
            <w:r w:rsidRPr="0045224A">
              <w:rPr>
                <w:rFonts w:ascii="Arial" w:eastAsiaTheme="minorHAnsi" w:hAnsi="Arial" w:cs="Arial"/>
                <w:b/>
                <w:bCs/>
                <w:color w:val="000000"/>
                <w:sz w:val="20"/>
                <w:szCs w:val="20"/>
                <w:lang w:eastAsia="en-US"/>
              </w:rPr>
              <w:t>0,38%</w:t>
            </w:r>
          </w:p>
        </w:tc>
      </w:tr>
      <w:tr w:rsidR="006C722A" w:rsidRPr="0045224A" w:rsidTr="006C722A">
        <w:trPr>
          <w:trHeight w:val="247"/>
        </w:trPr>
        <w:tc>
          <w:tcPr>
            <w:tcW w:w="2440" w:type="dxa"/>
            <w:tcBorders>
              <w:top w:val="single" w:sz="6" w:space="0" w:color="auto"/>
              <w:left w:val="single" w:sz="12" w:space="0" w:color="auto"/>
              <w:bottom w:val="single" w:sz="6" w:space="0" w:color="auto"/>
              <w:right w:val="single" w:sz="6" w:space="0" w:color="auto"/>
            </w:tcBorders>
          </w:tcPr>
          <w:p w:rsidR="0045224A" w:rsidRPr="0045224A" w:rsidRDefault="0045224A" w:rsidP="0045224A">
            <w:pPr>
              <w:autoSpaceDE w:val="0"/>
              <w:autoSpaceDN w:val="0"/>
              <w:adjustRightInd w:val="0"/>
              <w:rPr>
                <w:rFonts w:ascii="Arial" w:eastAsiaTheme="minorHAnsi" w:hAnsi="Arial" w:cs="Arial"/>
                <w:color w:val="000000"/>
                <w:sz w:val="20"/>
                <w:szCs w:val="20"/>
                <w:lang w:eastAsia="en-US"/>
              </w:rPr>
            </w:pPr>
            <w:r w:rsidRPr="0045224A">
              <w:rPr>
                <w:rFonts w:ascii="Arial" w:eastAsiaTheme="minorHAnsi" w:hAnsi="Arial" w:cs="Arial"/>
                <w:color w:val="000000"/>
                <w:sz w:val="20"/>
                <w:szCs w:val="20"/>
                <w:lang w:eastAsia="en-US"/>
              </w:rPr>
              <w:t xml:space="preserve"> Nouakchott </w:t>
            </w:r>
          </w:p>
        </w:tc>
        <w:tc>
          <w:tcPr>
            <w:tcW w:w="2268" w:type="dxa"/>
            <w:tcBorders>
              <w:top w:val="single" w:sz="6" w:space="0" w:color="auto"/>
              <w:left w:val="single" w:sz="6" w:space="0" w:color="auto"/>
              <w:bottom w:val="single" w:sz="6" w:space="0" w:color="auto"/>
              <w:right w:val="single" w:sz="6" w:space="0" w:color="auto"/>
            </w:tcBorders>
          </w:tcPr>
          <w:p w:rsidR="0045224A" w:rsidRPr="0045224A" w:rsidRDefault="0045224A" w:rsidP="0045224A">
            <w:pPr>
              <w:autoSpaceDE w:val="0"/>
              <w:autoSpaceDN w:val="0"/>
              <w:adjustRightInd w:val="0"/>
              <w:jc w:val="right"/>
              <w:rPr>
                <w:rFonts w:ascii="Arial" w:eastAsiaTheme="minorHAnsi" w:hAnsi="Arial" w:cs="Arial"/>
                <w:color w:val="000000"/>
                <w:sz w:val="20"/>
                <w:szCs w:val="20"/>
                <w:lang w:eastAsia="en-US"/>
              </w:rPr>
            </w:pPr>
            <w:r w:rsidRPr="0045224A">
              <w:rPr>
                <w:rFonts w:ascii="Arial" w:eastAsiaTheme="minorHAnsi" w:hAnsi="Arial" w:cs="Arial"/>
                <w:color w:val="000000"/>
                <w:sz w:val="20"/>
                <w:szCs w:val="20"/>
                <w:lang w:eastAsia="en-US"/>
              </w:rPr>
              <w:t xml:space="preserve">            343 178 581   </w:t>
            </w:r>
          </w:p>
        </w:tc>
        <w:tc>
          <w:tcPr>
            <w:tcW w:w="2126" w:type="dxa"/>
            <w:tcBorders>
              <w:top w:val="single" w:sz="6" w:space="0" w:color="auto"/>
              <w:left w:val="single" w:sz="6" w:space="0" w:color="auto"/>
              <w:bottom w:val="single" w:sz="6" w:space="0" w:color="auto"/>
              <w:right w:val="single" w:sz="6" w:space="0" w:color="auto"/>
            </w:tcBorders>
          </w:tcPr>
          <w:p w:rsidR="0045224A" w:rsidRPr="0045224A" w:rsidRDefault="0045224A" w:rsidP="0045224A">
            <w:pPr>
              <w:autoSpaceDE w:val="0"/>
              <w:autoSpaceDN w:val="0"/>
              <w:adjustRightInd w:val="0"/>
              <w:jc w:val="right"/>
              <w:rPr>
                <w:rFonts w:ascii="Arial" w:eastAsiaTheme="minorHAnsi" w:hAnsi="Arial" w:cs="Arial"/>
                <w:color w:val="000000"/>
                <w:sz w:val="20"/>
                <w:szCs w:val="20"/>
                <w:lang w:eastAsia="en-US"/>
              </w:rPr>
            </w:pPr>
            <w:r w:rsidRPr="0045224A">
              <w:rPr>
                <w:rFonts w:ascii="Arial" w:eastAsiaTheme="minorHAnsi" w:hAnsi="Arial" w:cs="Arial"/>
                <w:color w:val="000000"/>
                <w:sz w:val="20"/>
                <w:szCs w:val="20"/>
                <w:lang w:eastAsia="en-US"/>
              </w:rPr>
              <w:t xml:space="preserve">           418 153 338   </w:t>
            </w:r>
          </w:p>
        </w:tc>
        <w:tc>
          <w:tcPr>
            <w:tcW w:w="2268" w:type="dxa"/>
            <w:tcBorders>
              <w:top w:val="single" w:sz="6" w:space="0" w:color="auto"/>
              <w:left w:val="single" w:sz="6" w:space="0" w:color="auto"/>
              <w:bottom w:val="single" w:sz="6" w:space="0" w:color="auto"/>
              <w:right w:val="single" w:sz="6" w:space="0" w:color="auto"/>
            </w:tcBorders>
          </w:tcPr>
          <w:p w:rsidR="0045224A" w:rsidRPr="0045224A" w:rsidRDefault="0045224A" w:rsidP="0045224A">
            <w:pPr>
              <w:autoSpaceDE w:val="0"/>
              <w:autoSpaceDN w:val="0"/>
              <w:adjustRightInd w:val="0"/>
              <w:jc w:val="right"/>
              <w:rPr>
                <w:rFonts w:ascii="Arial" w:eastAsiaTheme="minorHAnsi" w:hAnsi="Arial" w:cs="Arial"/>
                <w:b/>
                <w:bCs/>
                <w:color w:val="000000"/>
                <w:sz w:val="20"/>
                <w:szCs w:val="20"/>
                <w:lang w:eastAsia="en-US"/>
              </w:rPr>
            </w:pPr>
            <w:r w:rsidRPr="0045224A">
              <w:rPr>
                <w:rFonts w:ascii="Arial" w:eastAsiaTheme="minorHAnsi" w:hAnsi="Arial" w:cs="Arial"/>
                <w:b/>
                <w:bCs/>
                <w:color w:val="000000"/>
                <w:sz w:val="20"/>
                <w:szCs w:val="20"/>
                <w:lang w:eastAsia="en-US"/>
              </w:rPr>
              <w:t xml:space="preserve">              496 028 633   </w:t>
            </w:r>
          </w:p>
        </w:tc>
        <w:tc>
          <w:tcPr>
            <w:tcW w:w="1276" w:type="dxa"/>
            <w:tcBorders>
              <w:top w:val="single" w:sz="6" w:space="0" w:color="auto"/>
              <w:left w:val="single" w:sz="6" w:space="0" w:color="auto"/>
              <w:bottom w:val="single" w:sz="6" w:space="0" w:color="auto"/>
              <w:right w:val="single" w:sz="12" w:space="0" w:color="auto"/>
            </w:tcBorders>
          </w:tcPr>
          <w:p w:rsidR="0045224A" w:rsidRPr="0045224A" w:rsidRDefault="0045224A" w:rsidP="0045224A">
            <w:pPr>
              <w:autoSpaceDE w:val="0"/>
              <w:autoSpaceDN w:val="0"/>
              <w:adjustRightInd w:val="0"/>
              <w:jc w:val="right"/>
              <w:rPr>
                <w:rFonts w:ascii="Arial" w:eastAsiaTheme="minorHAnsi" w:hAnsi="Arial" w:cs="Arial"/>
                <w:b/>
                <w:bCs/>
                <w:color w:val="000000"/>
                <w:sz w:val="20"/>
                <w:szCs w:val="20"/>
                <w:lang w:eastAsia="en-US"/>
              </w:rPr>
            </w:pPr>
            <w:r w:rsidRPr="0045224A">
              <w:rPr>
                <w:rFonts w:ascii="Arial" w:eastAsiaTheme="minorHAnsi" w:hAnsi="Arial" w:cs="Arial"/>
                <w:b/>
                <w:bCs/>
                <w:color w:val="000000"/>
                <w:sz w:val="20"/>
                <w:szCs w:val="20"/>
                <w:lang w:eastAsia="en-US"/>
              </w:rPr>
              <w:t>20,84%</w:t>
            </w:r>
          </w:p>
        </w:tc>
      </w:tr>
      <w:tr w:rsidR="006C722A" w:rsidRPr="0045224A" w:rsidTr="004E45BC">
        <w:trPr>
          <w:trHeight w:val="262"/>
        </w:trPr>
        <w:tc>
          <w:tcPr>
            <w:tcW w:w="2440" w:type="dxa"/>
            <w:tcBorders>
              <w:top w:val="single" w:sz="6" w:space="0" w:color="auto"/>
              <w:left w:val="single" w:sz="12" w:space="0" w:color="auto"/>
              <w:bottom w:val="single" w:sz="12" w:space="0" w:color="auto"/>
              <w:right w:val="single" w:sz="6" w:space="0" w:color="auto"/>
            </w:tcBorders>
            <w:shd w:val="clear" w:color="auto" w:fill="D6E3BC" w:themeFill="accent3" w:themeFillTint="66"/>
          </w:tcPr>
          <w:p w:rsidR="0045224A" w:rsidRPr="0045224A" w:rsidRDefault="0045224A" w:rsidP="0045224A">
            <w:pPr>
              <w:autoSpaceDE w:val="0"/>
              <w:autoSpaceDN w:val="0"/>
              <w:adjustRightInd w:val="0"/>
              <w:jc w:val="right"/>
              <w:rPr>
                <w:rFonts w:ascii="Arial" w:eastAsiaTheme="minorHAnsi" w:hAnsi="Arial" w:cs="Arial"/>
                <w:color w:val="000000"/>
                <w:sz w:val="20"/>
                <w:szCs w:val="20"/>
                <w:lang w:eastAsia="en-US"/>
              </w:rPr>
            </w:pPr>
            <w:r w:rsidRPr="0045224A">
              <w:rPr>
                <w:rFonts w:ascii="Arial" w:eastAsiaTheme="minorHAnsi" w:hAnsi="Arial" w:cs="Arial"/>
                <w:color w:val="000000"/>
                <w:sz w:val="20"/>
                <w:szCs w:val="20"/>
                <w:lang w:eastAsia="en-US"/>
              </w:rPr>
              <w:t xml:space="preserve"> Total </w:t>
            </w:r>
          </w:p>
        </w:tc>
        <w:tc>
          <w:tcPr>
            <w:tcW w:w="2268" w:type="dxa"/>
            <w:tcBorders>
              <w:top w:val="single" w:sz="6" w:space="0" w:color="auto"/>
              <w:left w:val="single" w:sz="6" w:space="0" w:color="auto"/>
              <w:bottom w:val="single" w:sz="12" w:space="0" w:color="auto"/>
              <w:right w:val="single" w:sz="6" w:space="0" w:color="auto"/>
            </w:tcBorders>
            <w:shd w:val="clear" w:color="auto" w:fill="D6E3BC" w:themeFill="accent3" w:themeFillTint="66"/>
          </w:tcPr>
          <w:p w:rsidR="00752A3C" w:rsidRDefault="0045224A" w:rsidP="0045224A">
            <w:pPr>
              <w:autoSpaceDE w:val="0"/>
              <w:autoSpaceDN w:val="0"/>
              <w:adjustRightInd w:val="0"/>
              <w:jc w:val="right"/>
              <w:rPr>
                <w:rFonts w:ascii="Arial" w:eastAsiaTheme="minorHAnsi" w:hAnsi="Arial" w:cs="Arial"/>
                <w:color w:val="000000"/>
                <w:sz w:val="20"/>
                <w:szCs w:val="20"/>
                <w:lang w:eastAsia="en-US"/>
              </w:rPr>
            </w:pPr>
            <w:r w:rsidRPr="0045224A">
              <w:rPr>
                <w:rFonts w:ascii="Arial" w:eastAsiaTheme="minorHAnsi" w:hAnsi="Arial" w:cs="Arial"/>
                <w:color w:val="000000"/>
                <w:sz w:val="20"/>
                <w:szCs w:val="20"/>
                <w:lang w:eastAsia="en-US"/>
              </w:rPr>
              <w:t xml:space="preserve">         1 649 999</w:t>
            </w:r>
            <w:r w:rsidR="00752A3C">
              <w:rPr>
                <w:rFonts w:ascii="Arial" w:eastAsiaTheme="minorHAnsi" w:hAnsi="Arial" w:cs="Arial"/>
                <w:color w:val="000000"/>
                <w:sz w:val="20"/>
                <w:szCs w:val="20"/>
                <w:lang w:eastAsia="en-US"/>
              </w:rPr>
              <w:t> </w:t>
            </w:r>
            <w:r w:rsidRPr="0045224A">
              <w:rPr>
                <w:rFonts w:ascii="Arial" w:eastAsiaTheme="minorHAnsi" w:hAnsi="Arial" w:cs="Arial"/>
                <w:color w:val="000000"/>
                <w:sz w:val="20"/>
                <w:szCs w:val="20"/>
                <w:lang w:eastAsia="en-US"/>
              </w:rPr>
              <w:t>890</w:t>
            </w:r>
          </w:p>
          <w:p w:rsidR="00752A3C" w:rsidRDefault="00752A3C" w:rsidP="00752A3C">
            <w:pPr>
              <w:autoSpaceDE w:val="0"/>
              <w:autoSpaceDN w:val="0"/>
              <w:adjustRightInd w:val="0"/>
              <w:jc w:val="right"/>
              <w:rPr>
                <w:rFonts w:ascii="Arial" w:eastAsiaTheme="minorHAnsi" w:hAnsi="Arial" w:cs="Arial"/>
                <w:b/>
                <w:bCs/>
                <w:color w:val="000000"/>
                <w:sz w:val="20"/>
                <w:szCs w:val="20"/>
                <w:lang w:eastAsia="en-US"/>
              </w:rPr>
            </w:pPr>
            <w:proofErr w:type="spellStart"/>
            <w:r>
              <w:rPr>
                <w:rFonts w:ascii="Arial" w:eastAsiaTheme="minorHAnsi" w:hAnsi="Arial" w:cs="Arial"/>
                <w:b/>
                <w:bCs/>
                <w:color w:val="000000"/>
                <w:sz w:val="20"/>
                <w:szCs w:val="20"/>
                <w:lang w:eastAsia="en-US"/>
              </w:rPr>
              <w:t>arrrondi</w:t>
            </w:r>
            <w:proofErr w:type="spellEnd"/>
            <w:r>
              <w:rPr>
                <w:rFonts w:ascii="Arial" w:eastAsiaTheme="minorHAnsi" w:hAnsi="Arial" w:cs="Arial"/>
                <w:b/>
                <w:bCs/>
                <w:color w:val="000000"/>
                <w:sz w:val="20"/>
                <w:szCs w:val="20"/>
                <w:lang w:eastAsia="en-US"/>
              </w:rPr>
              <w:t xml:space="preserve"> à </w:t>
            </w:r>
          </w:p>
          <w:p w:rsidR="0045224A" w:rsidRPr="0045224A" w:rsidRDefault="00752A3C" w:rsidP="00752A3C">
            <w:pPr>
              <w:autoSpaceDE w:val="0"/>
              <w:autoSpaceDN w:val="0"/>
              <w:adjustRightInd w:val="0"/>
              <w:jc w:val="right"/>
              <w:rPr>
                <w:rFonts w:ascii="Arial" w:eastAsiaTheme="minorHAnsi" w:hAnsi="Arial" w:cs="Arial"/>
                <w:color w:val="000000"/>
                <w:sz w:val="20"/>
                <w:szCs w:val="20"/>
                <w:lang w:eastAsia="en-US"/>
              </w:rPr>
            </w:pPr>
            <w:r>
              <w:rPr>
                <w:rFonts w:ascii="Arial" w:eastAsiaTheme="minorHAnsi" w:hAnsi="Arial" w:cs="Arial"/>
                <w:b/>
                <w:bCs/>
                <w:color w:val="000000"/>
                <w:sz w:val="20"/>
                <w:szCs w:val="20"/>
                <w:lang w:eastAsia="en-US"/>
              </w:rPr>
              <w:t>1 650 000 000</w:t>
            </w:r>
            <w:r w:rsidRPr="0045224A">
              <w:rPr>
                <w:rFonts w:ascii="Arial" w:eastAsiaTheme="minorHAnsi" w:hAnsi="Arial" w:cs="Arial"/>
                <w:b/>
                <w:bCs/>
                <w:color w:val="000000"/>
                <w:sz w:val="20"/>
                <w:szCs w:val="20"/>
                <w:lang w:eastAsia="en-US"/>
              </w:rPr>
              <w:t xml:space="preserve">   </w:t>
            </w:r>
            <w:r w:rsidR="0045224A" w:rsidRPr="0045224A">
              <w:rPr>
                <w:rFonts w:ascii="Arial" w:eastAsiaTheme="minorHAnsi" w:hAnsi="Arial" w:cs="Arial"/>
                <w:color w:val="000000"/>
                <w:sz w:val="20"/>
                <w:szCs w:val="20"/>
                <w:lang w:eastAsia="en-US"/>
              </w:rPr>
              <w:t xml:space="preserve">   </w:t>
            </w:r>
          </w:p>
        </w:tc>
        <w:tc>
          <w:tcPr>
            <w:tcW w:w="2126" w:type="dxa"/>
            <w:tcBorders>
              <w:top w:val="single" w:sz="6" w:space="0" w:color="auto"/>
              <w:left w:val="single" w:sz="6" w:space="0" w:color="auto"/>
              <w:bottom w:val="single" w:sz="12" w:space="0" w:color="auto"/>
              <w:right w:val="single" w:sz="6" w:space="0" w:color="auto"/>
            </w:tcBorders>
            <w:shd w:val="clear" w:color="auto" w:fill="D6E3BC" w:themeFill="accent3" w:themeFillTint="66"/>
          </w:tcPr>
          <w:p w:rsidR="00752A3C" w:rsidRDefault="0045224A" w:rsidP="0045224A">
            <w:pPr>
              <w:autoSpaceDE w:val="0"/>
              <w:autoSpaceDN w:val="0"/>
              <w:adjustRightInd w:val="0"/>
              <w:jc w:val="right"/>
              <w:rPr>
                <w:rFonts w:ascii="Arial" w:eastAsiaTheme="minorHAnsi" w:hAnsi="Arial" w:cs="Arial"/>
                <w:color w:val="000000"/>
                <w:sz w:val="20"/>
                <w:szCs w:val="20"/>
                <w:lang w:eastAsia="en-US"/>
              </w:rPr>
            </w:pPr>
            <w:r w:rsidRPr="0045224A">
              <w:rPr>
                <w:rFonts w:ascii="Arial" w:eastAsiaTheme="minorHAnsi" w:hAnsi="Arial" w:cs="Arial"/>
                <w:color w:val="000000"/>
                <w:sz w:val="20"/>
                <w:szCs w:val="20"/>
                <w:lang w:eastAsia="en-US"/>
              </w:rPr>
              <w:t xml:space="preserve">         2 039 999</w:t>
            </w:r>
            <w:r w:rsidR="00752A3C">
              <w:rPr>
                <w:rFonts w:ascii="Arial" w:eastAsiaTheme="minorHAnsi" w:hAnsi="Arial" w:cs="Arial"/>
                <w:color w:val="000000"/>
                <w:sz w:val="20"/>
                <w:szCs w:val="20"/>
                <w:lang w:eastAsia="en-US"/>
              </w:rPr>
              <w:t> </w:t>
            </w:r>
            <w:r w:rsidRPr="0045224A">
              <w:rPr>
                <w:rFonts w:ascii="Arial" w:eastAsiaTheme="minorHAnsi" w:hAnsi="Arial" w:cs="Arial"/>
                <w:color w:val="000000"/>
                <w:sz w:val="20"/>
                <w:szCs w:val="20"/>
                <w:lang w:eastAsia="en-US"/>
              </w:rPr>
              <w:t>819</w:t>
            </w:r>
          </w:p>
          <w:p w:rsidR="00752A3C" w:rsidRDefault="00752A3C" w:rsidP="00752A3C">
            <w:pPr>
              <w:autoSpaceDE w:val="0"/>
              <w:autoSpaceDN w:val="0"/>
              <w:adjustRightInd w:val="0"/>
              <w:jc w:val="right"/>
              <w:rPr>
                <w:rFonts w:ascii="Arial" w:eastAsiaTheme="minorHAnsi" w:hAnsi="Arial" w:cs="Arial"/>
                <w:b/>
                <w:bCs/>
                <w:color w:val="000000"/>
                <w:sz w:val="20"/>
                <w:szCs w:val="20"/>
                <w:lang w:eastAsia="en-US"/>
              </w:rPr>
            </w:pPr>
            <w:proofErr w:type="spellStart"/>
            <w:r>
              <w:rPr>
                <w:rFonts w:ascii="Arial" w:eastAsiaTheme="minorHAnsi" w:hAnsi="Arial" w:cs="Arial"/>
                <w:b/>
                <w:bCs/>
                <w:color w:val="000000"/>
                <w:sz w:val="20"/>
                <w:szCs w:val="20"/>
                <w:lang w:eastAsia="en-US"/>
              </w:rPr>
              <w:t>arrrondi</w:t>
            </w:r>
            <w:proofErr w:type="spellEnd"/>
            <w:r>
              <w:rPr>
                <w:rFonts w:ascii="Arial" w:eastAsiaTheme="minorHAnsi" w:hAnsi="Arial" w:cs="Arial"/>
                <w:b/>
                <w:bCs/>
                <w:color w:val="000000"/>
                <w:sz w:val="20"/>
                <w:szCs w:val="20"/>
                <w:lang w:eastAsia="en-US"/>
              </w:rPr>
              <w:t xml:space="preserve"> à </w:t>
            </w:r>
          </w:p>
          <w:p w:rsidR="0045224A" w:rsidRPr="0045224A" w:rsidRDefault="00752A3C" w:rsidP="00752A3C">
            <w:pPr>
              <w:autoSpaceDE w:val="0"/>
              <w:autoSpaceDN w:val="0"/>
              <w:adjustRightInd w:val="0"/>
              <w:jc w:val="right"/>
              <w:rPr>
                <w:rFonts w:ascii="Arial" w:eastAsiaTheme="minorHAnsi" w:hAnsi="Arial" w:cs="Arial"/>
                <w:color w:val="000000"/>
                <w:sz w:val="20"/>
                <w:szCs w:val="20"/>
                <w:lang w:eastAsia="en-US"/>
              </w:rPr>
            </w:pPr>
            <w:r>
              <w:rPr>
                <w:rFonts w:ascii="Arial" w:eastAsiaTheme="minorHAnsi" w:hAnsi="Arial" w:cs="Arial"/>
                <w:b/>
                <w:bCs/>
                <w:color w:val="000000"/>
                <w:sz w:val="20"/>
                <w:szCs w:val="20"/>
                <w:lang w:eastAsia="en-US"/>
              </w:rPr>
              <w:t>2 040 000 000</w:t>
            </w:r>
            <w:r w:rsidRPr="0045224A">
              <w:rPr>
                <w:rFonts w:ascii="Arial" w:eastAsiaTheme="minorHAnsi" w:hAnsi="Arial" w:cs="Arial"/>
                <w:b/>
                <w:bCs/>
                <w:color w:val="000000"/>
                <w:sz w:val="20"/>
                <w:szCs w:val="20"/>
                <w:lang w:eastAsia="en-US"/>
              </w:rPr>
              <w:t xml:space="preserve">   </w:t>
            </w:r>
            <w:r w:rsidR="0045224A" w:rsidRPr="0045224A">
              <w:rPr>
                <w:rFonts w:ascii="Arial" w:eastAsiaTheme="minorHAnsi" w:hAnsi="Arial" w:cs="Arial"/>
                <w:color w:val="000000"/>
                <w:sz w:val="20"/>
                <w:szCs w:val="20"/>
                <w:lang w:eastAsia="en-US"/>
              </w:rPr>
              <w:t xml:space="preserve">   </w:t>
            </w:r>
          </w:p>
        </w:tc>
        <w:tc>
          <w:tcPr>
            <w:tcW w:w="2268" w:type="dxa"/>
            <w:tcBorders>
              <w:top w:val="single" w:sz="6" w:space="0" w:color="auto"/>
              <w:left w:val="single" w:sz="6" w:space="0" w:color="auto"/>
              <w:bottom w:val="single" w:sz="12" w:space="0" w:color="auto"/>
              <w:right w:val="single" w:sz="6" w:space="0" w:color="auto"/>
            </w:tcBorders>
            <w:shd w:val="clear" w:color="auto" w:fill="D6E3BC" w:themeFill="accent3" w:themeFillTint="66"/>
          </w:tcPr>
          <w:p w:rsidR="00752A3C" w:rsidRDefault="00752A3C" w:rsidP="0045224A">
            <w:pPr>
              <w:autoSpaceDE w:val="0"/>
              <w:autoSpaceDN w:val="0"/>
              <w:adjustRightInd w:val="0"/>
              <w:jc w:val="right"/>
              <w:rPr>
                <w:rFonts w:ascii="Arial" w:eastAsiaTheme="minorHAnsi" w:hAnsi="Arial" w:cs="Arial"/>
                <w:b/>
                <w:bCs/>
                <w:color w:val="000000"/>
                <w:sz w:val="20"/>
                <w:szCs w:val="20"/>
                <w:lang w:eastAsia="en-US"/>
              </w:rPr>
            </w:pPr>
            <w:r>
              <w:rPr>
                <w:rFonts w:ascii="Arial" w:eastAsiaTheme="minorHAnsi" w:hAnsi="Arial" w:cs="Arial"/>
                <w:b/>
                <w:bCs/>
                <w:color w:val="000000"/>
                <w:sz w:val="20"/>
                <w:szCs w:val="20"/>
                <w:lang w:eastAsia="en-US"/>
              </w:rPr>
              <w:t xml:space="preserve">           2 379 999 894</w:t>
            </w:r>
          </w:p>
          <w:p w:rsidR="00752A3C" w:rsidRDefault="00752A3C" w:rsidP="0045224A">
            <w:pPr>
              <w:autoSpaceDE w:val="0"/>
              <w:autoSpaceDN w:val="0"/>
              <w:adjustRightInd w:val="0"/>
              <w:jc w:val="right"/>
              <w:rPr>
                <w:rFonts w:ascii="Arial" w:eastAsiaTheme="minorHAnsi" w:hAnsi="Arial" w:cs="Arial"/>
                <w:b/>
                <w:bCs/>
                <w:color w:val="000000"/>
                <w:sz w:val="20"/>
                <w:szCs w:val="20"/>
                <w:lang w:eastAsia="en-US"/>
              </w:rPr>
            </w:pPr>
            <w:proofErr w:type="spellStart"/>
            <w:r>
              <w:rPr>
                <w:rFonts w:ascii="Arial" w:eastAsiaTheme="minorHAnsi" w:hAnsi="Arial" w:cs="Arial"/>
                <w:b/>
                <w:bCs/>
                <w:color w:val="000000"/>
                <w:sz w:val="20"/>
                <w:szCs w:val="20"/>
                <w:lang w:eastAsia="en-US"/>
              </w:rPr>
              <w:t>arrrondi</w:t>
            </w:r>
            <w:proofErr w:type="spellEnd"/>
            <w:r>
              <w:rPr>
                <w:rFonts w:ascii="Arial" w:eastAsiaTheme="minorHAnsi" w:hAnsi="Arial" w:cs="Arial"/>
                <w:b/>
                <w:bCs/>
                <w:color w:val="000000"/>
                <w:sz w:val="20"/>
                <w:szCs w:val="20"/>
                <w:lang w:eastAsia="en-US"/>
              </w:rPr>
              <w:t xml:space="preserve"> à </w:t>
            </w:r>
          </w:p>
          <w:p w:rsidR="0045224A" w:rsidRPr="0045224A" w:rsidRDefault="00752A3C" w:rsidP="0045224A">
            <w:pPr>
              <w:autoSpaceDE w:val="0"/>
              <w:autoSpaceDN w:val="0"/>
              <w:adjustRightInd w:val="0"/>
              <w:jc w:val="right"/>
              <w:rPr>
                <w:rFonts w:ascii="Arial" w:eastAsiaTheme="minorHAnsi" w:hAnsi="Arial" w:cs="Arial"/>
                <w:b/>
                <w:bCs/>
                <w:color w:val="000000"/>
                <w:sz w:val="20"/>
                <w:szCs w:val="20"/>
                <w:lang w:eastAsia="en-US"/>
              </w:rPr>
            </w:pPr>
            <w:r>
              <w:rPr>
                <w:rFonts w:ascii="Arial" w:eastAsiaTheme="minorHAnsi" w:hAnsi="Arial" w:cs="Arial"/>
                <w:b/>
                <w:bCs/>
                <w:color w:val="000000"/>
                <w:sz w:val="20"/>
                <w:szCs w:val="20"/>
                <w:lang w:eastAsia="en-US"/>
              </w:rPr>
              <w:t>2 380 000 000</w:t>
            </w:r>
            <w:r w:rsidR="0045224A" w:rsidRPr="0045224A">
              <w:rPr>
                <w:rFonts w:ascii="Arial" w:eastAsiaTheme="minorHAnsi" w:hAnsi="Arial" w:cs="Arial"/>
                <w:b/>
                <w:bCs/>
                <w:color w:val="000000"/>
                <w:sz w:val="20"/>
                <w:szCs w:val="20"/>
                <w:lang w:eastAsia="en-US"/>
              </w:rPr>
              <w:t xml:space="preserve">   </w:t>
            </w:r>
          </w:p>
        </w:tc>
        <w:tc>
          <w:tcPr>
            <w:tcW w:w="1276" w:type="dxa"/>
            <w:tcBorders>
              <w:top w:val="single" w:sz="6" w:space="0" w:color="auto"/>
              <w:left w:val="single" w:sz="6" w:space="0" w:color="auto"/>
              <w:bottom w:val="single" w:sz="12" w:space="0" w:color="auto"/>
              <w:right w:val="single" w:sz="12" w:space="0" w:color="auto"/>
            </w:tcBorders>
            <w:shd w:val="clear" w:color="auto" w:fill="D6E3BC" w:themeFill="accent3" w:themeFillTint="66"/>
          </w:tcPr>
          <w:p w:rsidR="0045224A" w:rsidRPr="0045224A" w:rsidRDefault="0045224A" w:rsidP="0045224A">
            <w:pPr>
              <w:autoSpaceDE w:val="0"/>
              <w:autoSpaceDN w:val="0"/>
              <w:adjustRightInd w:val="0"/>
              <w:jc w:val="right"/>
              <w:rPr>
                <w:rFonts w:ascii="Arial" w:eastAsiaTheme="minorHAnsi" w:hAnsi="Arial" w:cs="Arial"/>
                <w:b/>
                <w:bCs/>
                <w:color w:val="000000"/>
                <w:sz w:val="20"/>
                <w:szCs w:val="20"/>
                <w:lang w:eastAsia="en-US"/>
              </w:rPr>
            </w:pPr>
            <w:r w:rsidRPr="0045224A">
              <w:rPr>
                <w:rFonts w:ascii="Arial" w:eastAsiaTheme="minorHAnsi" w:hAnsi="Arial" w:cs="Arial"/>
                <w:b/>
                <w:bCs/>
                <w:color w:val="000000"/>
                <w:sz w:val="20"/>
                <w:szCs w:val="20"/>
                <w:lang w:eastAsia="en-US"/>
              </w:rPr>
              <w:t>100,00%</w:t>
            </w:r>
          </w:p>
        </w:tc>
      </w:tr>
    </w:tbl>
    <w:p w:rsidR="0045224A" w:rsidRPr="0045224A" w:rsidRDefault="0045224A" w:rsidP="0045224A">
      <w:pPr>
        <w:rPr>
          <w:rFonts w:asciiTheme="minorHAnsi" w:hAnsiTheme="minorHAnsi" w:cstheme="minorHAnsi"/>
          <w:b/>
          <w:sz w:val="22"/>
          <w:szCs w:val="22"/>
        </w:rPr>
      </w:pPr>
    </w:p>
    <w:p w:rsidR="00A04C64" w:rsidRDefault="006C722A" w:rsidP="00AA411E">
      <w:pPr>
        <w:jc w:val="both"/>
        <w:rPr>
          <w:rFonts w:asciiTheme="minorHAnsi" w:hAnsiTheme="minorHAnsi" w:cstheme="minorHAnsi"/>
        </w:rPr>
      </w:pPr>
      <w:r>
        <w:rPr>
          <w:rFonts w:asciiTheme="minorHAnsi" w:hAnsiTheme="minorHAnsi" w:cstheme="minorHAnsi"/>
        </w:rPr>
        <w:t>Le tableau ci-dessus donne en valeur les dotations correspondant à la part équipement du FRD sur trois exercices</w:t>
      </w:r>
      <w:r w:rsidR="00AA411E">
        <w:rPr>
          <w:rFonts w:asciiTheme="minorHAnsi" w:hAnsiTheme="minorHAnsi" w:cstheme="minorHAnsi"/>
        </w:rPr>
        <w:t xml:space="preserve"> pour chaque </w:t>
      </w:r>
      <w:r w:rsidR="001246CD">
        <w:rPr>
          <w:rFonts w:asciiTheme="minorHAnsi" w:hAnsiTheme="minorHAnsi" w:cstheme="minorHAnsi"/>
        </w:rPr>
        <w:t>Wilaya</w:t>
      </w:r>
      <w:r w:rsidR="00AA411E">
        <w:rPr>
          <w:rFonts w:asciiTheme="minorHAnsi" w:hAnsiTheme="minorHAnsi" w:cstheme="minorHAnsi"/>
        </w:rPr>
        <w:t>. Les montants reflètent donc les variations constatées au niveau national dans la mesure où</w:t>
      </w:r>
      <w:r w:rsidR="00AA411E">
        <w:rPr>
          <w:rFonts w:asciiTheme="minorHAnsi" w:hAnsiTheme="minorHAnsi" w:cstheme="minorHAnsi"/>
          <w:sz w:val="22"/>
          <w:szCs w:val="22"/>
        </w:rPr>
        <w:t xml:space="preserve"> les autres critères de répartition restent les mêmes (démographie, pauvreté, retard d’équipement).</w:t>
      </w:r>
    </w:p>
    <w:p w:rsidR="003C7C95" w:rsidRDefault="00AA411E" w:rsidP="00CA4898">
      <w:pPr>
        <w:jc w:val="both"/>
        <w:rPr>
          <w:rFonts w:asciiTheme="minorHAnsi" w:hAnsiTheme="minorHAnsi" w:cstheme="minorHAnsi"/>
          <w:sz w:val="22"/>
          <w:szCs w:val="22"/>
        </w:rPr>
      </w:pPr>
      <w:r>
        <w:rPr>
          <w:rFonts w:asciiTheme="minorHAnsi" w:hAnsiTheme="minorHAnsi" w:cstheme="minorHAnsi"/>
          <w:sz w:val="22"/>
          <w:szCs w:val="22"/>
        </w:rPr>
        <w:t>Par conséquent, l</w:t>
      </w:r>
      <w:r w:rsidR="00003400">
        <w:rPr>
          <w:rFonts w:asciiTheme="minorHAnsi" w:hAnsiTheme="minorHAnsi" w:cstheme="minorHAnsi"/>
          <w:sz w:val="22"/>
          <w:szCs w:val="22"/>
        </w:rPr>
        <w:t xml:space="preserve">a répartition </w:t>
      </w:r>
      <w:r w:rsidR="003C7C95" w:rsidRPr="003C7C95">
        <w:rPr>
          <w:rFonts w:asciiTheme="minorHAnsi" w:hAnsiTheme="minorHAnsi" w:cstheme="minorHAnsi"/>
          <w:sz w:val="22"/>
          <w:szCs w:val="22"/>
        </w:rPr>
        <w:t>des</w:t>
      </w:r>
      <w:r w:rsidR="003C7C95">
        <w:rPr>
          <w:rFonts w:asciiTheme="minorHAnsi" w:hAnsiTheme="minorHAnsi" w:cstheme="minorHAnsi"/>
          <w:sz w:val="22"/>
          <w:szCs w:val="22"/>
        </w:rPr>
        <w:t xml:space="preserve"> crédits d’équipement du FRD est quasiment identique à celle des années précédente</w:t>
      </w:r>
      <w:r>
        <w:rPr>
          <w:rFonts w:asciiTheme="minorHAnsi" w:hAnsiTheme="minorHAnsi" w:cstheme="minorHAnsi"/>
          <w:sz w:val="22"/>
          <w:szCs w:val="22"/>
        </w:rPr>
        <w:t>s.</w:t>
      </w:r>
    </w:p>
    <w:p w:rsidR="00003400" w:rsidRDefault="00003400" w:rsidP="00003400">
      <w:pPr>
        <w:rPr>
          <w:rFonts w:asciiTheme="minorHAnsi" w:hAnsiTheme="minorHAnsi" w:cstheme="minorHAnsi"/>
        </w:rPr>
      </w:pPr>
    </w:p>
    <w:p w:rsidR="008D5DF5" w:rsidRDefault="008D5DF5" w:rsidP="00003400">
      <w:pPr>
        <w:rPr>
          <w:rFonts w:asciiTheme="minorHAnsi" w:hAnsiTheme="minorHAnsi" w:cstheme="minorHAnsi"/>
        </w:rPr>
      </w:pPr>
      <w:r w:rsidRPr="008D5DF5">
        <w:rPr>
          <w:noProof/>
        </w:rPr>
        <w:drawing>
          <wp:inline distT="0" distB="0" distL="0" distR="0">
            <wp:extent cx="6645910" cy="4410075"/>
            <wp:effectExtent l="19050" t="0" r="2540" b="0"/>
            <wp:docPr id="46"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6645910" cy="4410075"/>
                    </a:xfrm>
                    <a:prstGeom prst="rect">
                      <a:avLst/>
                    </a:prstGeom>
                    <a:noFill/>
                    <a:ln w="9525">
                      <a:noFill/>
                      <a:miter lim="800000"/>
                      <a:headEnd/>
                      <a:tailEnd/>
                    </a:ln>
                  </pic:spPr>
                </pic:pic>
              </a:graphicData>
            </a:graphic>
          </wp:inline>
        </w:drawing>
      </w:r>
    </w:p>
    <w:p w:rsidR="003C7C95" w:rsidRDefault="00003400" w:rsidP="00CA4898">
      <w:pPr>
        <w:jc w:val="both"/>
        <w:rPr>
          <w:rFonts w:asciiTheme="minorHAnsi" w:hAnsiTheme="minorHAnsi" w:cstheme="minorHAnsi"/>
          <w:sz w:val="22"/>
          <w:szCs w:val="22"/>
        </w:rPr>
      </w:pPr>
      <w:r>
        <w:rPr>
          <w:rFonts w:asciiTheme="minorHAnsi" w:hAnsiTheme="minorHAnsi" w:cstheme="minorHAnsi"/>
          <w:sz w:val="22"/>
          <w:szCs w:val="22"/>
        </w:rPr>
        <w:t>On rappellera, comme pour les exercices précédents,</w:t>
      </w:r>
      <w:r w:rsidR="00AA411E">
        <w:rPr>
          <w:rFonts w:asciiTheme="minorHAnsi" w:hAnsiTheme="minorHAnsi" w:cstheme="minorHAnsi"/>
          <w:sz w:val="22"/>
          <w:szCs w:val="22"/>
        </w:rPr>
        <w:t xml:space="preserve"> que</w:t>
      </w:r>
      <w:r w:rsidR="003C7C95">
        <w:rPr>
          <w:rFonts w:asciiTheme="minorHAnsi" w:hAnsiTheme="minorHAnsi" w:cstheme="minorHAnsi"/>
          <w:sz w:val="22"/>
          <w:szCs w:val="22"/>
        </w:rPr>
        <w:t xml:space="preserve"> quatre groupes distincts de </w:t>
      </w:r>
      <w:r w:rsidR="001246CD">
        <w:rPr>
          <w:rFonts w:asciiTheme="minorHAnsi" w:hAnsiTheme="minorHAnsi" w:cstheme="minorHAnsi"/>
          <w:sz w:val="22"/>
          <w:szCs w:val="22"/>
        </w:rPr>
        <w:t>Wilayas</w:t>
      </w:r>
      <w:r w:rsidR="00CA4898">
        <w:rPr>
          <w:rFonts w:asciiTheme="minorHAnsi" w:hAnsiTheme="minorHAnsi" w:cstheme="minorHAnsi"/>
          <w:sz w:val="22"/>
          <w:szCs w:val="22"/>
        </w:rPr>
        <w:t xml:space="preserve"> </w:t>
      </w:r>
      <w:r w:rsidR="00A6257E">
        <w:rPr>
          <w:rFonts w:asciiTheme="minorHAnsi" w:hAnsiTheme="minorHAnsi" w:cstheme="minorHAnsi"/>
          <w:sz w:val="22"/>
          <w:szCs w:val="22"/>
        </w:rPr>
        <w:t xml:space="preserve">ont été mis en exergue </w:t>
      </w:r>
      <w:r w:rsidR="00CA4898">
        <w:rPr>
          <w:rFonts w:asciiTheme="minorHAnsi" w:hAnsiTheme="minorHAnsi" w:cstheme="minorHAnsi"/>
          <w:sz w:val="22"/>
          <w:szCs w:val="22"/>
        </w:rPr>
        <w:t xml:space="preserve">quant à la répartition des crédits : </w:t>
      </w:r>
    </w:p>
    <w:p w:rsidR="00CA4898" w:rsidRDefault="00CA4898" w:rsidP="00CA4898">
      <w:pPr>
        <w:jc w:val="both"/>
        <w:rPr>
          <w:rFonts w:asciiTheme="minorHAnsi" w:hAnsiTheme="minorHAnsi" w:cstheme="minorHAnsi"/>
          <w:sz w:val="22"/>
          <w:szCs w:val="22"/>
        </w:rPr>
      </w:pPr>
      <w:r>
        <w:rPr>
          <w:rFonts w:asciiTheme="minorHAnsi" w:hAnsiTheme="minorHAnsi" w:cstheme="minorHAnsi"/>
          <w:sz w:val="22"/>
          <w:szCs w:val="22"/>
        </w:rPr>
        <w:t xml:space="preserve">Le premier groupe ne comporte qu’une </w:t>
      </w:r>
      <w:r w:rsidR="001246CD">
        <w:rPr>
          <w:rFonts w:asciiTheme="minorHAnsi" w:hAnsiTheme="minorHAnsi" w:cstheme="minorHAnsi"/>
          <w:sz w:val="22"/>
          <w:szCs w:val="22"/>
        </w:rPr>
        <w:t>Wilaya</w:t>
      </w:r>
      <w:r>
        <w:rPr>
          <w:rFonts w:asciiTheme="minorHAnsi" w:hAnsiTheme="minorHAnsi" w:cstheme="minorHAnsi"/>
          <w:sz w:val="22"/>
          <w:szCs w:val="22"/>
        </w:rPr>
        <w:t>, celle de Nouakchott qui concentre plus de 20% du montant total.</w:t>
      </w:r>
    </w:p>
    <w:p w:rsidR="00CA4898" w:rsidRDefault="00CA4898" w:rsidP="00CA4898">
      <w:pPr>
        <w:jc w:val="both"/>
        <w:rPr>
          <w:rFonts w:asciiTheme="minorHAnsi" w:hAnsiTheme="minorHAnsi" w:cstheme="minorHAnsi"/>
          <w:sz w:val="22"/>
          <w:szCs w:val="22"/>
        </w:rPr>
      </w:pPr>
      <w:r>
        <w:rPr>
          <w:rFonts w:asciiTheme="minorHAnsi" w:hAnsiTheme="minorHAnsi" w:cstheme="minorHAnsi"/>
          <w:sz w:val="22"/>
          <w:szCs w:val="22"/>
        </w:rPr>
        <w:t xml:space="preserve">Le second groupe ne comporte lui aussi qu’une </w:t>
      </w:r>
      <w:r w:rsidR="001246CD">
        <w:rPr>
          <w:rFonts w:asciiTheme="minorHAnsi" w:hAnsiTheme="minorHAnsi" w:cstheme="minorHAnsi"/>
          <w:sz w:val="22"/>
          <w:szCs w:val="22"/>
        </w:rPr>
        <w:t>Wilaya</w:t>
      </w:r>
      <w:r>
        <w:rPr>
          <w:rFonts w:asciiTheme="minorHAnsi" w:hAnsiTheme="minorHAnsi" w:cstheme="minorHAnsi"/>
          <w:sz w:val="22"/>
          <w:szCs w:val="22"/>
        </w:rPr>
        <w:t xml:space="preserve">, celle du </w:t>
      </w:r>
      <w:proofErr w:type="spellStart"/>
      <w:r>
        <w:rPr>
          <w:rFonts w:asciiTheme="minorHAnsi" w:hAnsiTheme="minorHAnsi" w:cstheme="minorHAnsi"/>
          <w:sz w:val="22"/>
          <w:szCs w:val="22"/>
        </w:rPr>
        <w:t>Hodh</w:t>
      </w:r>
      <w:proofErr w:type="spellEnd"/>
      <w:r>
        <w:rPr>
          <w:rFonts w:asciiTheme="minorHAnsi" w:hAnsiTheme="minorHAnsi" w:cstheme="minorHAnsi"/>
          <w:sz w:val="22"/>
          <w:szCs w:val="22"/>
        </w:rPr>
        <w:t xml:space="preserve"> </w:t>
      </w:r>
      <w:proofErr w:type="spellStart"/>
      <w:r>
        <w:rPr>
          <w:rFonts w:asciiTheme="minorHAnsi" w:hAnsiTheme="minorHAnsi" w:cstheme="minorHAnsi"/>
          <w:sz w:val="22"/>
          <w:szCs w:val="22"/>
        </w:rPr>
        <w:t>Echargui</w:t>
      </w:r>
      <w:proofErr w:type="spellEnd"/>
      <w:r>
        <w:rPr>
          <w:rFonts w:asciiTheme="minorHAnsi" w:hAnsiTheme="minorHAnsi" w:cstheme="minorHAnsi"/>
          <w:sz w:val="22"/>
          <w:szCs w:val="22"/>
        </w:rPr>
        <w:t xml:space="preserve"> avec pratiquement 15% du montant total.</w:t>
      </w:r>
    </w:p>
    <w:p w:rsidR="00CA4898" w:rsidRDefault="00CA4898" w:rsidP="00CA4898">
      <w:pPr>
        <w:jc w:val="both"/>
        <w:rPr>
          <w:rFonts w:asciiTheme="minorHAnsi" w:hAnsiTheme="minorHAnsi" w:cstheme="minorHAnsi"/>
          <w:sz w:val="22"/>
          <w:szCs w:val="22"/>
        </w:rPr>
      </w:pPr>
      <w:r>
        <w:rPr>
          <w:rFonts w:asciiTheme="minorHAnsi" w:hAnsiTheme="minorHAnsi" w:cstheme="minorHAnsi"/>
          <w:sz w:val="22"/>
          <w:szCs w:val="22"/>
        </w:rPr>
        <w:t xml:space="preserve">Le troisième groupe contient 6 </w:t>
      </w:r>
      <w:r w:rsidR="001246CD">
        <w:rPr>
          <w:rFonts w:asciiTheme="minorHAnsi" w:hAnsiTheme="minorHAnsi" w:cstheme="minorHAnsi"/>
          <w:sz w:val="22"/>
          <w:szCs w:val="22"/>
        </w:rPr>
        <w:t>Wilayas</w:t>
      </w:r>
      <w:r>
        <w:rPr>
          <w:rFonts w:asciiTheme="minorHAnsi" w:hAnsiTheme="minorHAnsi" w:cstheme="minorHAnsi"/>
          <w:sz w:val="22"/>
          <w:szCs w:val="22"/>
        </w:rPr>
        <w:t xml:space="preserve"> </w:t>
      </w:r>
      <w:r w:rsidR="00003400">
        <w:rPr>
          <w:rFonts w:asciiTheme="minorHAnsi" w:hAnsiTheme="minorHAnsi" w:cstheme="minorHAnsi"/>
          <w:sz w:val="22"/>
          <w:szCs w:val="22"/>
        </w:rPr>
        <w:t>(</w:t>
      </w:r>
      <w:proofErr w:type="spellStart"/>
      <w:r w:rsidR="00003400">
        <w:rPr>
          <w:rFonts w:asciiTheme="minorHAnsi" w:hAnsiTheme="minorHAnsi" w:cstheme="minorHAnsi"/>
          <w:sz w:val="22"/>
          <w:szCs w:val="22"/>
        </w:rPr>
        <w:t>Hodh</w:t>
      </w:r>
      <w:proofErr w:type="spellEnd"/>
      <w:r w:rsidR="00003400">
        <w:rPr>
          <w:rFonts w:asciiTheme="minorHAnsi" w:hAnsiTheme="minorHAnsi" w:cstheme="minorHAnsi"/>
          <w:sz w:val="22"/>
          <w:szCs w:val="22"/>
        </w:rPr>
        <w:t xml:space="preserve"> El Gharbi, </w:t>
      </w:r>
      <w:proofErr w:type="spellStart"/>
      <w:r w:rsidR="00003400">
        <w:rPr>
          <w:rFonts w:asciiTheme="minorHAnsi" w:hAnsiTheme="minorHAnsi" w:cstheme="minorHAnsi"/>
          <w:sz w:val="22"/>
          <w:szCs w:val="22"/>
        </w:rPr>
        <w:t>Assaba</w:t>
      </w:r>
      <w:proofErr w:type="spellEnd"/>
      <w:r w:rsidR="00003400">
        <w:rPr>
          <w:rFonts w:asciiTheme="minorHAnsi" w:hAnsiTheme="minorHAnsi" w:cstheme="minorHAnsi"/>
          <w:sz w:val="22"/>
          <w:szCs w:val="22"/>
        </w:rPr>
        <w:t xml:space="preserve">, </w:t>
      </w:r>
      <w:proofErr w:type="spellStart"/>
      <w:r w:rsidR="00003400">
        <w:rPr>
          <w:rFonts w:asciiTheme="minorHAnsi" w:hAnsiTheme="minorHAnsi" w:cstheme="minorHAnsi"/>
          <w:sz w:val="22"/>
          <w:szCs w:val="22"/>
        </w:rPr>
        <w:t>Gorgol</w:t>
      </w:r>
      <w:proofErr w:type="spellEnd"/>
      <w:r w:rsidR="00003400">
        <w:rPr>
          <w:rFonts w:asciiTheme="minorHAnsi" w:hAnsiTheme="minorHAnsi" w:cstheme="minorHAnsi"/>
          <w:sz w:val="22"/>
          <w:szCs w:val="22"/>
        </w:rPr>
        <w:t xml:space="preserve">, </w:t>
      </w:r>
      <w:proofErr w:type="spellStart"/>
      <w:r w:rsidR="00003400">
        <w:rPr>
          <w:rFonts w:asciiTheme="minorHAnsi" w:hAnsiTheme="minorHAnsi" w:cstheme="minorHAnsi"/>
          <w:sz w:val="22"/>
          <w:szCs w:val="22"/>
        </w:rPr>
        <w:t>Brakna</w:t>
      </w:r>
      <w:proofErr w:type="spellEnd"/>
      <w:r w:rsidR="00003400">
        <w:rPr>
          <w:rFonts w:asciiTheme="minorHAnsi" w:hAnsiTheme="minorHAnsi" w:cstheme="minorHAnsi"/>
          <w:sz w:val="22"/>
          <w:szCs w:val="22"/>
        </w:rPr>
        <w:t>, Trarza,</w:t>
      </w:r>
      <w:r w:rsidR="003F6FC6">
        <w:rPr>
          <w:rFonts w:asciiTheme="minorHAnsi" w:hAnsiTheme="minorHAnsi" w:cstheme="minorHAnsi"/>
          <w:sz w:val="22"/>
          <w:szCs w:val="22"/>
        </w:rPr>
        <w:t xml:space="preserve"> </w:t>
      </w:r>
      <w:proofErr w:type="spellStart"/>
      <w:r w:rsidR="001772FE">
        <w:rPr>
          <w:rFonts w:asciiTheme="minorHAnsi" w:hAnsiTheme="minorHAnsi" w:cstheme="minorHAnsi"/>
          <w:sz w:val="22"/>
          <w:szCs w:val="22"/>
        </w:rPr>
        <w:t>Guidimakha</w:t>
      </w:r>
      <w:proofErr w:type="spellEnd"/>
      <w:r w:rsidR="001772FE">
        <w:rPr>
          <w:rFonts w:asciiTheme="minorHAnsi" w:hAnsiTheme="minorHAnsi" w:cstheme="minorHAnsi"/>
          <w:sz w:val="22"/>
          <w:szCs w:val="22"/>
        </w:rPr>
        <w:t xml:space="preserve"> parfois orthographié </w:t>
      </w:r>
      <w:proofErr w:type="spellStart"/>
      <w:r w:rsidR="001772FE">
        <w:rPr>
          <w:rFonts w:asciiTheme="minorHAnsi" w:hAnsiTheme="minorHAnsi" w:cstheme="minorHAnsi"/>
          <w:sz w:val="22"/>
          <w:szCs w:val="22"/>
        </w:rPr>
        <w:t>Guidimagha</w:t>
      </w:r>
      <w:proofErr w:type="spellEnd"/>
      <w:r w:rsidR="001772FE">
        <w:rPr>
          <w:rFonts w:asciiTheme="minorHAnsi" w:hAnsiTheme="minorHAnsi" w:cstheme="minorHAnsi"/>
          <w:sz w:val="22"/>
          <w:szCs w:val="22"/>
        </w:rPr>
        <w:t xml:space="preserve"> par la suite dans le rapport</w:t>
      </w:r>
      <w:r w:rsidR="003F6FC6">
        <w:rPr>
          <w:rFonts w:asciiTheme="minorHAnsi" w:hAnsiTheme="minorHAnsi" w:cstheme="minorHAnsi"/>
          <w:sz w:val="22"/>
          <w:szCs w:val="22"/>
        </w:rPr>
        <w:t xml:space="preserve">) </w:t>
      </w:r>
      <w:r>
        <w:rPr>
          <w:rFonts w:asciiTheme="minorHAnsi" w:hAnsiTheme="minorHAnsi" w:cstheme="minorHAnsi"/>
          <w:sz w:val="22"/>
          <w:szCs w:val="22"/>
        </w:rPr>
        <w:t>situées a</w:t>
      </w:r>
      <w:r w:rsidR="00A6257E">
        <w:rPr>
          <w:rFonts w:asciiTheme="minorHAnsi" w:hAnsiTheme="minorHAnsi" w:cstheme="minorHAnsi"/>
          <w:sz w:val="22"/>
          <w:szCs w:val="22"/>
        </w:rPr>
        <w:t>u sud qui concentrent entre 7,04%</w:t>
      </w:r>
      <w:r w:rsidR="003F6FC6">
        <w:rPr>
          <w:rFonts w:asciiTheme="minorHAnsi" w:hAnsiTheme="minorHAnsi" w:cstheme="minorHAnsi"/>
          <w:sz w:val="22"/>
          <w:szCs w:val="22"/>
        </w:rPr>
        <w:t xml:space="preserve"> et 10,25</w:t>
      </w:r>
      <w:r>
        <w:rPr>
          <w:rFonts w:asciiTheme="minorHAnsi" w:hAnsiTheme="minorHAnsi" w:cstheme="minorHAnsi"/>
          <w:sz w:val="22"/>
          <w:szCs w:val="22"/>
        </w:rPr>
        <w:t xml:space="preserve"> % du montant total.</w:t>
      </w:r>
    </w:p>
    <w:p w:rsidR="00CA4898" w:rsidRPr="003C7C95" w:rsidRDefault="00CA4898" w:rsidP="00CA4898">
      <w:pPr>
        <w:jc w:val="both"/>
        <w:rPr>
          <w:rFonts w:asciiTheme="minorHAnsi" w:hAnsiTheme="minorHAnsi" w:cstheme="minorHAnsi"/>
          <w:sz w:val="22"/>
          <w:szCs w:val="22"/>
        </w:rPr>
      </w:pPr>
      <w:r>
        <w:rPr>
          <w:rFonts w:asciiTheme="minorHAnsi" w:hAnsiTheme="minorHAnsi" w:cstheme="minorHAnsi"/>
          <w:sz w:val="22"/>
          <w:szCs w:val="22"/>
        </w:rPr>
        <w:t xml:space="preserve">Et enfin un quatrième groupe de 5 </w:t>
      </w:r>
      <w:r w:rsidR="001246CD">
        <w:rPr>
          <w:rFonts w:asciiTheme="minorHAnsi" w:hAnsiTheme="minorHAnsi" w:cstheme="minorHAnsi"/>
          <w:sz w:val="22"/>
          <w:szCs w:val="22"/>
        </w:rPr>
        <w:t>Wilayas</w:t>
      </w:r>
      <w:r>
        <w:rPr>
          <w:rFonts w:asciiTheme="minorHAnsi" w:hAnsiTheme="minorHAnsi" w:cstheme="minorHAnsi"/>
          <w:sz w:val="22"/>
          <w:szCs w:val="22"/>
        </w:rPr>
        <w:t xml:space="preserve"> du nord dont les parts du mo</w:t>
      </w:r>
      <w:r w:rsidR="00A6257E">
        <w:rPr>
          <w:rFonts w:asciiTheme="minorHAnsi" w:hAnsiTheme="minorHAnsi" w:cstheme="minorHAnsi"/>
          <w:sz w:val="22"/>
          <w:szCs w:val="22"/>
        </w:rPr>
        <w:t xml:space="preserve">ntant total oscillent entre 0,38% </w:t>
      </w:r>
      <w:r w:rsidR="003F6FC6">
        <w:rPr>
          <w:rFonts w:asciiTheme="minorHAnsi" w:hAnsiTheme="minorHAnsi" w:cstheme="minorHAnsi"/>
          <w:sz w:val="22"/>
          <w:szCs w:val="22"/>
        </w:rPr>
        <w:t>(</w:t>
      </w:r>
      <w:proofErr w:type="spellStart"/>
      <w:r w:rsidR="003F6FC6">
        <w:rPr>
          <w:rFonts w:asciiTheme="minorHAnsi" w:hAnsiTheme="minorHAnsi" w:cstheme="minorHAnsi"/>
          <w:sz w:val="22"/>
          <w:szCs w:val="22"/>
        </w:rPr>
        <w:t>Inchiri</w:t>
      </w:r>
      <w:proofErr w:type="spellEnd"/>
      <w:r w:rsidR="003F6FC6">
        <w:rPr>
          <w:rFonts w:asciiTheme="minorHAnsi" w:hAnsiTheme="minorHAnsi" w:cstheme="minorHAnsi"/>
          <w:sz w:val="22"/>
          <w:szCs w:val="22"/>
        </w:rPr>
        <w:t xml:space="preserve">) </w:t>
      </w:r>
      <w:r w:rsidR="00A6257E">
        <w:rPr>
          <w:rFonts w:asciiTheme="minorHAnsi" w:hAnsiTheme="minorHAnsi" w:cstheme="minorHAnsi"/>
          <w:sz w:val="22"/>
          <w:szCs w:val="22"/>
        </w:rPr>
        <w:t>et 3,05</w:t>
      </w:r>
      <w:r>
        <w:rPr>
          <w:rFonts w:asciiTheme="minorHAnsi" w:hAnsiTheme="minorHAnsi" w:cstheme="minorHAnsi"/>
          <w:sz w:val="22"/>
          <w:szCs w:val="22"/>
        </w:rPr>
        <w:t xml:space="preserve"> %</w:t>
      </w:r>
      <w:r w:rsidR="003F6FC6">
        <w:rPr>
          <w:rFonts w:asciiTheme="minorHAnsi" w:hAnsiTheme="minorHAnsi" w:cstheme="minorHAnsi"/>
          <w:sz w:val="22"/>
          <w:szCs w:val="22"/>
        </w:rPr>
        <w:t xml:space="preserve"> (</w:t>
      </w:r>
      <w:proofErr w:type="spellStart"/>
      <w:r w:rsidR="003F6FC6">
        <w:rPr>
          <w:rFonts w:asciiTheme="minorHAnsi" w:hAnsiTheme="minorHAnsi" w:cstheme="minorHAnsi"/>
          <w:sz w:val="22"/>
          <w:szCs w:val="22"/>
        </w:rPr>
        <w:t>Dakhlet</w:t>
      </w:r>
      <w:proofErr w:type="spellEnd"/>
      <w:r w:rsidR="003F6FC6">
        <w:rPr>
          <w:rFonts w:asciiTheme="minorHAnsi" w:hAnsiTheme="minorHAnsi" w:cstheme="minorHAnsi"/>
          <w:sz w:val="22"/>
          <w:szCs w:val="22"/>
        </w:rPr>
        <w:t>-Nouadhibou)</w:t>
      </w:r>
      <w:r>
        <w:rPr>
          <w:rFonts w:asciiTheme="minorHAnsi" w:hAnsiTheme="minorHAnsi" w:cstheme="minorHAnsi"/>
          <w:sz w:val="22"/>
          <w:szCs w:val="22"/>
        </w:rPr>
        <w:t>.</w:t>
      </w:r>
    </w:p>
    <w:p w:rsidR="00A04C64" w:rsidRPr="003C7C95" w:rsidRDefault="00A04C64" w:rsidP="00A04C64">
      <w:pPr>
        <w:rPr>
          <w:rFonts w:asciiTheme="minorHAnsi" w:hAnsiTheme="minorHAnsi" w:cstheme="minorHAnsi"/>
          <w:sz w:val="22"/>
          <w:szCs w:val="22"/>
        </w:rPr>
      </w:pPr>
    </w:p>
    <w:p w:rsidR="003C7C95" w:rsidRPr="008D5DF5" w:rsidRDefault="003F6FC6" w:rsidP="008D5DF5">
      <w:pPr>
        <w:jc w:val="both"/>
        <w:rPr>
          <w:rFonts w:asciiTheme="minorHAnsi" w:hAnsiTheme="minorHAnsi" w:cstheme="minorHAnsi"/>
          <w:sz w:val="22"/>
          <w:szCs w:val="22"/>
        </w:rPr>
      </w:pPr>
      <w:r>
        <w:rPr>
          <w:rFonts w:asciiTheme="minorHAnsi" w:hAnsiTheme="minorHAnsi" w:cstheme="minorHAnsi"/>
          <w:sz w:val="22"/>
          <w:szCs w:val="22"/>
        </w:rPr>
        <w:t xml:space="preserve">Le tableau ci-dessous illustre sur trois exercices (de 2010 à 2012) l’évolution des montants de FRD « part équipement » alloués par </w:t>
      </w:r>
      <w:r w:rsidR="001246CD">
        <w:rPr>
          <w:rFonts w:asciiTheme="minorHAnsi" w:hAnsiTheme="minorHAnsi" w:cstheme="minorHAnsi"/>
          <w:sz w:val="22"/>
          <w:szCs w:val="22"/>
        </w:rPr>
        <w:t>Wilaya</w:t>
      </w:r>
      <w:r>
        <w:rPr>
          <w:rFonts w:asciiTheme="minorHAnsi" w:hAnsiTheme="minorHAnsi" w:cstheme="minorHAnsi"/>
          <w:sz w:val="22"/>
          <w:szCs w:val="22"/>
        </w:rPr>
        <w:t> :</w:t>
      </w:r>
    </w:p>
    <w:p w:rsidR="003C7C95" w:rsidRDefault="003C7C95" w:rsidP="00A04C64">
      <w:pPr>
        <w:rPr>
          <w:rFonts w:asciiTheme="minorHAnsi" w:hAnsiTheme="minorHAnsi" w:cstheme="minorHAnsi"/>
        </w:rPr>
      </w:pPr>
    </w:p>
    <w:p w:rsidR="003C7C95" w:rsidRDefault="008D5DF5" w:rsidP="00A04C64">
      <w:pPr>
        <w:rPr>
          <w:rFonts w:asciiTheme="minorHAnsi" w:hAnsiTheme="minorHAnsi" w:cstheme="minorHAnsi"/>
        </w:rPr>
      </w:pPr>
      <w:r w:rsidRPr="008D5DF5">
        <w:rPr>
          <w:noProof/>
        </w:rPr>
        <w:drawing>
          <wp:inline distT="0" distB="0" distL="0" distR="0">
            <wp:extent cx="6645910" cy="5819775"/>
            <wp:effectExtent l="19050" t="0" r="2540" b="0"/>
            <wp:docPr id="53"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6651642" cy="5824794"/>
                    </a:xfrm>
                    <a:prstGeom prst="rect">
                      <a:avLst/>
                    </a:prstGeom>
                  </pic:spPr>
                </pic:pic>
              </a:graphicData>
            </a:graphic>
          </wp:inline>
        </w:drawing>
      </w:r>
    </w:p>
    <w:p w:rsidR="003C7C95" w:rsidRDefault="000D7AED" w:rsidP="00A04C64">
      <w:pPr>
        <w:rPr>
          <w:rFonts w:asciiTheme="minorHAnsi" w:hAnsiTheme="minorHAnsi" w:cstheme="minorHAnsi"/>
        </w:rPr>
      </w:pPr>
      <w:r>
        <w:rPr>
          <w:rFonts w:asciiTheme="minorHAnsi" w:hAnsiTheme="minorHAnsi" w:cstheme="minorHAnsi"/>
          <w:noProof/>
        </w:rPr>
        <w:drawing>
          <wp:inline distT="0" distB="0" distL="0" distR="0">
            <wp:extent cx="6640094" cy="9039225"/>
            <wp:effectExtent l="19050" t="0" r="8356" b="0"/>
            <wp:docPr id="3" name="Image 5" descr="C:\Users\Conseiller DGCT\Patrick Pholsena\FRD\FRD\Rapport général et financier 2013\Cart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nseiller DGCT\Patrick Pholsena\FRD\FRD\Rapport général et financier 2013\Carte 1.jpg"/>
                    <pic:cNvPicPr>
                      <a:picLocks noChangeAspect="1" noChangeArrowheads="1"/>
                    </pic:cNvPicPr>
                  </pic:nvPicPr>
                  <pic:blipFill>
                    <a:blip r:embed="rId14" cstate="print"/>
                    <a:srcRect/>
                    <a:stretch>
                      <a:fillRect/>
                    </a:stretch>
                  </pic:blipFill>
                  <pic:spPr bwMode="auto">
                    <a:xfrm>
                      <a:off x="0" y="0"/>
                      <a:ext cx="6645910" cy="9047143"/>
                    </a:xfrm>
                    <a:prstGeom prst="rect">
                      <a:avLst/>
                    </a:prstGeom>
                    <a:noFill/>
                    <a:ln w="9525">
                      <a:noFill/>
                      <a:miter lim="800000"/>
                      <a:headEnd/>
                      <a:tailEnd/>
                    </a:ln>
                  </pic:spPr>
                </pic:pic>
              </a:graphicData>
            </a:graphic>
          </wp:inline>
        </w:drawing>
      </w:r>
    </w:p>
    <w:p w:rsidR="005B3F18" w:rsidRPr="005C3C55" w:rsidRDefault="005B3F18" w:rsidP="005B3F18">
      <w:pPr>
        <w:spacing w:after="200" w:line="276" w:lineRule="auto"/>
        <w:rPr>
          <w:rFonts w:asciiTheme="minorHAnsi" w:hAnsiTheme="minorHAnsi" w:cstheme="minorHAnsi"/>
          <w:sz w:val="22"/>
          <w:szCs w:val="22"/>
        </w:rPr>
      </w:pPr>
      <w:r>
        <w:rPr>
          <w:rFonts w:asciiTheme="minorHAnsi" w:hAnsiTheme="minorHAnsi" w:cstheme="minorHAnsi"/>
          <w:sz w:val="22"/>
          <w:szCs w:val="22"/>
        </w:rPr>
        <w:br w:type="page"/>
      </w:r>
    </w:p>
    <w:p w:rsidR="00AE176F" w:rsidRPr="00F93F48" w:rsidRDefault="00AE176F" w:rsidP="002F04D1">
      <w:pPr>
        <w:pStyle w:val="Paragraphedeliste"/>
        <w:numPr>
          <w:ilvl w:val="0"/>
          <w:numId w:val="1"/>
        </w:numPr>
        <w:rPr>
          <w:rFonts w:asciiTheme="minorHAnsi" w:hAnsiTheme="minorHAnsi" w:cstheme="minorHAnsi"/>
          <w:b/>
        </w:rPr>
      </w:pPr>
      <w:r w:rsidRPr="00F93F48">
        <w:rPr>
          <w:rFonts w:asciiTheme="minorHAnsi" w:hAnsiTheme="minorHAnsi" w:cstheme="minorHAnsi"/>
          <w:b/>
        </w:rPr>
        <w:t>Projets déclarés au titre de l’exercice 2012</w:t>
      </w:r>
    </w:p>
    <w:p w:rsidR="00AE176F" w:rsidRPr="005C3C55" w:rsidRDefault="00AE176F" w:rsidP="00AE176F">
      <w:pPr>
        <w:pStyle w:val="Paragraphedeliste"/>
        <w:ind w:left="1080"/>
        <w:rPr>
          <w:rFonts w:asciiTheme="minorHAnsi" w:hAnsiTheme="minorHAnsi" w:cstheme="minorHAnsi"/>
          <w:sz w:val="22"/>
          <w:szCs w:val="22"/>
        </w:rPr>
      </w:pPr>
    </w:p>
    <w:p w:rsidR="00AE176F" w:rsidRPr="005C3C55" w:rsidRDefault="00AE176F" w:rsidP="002F04D1">
      <w:pPr>
        <w:pStyle w:val="Paragraphedeliste"/>
        <w:numPr>
          <w:ilvl w:val="0"/>
          <w:numId w:val="3"/>
        </w:numPr>
        <w:rPr>
          <w:rFonts w:asciiTheme="minorHAnsi" w:hAnsiTheme="minorHAnsi" w:cstheme="minorHAnsi"/>
          <w:b/>
          <w:sz w:val="22"/>
          <w:szCs w:val="22"/>
        </w:rPr>
      </w:pPr>
      <w:r w:rsidRPr="005C3C55">
        <w:rPr>
          <w:rFonts w:asciiTheme="minorHAnsi" w:hAnsiTheme="minorHAnsi" w:cstheme="minorHAnsi"/>
          <w:b/>
          <w:sz w:val="22"/>
          <w:szCs w:val="22"/>
        </w:rPr>
        <w:t>Données quantitatives</w:t>
      </w:r>
    </w:p>
    <w:p w:rsidR="00AE176F" w:rsidRPr="005C3C55" w:rsidRDefault="00AE176F" w:rsidP="00AE176F">
      <w:pPr>
        <w:rPr>
          <w:rFonts w:asciiTheme="minorHAnsi" w:hAnsiTheme="minorHAnsi" w:cstheme="minorHAnsi"/>
          <w:sz w:val="22"/>
          <w:szCs w:val="22"/>
        </w:rPr>
      </w:pPr>
    </w:p>
    <w:p w:rsidR="00AE176F" w:rsidRPr="005C3C55" w:rsidRDefault="00AE176F" w:rsidP="00AE176F">
      <w:pPr>
        <w:jc w:val="both"/>
        <w:rPr>
          <w:rFonts w:asciiTheme="minorHAnsi" w:hAnsiTheme="minorHAnsi" w:cstheme="minorHAnsi"/>
          <w:sz w:val="22"/>
          <w:szCs w:val="22"/>
        </w:rPr>
      </w:pPr>
      <w:r w:rsidRPr="005C3C55">
        <w:rPr>
          <w:rFonts w:asciiTheme="minorHAnsi" w:hAnsiTheme="minorHAnsi" w:cstheme="minorHAnsi"/>
          <w:sz w:val="22"/>
          <w:szCs w:val="22"/>
        </w:rPr>
        <w:t xml:space="preserve">Le </w:t>
      </w:r>
      <w:r w:rsidRPr="00F028A9">
        <w:rPr>
          <w:rFonts w:asciiTheme="minorHAnsi" w:hAnsiTheme="minorHAnsi" w:cstheme="minorHAnsi"/>
          <w:b/>
          <w:sz w:val="22"/>
          <w:szCs w:val="22"/>
        </w:rPr>
        <w:t>nombre total de projets pour l’exercice 2012</w:t>
      </w:r>
      <w:r w:rsidRPr="005C3C55">
        <w:rPr>
          <w:rFonts w:asciiTheme="minorHAnsi" w:hAnsiTheme="minorHAnsi" w:cstheme="minorHAnsi"/>
          <w:sz w:val="22"/>
          <w:szCs w:val="22"/>
        </w:rPr>
        <w:t xml:space="preserve"> est de </w:t>
      </w:r>
      <w:r w:rsidRPr="005C3C55">
        <w:rPr>
          <w:rFonts w:asciiTheme="minorHAnsi" w:hAnsiTheme="minorHAnsi" w:cstheme="minorHAnsi"/>
          <w:b/>
          <w:sz w:val="22"/>
          <w:szCs w:val="22"/>
        </w:rPr>
        <w:t>1 </w:t>
      </w:r>
      <w:r>
        <w:rPr>
          <w:rFonts w:asciiTheme="minorHAnsi" w:hAnsiTheme="minorHAnsi" w:cstheme="minorHAnsi"/>
          <w:b/>
          <w:sz w:val="22"/>
          <w:szCs w:val="22"/>
        </w:rPr>
        <w:t>789</w:t>
      </w:r>
      <w:r w:rsidRPr="005C3C55">
        <w:rPr>
          <w:rFonts w:asciiTheme="minorHAnsi" w:hAnsiTheme="minorHAnsi" w:cstheme="minorHAnsi"/>
          <w:sz w:val="22"/>
          <w:szCs w:val="22"/>
        </w:rPr>
        <w:t xml:space="preserve">. </w:t>
      </w:r>
      <w:r>
        <w:rPr>
          <w:rFonts w:asciiTheme="minorHAnsi" w:hAnsiTheme="minorHAnsi" w:cstheme="minorHAnsi"/>
          <w:sz w:val="22"/>
          <w:szCs w:val="22"/>
        </w:rPr>
        <w:t>C’est un chiffre en baisse</w:t>
      </w:r>
      <w:r w:rsidRPr="005C3C55">
        <w:rPr>
          <w:rFonts w:asciiTheme="minorHAnsi" w:hAnsiTheme="minorHAnsi" w:cstheme="minorHAnsi"/>
          <w:sz w:val="22"/>
          <w:szCs w:val="22"/>
        </w:rPr>
        <w:t xml:space="preserve"> de </w:t>
      </w:r>
      <w:r>
        <w:rPr>
          <w:rFonts w:asciiTheme="minorHAnsi" w:hAnsiTheme="minorHAnsi" w:cstheme="minorHAnsi"/>
          <w:b/>
          <w:sz w:val="22"/>
          <w:szCs w:val="22"/>
        </w:rPr>
        <w:t>7,21</w:t>
      </w:r>
      <w:r w:rsidRPr="005C3C55">
        <w:rPr>
          <w:rFonts w:asciiTheme="minorHAnsi" w:hAnsiTheme="minorHAnsi" w:cstheme="minorHAnsi"/>
          <w:b/>
          <w:sz w:val="22"/>
          <w:szCs w:val="22"/>
        </w:rPr>
        <w:t xml:space="preserve"> %</w:t>
      </w:r>
      <w:r>
        <w:rPr>
          <w:rFonts w:asciiTheme="minorHAnsi" w:hAnsiTheme="minorHAnsi" w:cstheme="minorHAnsi"/>
          <w:sz w:val="22"/>
          <w:szCs w:val="22"/>
        </w:rPr>
        <w:t xml:space="preserve"> par rapport à l’exercice 2011 (1 928 projets). E</w:t>
      </w:r>
      <w:r w:rsidR="001D7B47">
        <w:rPr>
          <w:rFonts w:asciiTheme="minorHAnsi" w:hAnsiTheme="minorHAnsi" w:cstheme="minorHAnsi"/>
          <w:sz w:val="22"/>
          <w:szCs w:val="22"/>
        </w:rPr>
        <w:t>n revanche, e</w:t>
      </w:r>
      <w:r>
        <w:rPr>
          <w:rFonts w:asciiTheme="minorHAnsi" w:hAnsiTheme="minorHAnsi" w:cstheme="minorHAnsi"/>
          <w:sz w:val="22"/>
          <w:szCs w:val="22"/>
        </w:rPr>
        <w:t xml:space="preserve">ntre </w:t>
      </w:r>
      <w:r w:rsidRPr="005C3C55">
        <w:rPr>
          <w:rFonts w:asciiTheme="minorHAnsi" w:hAnsiTheme="minorHAnsi" w:cstheme="minorHAnsi"/>
          <w:sz w:val="22"/>
          <w:szCs w:val="22"/>
        </w:rPr>
        <w:t>2010</w:t>
      </w:r>
      <w:r w:rsidR="001D7B47">
        <w:rPr>
          <w:rFonts w:asciiTheme="minorHAnsi" w:hAnsiTheme="minorHAnsi" w:cstheme="minorHAnsi"/>
          <w:sz w:val="22"/>
          <w:szCs w:val="22"/>
        </w:rPr>
        <w:t xml:space="preserve"> et 2011</w:t>
      </w:r>
      <w:r w:rsidRPr="005C3C55">
        <w:rPr>
          <w:rFonts w:asciiTheme="minorHAnsi" w:hAnsiTheme="minorHAnsi" w:cstheme="minorHAnsi"/>
          <w:sz w:val="22"/>
          <w:szCs w:val="22"/>
        </w:rPr>
        <w:t>, le nombre de projet</w:t>
      </w:r>
      <w:r>
        <w:rPr>
          <w:rFonts w:asciiTheme="minorHAnsi" w:hAnsiTheme="minorHAnsi" w:cstheme="minorHAnsi"/>
          <w:sz w:val="22"/>
          <w:szCs w:val="22"/>
        </w:rPr>
        <w:t>s déclarés</w:t>
      </w:r>
      <w:r w:rsidR="001D7B47">
        <w:rPr>
          <w:rFonts w:asciiTheme="minorHAnsi" w:hAnsiTheme="minorHAnsi" w:cstheme="minorHAnsi"/>
          <w:sz w:val="22"/>
          <w:szCs w:val="22"/>
        </w:rPr>
        <w:t xml:space="preserve"> avait</w:t>
      </w:r>
      <w:r w:rsidRPr="005C3C55">
        <w:rPr>
          <w:rFonts w:asciiTheme="minorHAnsi" w:hAnsiTheme="minorHAnsi" w:cstheme="minorHAnsi"/>
          <w:sz w:val="22"/>
          <w:szCs w:val="22"/>
        </w:rPr>
        <w:t xml:space="preserve"> évolué de façon posi</w:t>
      </w:r>
      <w:r w:rsidR="001D7B47">
        <w:rPr>
          <w:rFonts w:asciiTheme="minorHAnsi" w:hAnsiTheme="minorHAnsi" w:cstheme="minorHAnsi"/>
          <w:sz w:val="22"/>
          <w:szCs w:val="22"/>
        </w:rPr>
        <w:t>tive (+33,15%), comme  sur toute la période 2009-2011 (+36,16%), avant ce retournement constaté en 2012</w:t>
      </w:r>
      <w:r w:rsidRPr="005C3C55">
        <w:rPr>
          <w:rFonts w:asciiTheme="minorHAnsi" w:hAnsiTheme="minorHAnsi" w:cstheme="minorHAnsi"/>
          <w:sz w:val="22"/>
          <w:szCs w:val="22"/>
        </w:rPr>
        <w:t>.</w:t>
      </w:r>
    </w:p>
    <w:p w:rsidR="00AE176F" w:rsidRPr="005C3C55" w:rsidRDefault="00AE176F" w:rsidP="00AE176F">
      <w:pPr>
        <w:jc w:val="both"/>
        <w:rPr>
          <w:rFonts w:asciiTheme="minorHAnsi" w:hAnsiTheme="minorHAnsi" w:cstheme="minorHAnsi"/>
          <w:sz w:val="22"/>
          <w:szCs w:val="22"/>
        </w:rPr>
      </w:pPr>
    </w:p>
    <w:p w:rsidR="00AE176F" w:rsidRPr="005C3C55" w:rsidRDefault="00AE176F" w:rsidP="002F04D1">
      <w:pPr>
        <w:pStyle w:val="Paragraphedeliste"/>
        <w:numPr>
          <w:ilvl w:val="0"/>
          <w:numId w:val="3"/>
        </w:numPr>
        <w:jc w:val="both"/>
        <w:rPr>
          <w:rFonts w:asciiTheme="minorHAnsi" w:hAnsiTheme="minorHAnsi" w:cstheme="minorHAnsi"/>
          <w:b/>
          <w:sz w:val="22"/>
          <w:szCs w:val="22"/>
        </w:rPr>
      </w:pPr>
      <w:r w:rsidRPr="005C3C55">
        <w:rPr>
          <w:rFonts w:asciiTheme="minorHAnsi" w:hAnsiTheme="minorHAnsi" w:cstheme="minorHAnsi"/>
          <w:b/>
          <w:sz w:val="22"/>
          <w:szCs w:val="22"/>
        </w:rPr>
        <w:t>Répartition géographique</w:t>
      </w:r>
    </w:p>
    <w:p w:rsidR="00AE176F" w:rsidRPr="005C3C55" w:rsidRDefault="00AE176F" w:rsidP="00AE176F">
      <w:pPr>
        <w:jc w:val="both"/>
        <w:rPr>
          <w:rFonts w:asciiTheme="minorHAnsi" w:hAnsiTheme="minorHAnsi" w:cstheme="minorHAnsi"/>
          <w:sz w:val="22"/>
          <w:szCs w:val="22"/>
        </w:rPr>
      </w:pPr>
    </w:p>
    <w:p w:rsidR="00AE176F" w:rsidRPr="005C3C55" w:rsidRDefault="001D7B47" w:rsidP="00AE176F">
      <w:pPr>
        <w:jc w:val="both"/>
        <w:rPr>
          <w:rFonts w:asciiTheme="minorHAnsi" w:hAnsiTheme="minorHAnsi" w:cstheme="minorHAnsi"/>
          <w:sz w:val="22"/>
          <w:szCs w:val="22"/>
        </w:rPr>
      </w:pPr>
      <w:r>
        <w:rPr>
          <w:rFonts w:asciiTheme="minorHAnsi" w:hAnsiTheme="minorHAnsi" w:cstheme="minorHAnsi"/>
          <w:sz w:val="22"/>
          <w:szCs w:val="22"/>
        </w:rPr>
        <w:t>Comme pour l’année dernière, l</w:t>
      </w:r>
      <w:r w:rsidR="00AE176F" w:rsidRPr="005C3C55">
        <w:rPr>
          <w:rFonts w:asciiTheme="minorHAnsi" w:hAnsiTheme="minorHAnsi" w:cstheme="minorHAnsi"/>
          <w:sz w:val="22"/>
          <w:szCs w:val="22"/>
        </w:rPr>
        <w:t xml:space="preserve">es deux </w:t>
      </w:r>
      <w:proofErr w:type="spellStart"/>
      <w:r w:rsidR="00AE176F" w:rsidRPr="005C3C55">
        <w:rPr>
          <w:rFonts w:asciiTheme="minorHAnsi" w:hAnsiTheme="minorHAnsi" w:cstheme="minorHAnsi"/>
          <w:sz w:val="22"/>
          <w:szCs w:val="22"/>
        </w:rPr>
        <w:t>Hod</w:t>
      </w:r>
      <w:r>
        <w:rPr>
          <w:rFonts w:asciiTheme="minorHAnsi" w:hAnsiTheme="minorHAnsi" w:cstheme="minorHAnsi"/>
          <w:sz w:val="22"/>
          <w:szCs w:val="22"/>
        </w:rPr>
        <w:t>h</w:t>
      </w:r>
      <w:proofErr w:type="spellEnd"/>
      <w:r>
        <w:rPr>
          <w:rFonts w:asciiTheme="minorHAnsi" w:hAnsiTheme="minorHAnsi" w:cstheme="minorHAnsi"/>
          <w:sz w:val="22"/>
          <w:szCs w:val="22"/>
        </w:rPr>
        <w:t xml:space="preserve"> sont les </w:t>
      </w:r>
      <w:r w:rsidR="001246CD">
        <w:rPr>
          <w:rFonts w:asciiTheme="minorHAnsi" w:hAnsiTheme="minorHAnsi" w:cstheme="minorHAnsi"/>
          <w:sz w:val="22"/>
          <w:szCs w:val="22"/>
        </w:rPr>
        <w:t>Wilayas</w:t>
      </w:r>
      <w:r>
        <w:rPr>
          <w:rFonts w:asciiTheme="minorHAnsi" w:hAnsiTheme="minorHAnsi" w:cstheme="minorHAnsi"/>
          <w:sz w:val="22"/>
          <w:szCs w:val="22"/>
        </w:rPr>
        <w:t xml:space="preserve"> ayant en 2012</w:t>
      </w:r>
      <w:r w:rsidR="00AE176F" w:rsidRPr="005C3C55">
        <w:rPr>
          <w:rFonts w:asciiTheme="minorHAnsi" w:hAnsiTheme="minorHAnsi" w:cstheme="minorHAnsi"/>
          <w:sz w:val="22"/>
          <w:szCs w:val="22"/>
        </w:rPr>
        <w:t xml:space="preserve"> réalisé le nombre de plus important de</w:t>
      </w:r>
      <w:r>
        <w:rPr>
          <w:rFonts w:asciiTheme="minorHAnsi" w:hAnsiTheme="minorHAnsi" w:cstheme="minorHAnsi"/>
          <w:sz w:val="22"/>
          <w:szCs w:val="22"/>
        </w:rPr>
        <w:t xml:space="preserve"> projets (353 pour le </w:t>
      </w:r>
      <w:proofErr w:type="spellStart"/>
      <w:r>
        <w:rPr>
          <w:rFonts w:asciiTheme="minorHAnsi" w:hAnsiTheme="minorHAnsi" w:cstheme="minorHAnsi"/>
          <w:sz w:val="22"/>
          <w:szCs w:val="22"/>
        </w:rPr>
        <w:t>Hodh</w:t>
      </w:r>
      <w:proofErr w:type="spellEnd"/>
      <w:r>
        <w:rPr>
          <w:rFonts w:asciiTheme="minorHAnsi" w:hAnsiTheme="minorHAnsi" w:cstheme="minorHAnsi"/>
          <w:sz w:val="22"/>
          <w:szCs w:val="22"/>
        </w:rPr>
        <w:t xml:space="preserve"> El Gharbi et 252 pour le </w:t>
      </w:r>
      <w:proofErr w:type="spellStart"/>
      <w:r>
        <w:rPr>
          <w:rFonts w:asciiTheme="minorHAnsi" w:hAnsiTheme="minorHAnsi" w:cstheme="minorHAnsi"/>
          <w:sz w:val="22"/>
          <w:szCs w:val="22"/>
        </w:rPr>
        <w:t>Hodh</w:t>
      </w:r>
      <w:proofErr w:type="spellEnd"/>
      <w:r>
        <w:rPr>
          <w:rFonts w:asciiTheme="minorHAnsi" w:hAnsiTheme="minorHAnsi" w:cstheme="minorHAnsi"/>
          <w:sz w:val="22"/>
          <w:szCs w:val="22"/>
        </w:rPr>
        <w:t xml:space="preserve"> </w:t>
      </w:r>
      <w:proofErr w:type="spellStart"/>
      <w:r>
        <w:rPr>
          <w:rFonts w:asciiTheme="minorHAnsi" w:hAnsiTheme="minorHAnsi" w:cstheme="minorHAnsi"/>
          <w:sz w:val="22"/>
          <w:szCs w:val="22"/>
        </w:rPr>
        <w:t>Echargui</w:t>
      </w:r>
      <w:proofErr w:type="spellEnd"/>
      <w:r w:rsidR="00AE176F" w:rsidRPr="005C3C55">
        <w:rPr>
          <w:rFonts w:asciiTheme="minorHAnsi" w:hAnsiTheme="minorHAnsi" w:cstheme="minorHAnsi"/>
          <w:sz w:val="22"/>
          <w:szCs w:val="22"/>
        </w:rPr>
        <w:t>). L’importance du nombre de projets est d’ailleurs une caractéristique particulière de</w:t>
      </w:r>
      <w:r w:rsidR="00CE2767">
        <w:rPr>
          <w:rFonts w:asciiTheme="minorHAnsi" w:hAnsiTheme="minorHAnsi" w:cstheme="minorHAnsi"/>
          <w:sz w:val="22"/>
          <w:szCs w:val="22"/>
        </w:rPr>
        <w:t xml:space="preserve"> la </w:t>
      </w:r>
      <w:r w:rsidR="001246CD">
        <w:rPr>
          <w:rFonts w:asciiTheme="minorHAnsi" w:hAnsiTheme="minorHAnsi" w:cstheme="minorHAnsi"/>
          <w:sz w:val="22"/>
          <w:szCs w:val="22"/>
        </w:rPr>
        <w:t>Wilaya</w:t>
      </w:r>
      <w:r w:rsidR="00CE2767">
        <w:rPr>
          <w:rFonts w:asciiTheme="minorHAnsi" w:hAnsiTheme="minorHAnsi" w:cstheme="minorHAnsi"/>
          <w:sz w:val="22"/>
          <w:szCs w:val="22"/>
        </w:rPr>
        <w:t xml:space="preserve"> du </w:t>
      </w:r>
      <w:proofErr w:type="spellStart"/>
      <w:r w:rsidR="00CE2767">
        <w:rPr>
          <w:rFonts w:asciiTheme="minorHAnsi" w:hAnsiTheme="minorHAnsi" w:cstheme="minorHAnsi"/>
          <w:sz w:val="22"/>
          <w:szCs w:val="22"/>
        </w:rPr>
        <w:t>Hodh</w:t>
      </w:r>
      <w:proofErr w:type="spellEnd"/>
      <w:r w:rsidR="00CE2767">
        <w:rPr>
          <w:rFonts w:asciiTheme="minorHAnsi" w:hAnsiTheme="minorHAnsi" w:cstheme="minorHAnsi"/>
          <w:sz w:val="22"/>
          <w:szCs w:val="22"/>
        </w:rPr>
        <w:t xml:space="preserve"> El Gharbi : </w:t>
      </w:r>
      <w:r w:rsidR="00AE176F" w:rsidRPr="005C3C55">
        <w:rPr>
          <w:rFonts w:asciiTheme="minorHAnsi" w:hAnsiTheme="minorHAnsi" w:cstheme="minorHAnsi"/>
          <w:sz w:val="22"/>
          <w:szCs w:val="22"/>
        </w:rPr>
        <w:t>classée au 1</w:t>
      </w:r>
      <w:r w:rsidR="00AE176F" w:rsidRPr="005C3C55">
        <w:rPr>
          <w:rFonts w:asciiTheme="minorHAnsi" w:hAnsiTheme="minorHAnsi" w:cstheme="minorHAnsi"/>
          <w:sz w:val="22"/>
          <w:szCs w:val="22"/>
          <w:vertAlign w:val="superscript"/>
        </w:rPr>
        <w:t>er</w:t>
      </w:r>
      <w:r w:rsidR="00AE176F" w:rsidRPr="005C3C55">
        <w:rPr>
          <w:rFonts w:asciiTheme="minorHAnsi" w:hAnsiTheme="minorHAnsi" w:cstheme="minorHAnsi"/>
          <w:sz w:val="22"/>
          <w:szCs w:val="22"/>
        </w:rPr>
        <w:t xml:space="preserve"> rang sur les 13 </w:t>
      </w:r>
      <w:r w:rsidR="001246CD">
        <w:rPr>
          <w:rFonts w:asciiTheme="minorHAnsi" w:hAnsiTheme="minorHAnsi" w:cstheme="minorHAnsi"/>
          <w:sz w:val="22"/>
          <w:szCs w:val="22"/>
        </w:rPr>
        <w:t>Wilayas</w:t>
      </w:r>
      <w:r w:rsidR="00AE176F" w:rsidRPr="005C3C55">
        <w:rPr>
          <w:rFonts w:asciiTheme="minorHAnsi" w:hAnsiTheme="minorHAnsi" w:cstheme="minorHAnsi"/>
          <w:sz w:val="22"/>
          <w:szCs w:val="22"/>
        </w:rPr>
        <w:t xml:space="preserve"> en 2009 et 2010 et au 2</w:t>
      </w:r>
      <w:r w:rsidR="00AE176F" w:rsidRPr="005C3C55">
        <w:rPr>
          <w:rFonts w:asciiTheme="minorHAnsi" w:hAnsiTheme="minorHAnsi" w:cstheme="minorHAnsi"/>
          <w:sz w:val="22"/>
          <w:szCs w:val="22"/>
          <w:vertAlign w:val="superscript"/>
        </w:rPr>
        <w:t>ème</w:t>
      </w:r>
      <w:r w:rsidR="00AE176F" w:rsidRPr="005C3C55">
        <w:rPr>
          <w:rFonts w:asciiTheme="minorHAnsi" w:hAnsiTheme="minorHAnsi" w:cstheme="minorHAnsi"/>
          <w:sz w:val="22"/>
          <w:szCs w:val="22"/>
        </w:rPr>
        <w:t xml:space="preserve"> pour 2011,</w:t>
      </w:r>
      <w:r w:rsidR="00CE2767">
        <w:rPr>
          <w:rFonts w:asciiTheme="minorHAnsi" w:hAnsiTheme="minorHAnsi" w:cstheme="minorHAnsi"/>
          <w:sz w:val="22"/>
          <w:szCs w:val="22"/>
        </w:rPr>
        <w:t xml:space="preserve"> elle retrouve donc la première place devant la </w:t>
      </w:r>
      <w:r w:rsidR="001246CD">
        <w:rPr>
          <w:rFonts w:asciiTheme="minorHAnsi" w:hAnsiTheme="minorHAnsi" w:cstheme="minorHAnsi"/>
          <w:sz w:val="22"/>
          <w:szCs w:val="22"/>
        </w:rPr>
        <w:t>Wilaya</w:t>
      </w:r>
      <w:r w:rsidR="00CE2767">
        <w:rPr>
          <w:rFonts w:asciiTheme="minorHAnsi" w:hAnsiTheme="minorHAnsi" w:cstheme="minorHAnsi"/>
          <w:sz w:val="22"/>
          <w:szCs w:val="22"/>
        </w:rPr>
        <w:t xml:space="preserve"> du </w:t>
      </w:r>
      <w:proofErr w:type="spellStart"/>
      <w:r w:rsidR="00CE2767">
        <w:rPr>
          <w:rFonts w:asciiTheme="minorHAnsi" w:hAnsiTheme="minorHAnsi" w:cstheme="minorHAnsi"/>
          <w:sz w:val="22"/>
          <w:szCs w:val="22"/>
        </w:rPr>
        <w:t>Hodh</w:t>
      </w:r>
      <w:proofErr w:type="spellEnd"/>
      <w:r w:rsidR="00CE2767">
        <w:rPr>
          <w:rFonts w:asciiTheme="minorHAnsi" w:hAnsiTheme="minorHAnsi" w:cstheme="minorHAnsi"/>
          <w:sz w:val="22"/>
          <w:szCs w:val="22"/>
        </w:rPr>
        <w:t xml:space="preserve"> </w:t>
      </w:r>
      <w:proofErr w:type="spellStart"/>
      <w:r w:rsidR="00CE2767">
        <w:rPr>
          <w:rFonts w:asciiTheme="minorHAnsi" w:hAnsiTheme="minorHAnsi" w:cstheme="minorHAnsi"/>
          <w:sz w:val="22"/>
          <w:szCs w:val="22"/>
        </w:rPr>
        <w:t>Echargui</w:t>
      </w:r>
      <w:proofErr w:type="spellEnd"/>
      <w:r w:rsidR="00CE2767">
        <w:rPr>
          <w:rFonts w:asciiTheme="minorHAnsi" w:hAnsiTheme="minorHAnsi" w:cstheme="minorHAnsi"/>
          <w:sz w:val="22"/>
          <w:szCs w:val="22"/>
        </w:rPr>
        <w:t xml:space="preserve"> qui l’avait exceptionnellement dépassée en 2011, suite à une très forte progression entre 2010 et 2011 (+167%). Cette dernière se trouve </w:t>
      </w:r>
      <w:r w:rsidR="00945A6F">
        <w:rPr>
          <w:rFonts w:asciiTheme="minorHAnsi" w:hAnsiTheme="minorHAnsi" w:cstheme="minorHAnsi"/>
          <w:sz w:val="22"/>
          <w:szCs w:val="22"/>
        </w:rPr>
        <w:t xml:space="preserve">désormais </w:t>
      </w:r>
      <w:r w:rsidR="00CE2767">
        <w:rPr>
          <w:rFonts w:asciiTheme="minorHAnsi" w:hAnsiTheme="minorHAnsi" w:cstheme="minorHAnsi"/>
          <w:sz w:val="22"/>
          <w:szCs w:val="22"/>
        </w:rPr>
        <w:t xml:space="preserve">talonnée par </w:t>
      </w:r>
      <w:r w:rsidR="00F028A9">
        <w:rPr>
          <w:rFonts w:asciiTheme="minorHAnsi" w:hAnsiTheme="minorHAnsi" w:cstheme="minorHAnsi"/>
          <w:sz w:val="22"/>
          <w:szCs w:val="22"/>
        </w:rPr>
        <w:t xml:space="preserve">la </w:t>
      </w:r>
      <w:r w:rsidR="001246CD">
        <w:rPr>
          <w:rFonts w:asciiTheme="minorHAnsi" w:hAnsiTheme="minorHAnsi" w:cstheme="minorHAnsi"/>
          <w:sz w:val="22"/>
          <w:szCs w:val="22"/>
        </w:rPr>
        <w:t>Wilaya</w:t>
      </w:r>
      <w:r w:rsidR="00F028A9">
        <w:rPr>
          <w:rFonts w:asciiTheme="minorHAnsi" w:hAnsiTheme="minorHAnsi" w:cstheme="minorHAnsi"/>
          <w:sz w:val="22"/>
          <w:szCs w:val="22"/>
        </w:rPr>
        <w:t xml:space="preserve"> du </w:t>
      </w:r>
      <w:proofErr w:type="spellStart"/>
      <w:r w:rsidR="00F028A9">
        <w:rPr>
          <w:rFonts w:asciiTheme="minorHAnsi" w:hAnsiTheme="minorHAnsi" w:cstheme="minorHAnsi"/>
          <w:sz w:val="22"/>
          <w:szCs w:val="22"/>
        </w:rPr>
        <w:t>Gorgol</w:t>
      </w:r>
      <w:proofErr w:type="spellEnd"/>
      <w:r w:rsidR="00F028A9">
        <w:rPr>
          <w:rFonts w:asciiTheme="minorHAnsi" w:hAnsiTheme="minorHAnsi" w:cstheme="minorHAnsi"/>
          <w:sz w:val="22"/>
          <w:szCs w:val="22"/>
        </w:rPr>
        <w:t xml:space="preserve"> qui a vu croître de 35,14% le nombre de projets sur son territoire en l’espace d’un exercice, passant de 185 à 250 projets en 2012.</w:t>
      </w:r>
    </w:p>
    <w:p w:rsidR="000801D5" w:rsidRDefault="000801D5" w:rsidP="000801D5">
      <w:pPr>
        <w:jc w:val="both"/>
        <w:rPr>
          <w:rFonts w:asciiTheme="minorHAnsi" w:hAnsiTheme="minorHAnsi" w:cstheme="minorHAnsi"/>
          <w:sz w:val="22"/>
          <w:szCs w:val="22"/>
        </w:rPr>
      </w:pPr>
    </w:p>
    <w:p w:rsidR="003D3FA2" w:rsidRDefault="003D3FA2" w:rsidP="000801D5">
      <w:pPr>
        <w:jc w:val="both"/>
        <w:rPr>
          <w:rFonts w:asciiTheme="minorHAnsi" w:hAnsiTheme="minorHAnsi" w:cstheme="minorHAnsi"/>
          <w:sz w:val="22"/>
          <w:szCs w:val="22"/>
        </w:rPr>
      </w:pPr>
    </w:p>
    <w:p w:rsidR="000D7AED" w:rsidRDefault="000D7AED" w:rsidP="00AE176F">
      <w:pPr>
        <w:rPr>
          <w:rFonts w:asciiTheme="minorHAnsi" w:hAnsiTheme="minorHAnsi" w:cstheme="minorHAnsi"/>
          <w:sz w:val="22"/>
          <w:szCs w:val="22"/>
        </w:rPr>
      </w:pPr>
      <w:r>
        <w:rPr>
          <w:rFonts w:asciiTheme="minorHAnsi" w:hAnsiTheme="minorHAnsi" w:cstheme="minorHAnsi"/>
          <w:noProof/>
          <w:sz w:val="22"/>
          <w:szCs w:val="22"/>
        </w:rPr>
        <w:drawing>
          <wp:inline distT="0" distB="0" distL="0" distR="0">
            <wp:extent cx="6640094" cy="6086475"/>
            <wp:effectExtent l="19050" t="0" r="8356" b="0"/>
            <wp:docPr id="6" name="Image 6" descr="C:\Users\Conseiller DGCT\Patrick Pholsena\FRD\FRD\Rapport général et financier 2013\Cart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onseiller DGCT\Patrick Pholsena\FRD\FRD\Rapport général et financier 2013\Carte 2.jpg"/>
                    <pic:cNvPicPr>
                      <a:picLocks noChangeAspect="1" noChangeArrowheads="1"/>
                    </pic:cNvPicPr>
                  </pic:nvPicPr>
                  <pic:blipFill>
                    <a:blip r:embed="rId15" cstate="print"/>
                    <a:srcRect/>
                    <a:stretch>
                      <a:fillRect/>
                    </a:stretch>
                  </pic:blipFill>
                  <pic:spPr bwMode="auto">
                    <a:xfrm>
                      <a:off x="0" y="0"/>
                      <a:ext cx="6640094" cy="6086475"/>
                    </a:xfrm>
                    <a:prstGeom prst="rect">
                      <a:avLst/>
                    </a:prstGeom>
                    <a:noFill/>
                    <a:ln w="9525">
                      <a:noFill/>
                      <a:miter lim="800000"/>
                      <a:headEnd/>
                      <a:tailEnd/>
                    </a:ln>
                  </pic:spPr>
                </pic:pic>
              </a:graphicData>
            </a:graphic>
          </wp:inline>
        </w:drawing>
      </w:r>
    </w:p>
    <w:p w:rsidR="00AE176F" w:rsidRDefault="00AE176F" w:rsidP="00AE176F">
      <w:pPr>
        <w:ind w:left="360"/>
        <w:rPr>
          <w:rFonts w:asciiTheme="minorHAnsi" w:hAnsiTheme="minorHAnsi" w:cstheme="minorHAnsi"/>
        </w:rPr>
      </w:pPr>
    </w:p>
    <w:p w:rsidR="003D3FA2" w:rsidRDefault="003D3FA2" w:rsidP="003D3FA2">
      <w:pPr>
        <w:jc w:val="both"/>
        <w:rPr>
          <w:rFonts w:asciiTheme="minorHAnsi" w:hAnsiTheme="minorHAnsi" w:cstheme="minorHAnsi"/>
          <w:sz w:val="22"/>
          <w:szCs w:val="22"/>
        </w:rPr>
      </w:pPr>
      <w:r>
        <w:rPr>
          <w:rFonts w:asciiTheme="minorHAnsi" w:hAnsiTheme="minorHAnsi" w:cstheme="minorHAnsi"/>
          <w:sz w:val="22"/>
          <w:szCs w:val="22"/>
        </w:rPr>
        <w:t xml:space="preserve">À l’inverse de la </w:t>
      </w:r>
      <w:r w:rsidR="001246CD">
        <w:rPr>
          <w:rFonts w:asciiTheme="minorHAnsi" w:hAnsiTheme="minorHAnsi" w:cstheme="minorHAnsi"/>
          <w:sz w:val="22"/>
          <w:szCs w:val="22"/>
        </w:rPr>
        <w:t>Wilaya</w:t>
      </w:r>
      <w:r>
        <w:rPr>
          <w:rFonts w:asciiTheme="minorHAnsi" w:hAnsiTheme="minorHAnsi" w:cstheme="minorHAnsi"/>
          <w:sz w:val="22"/>
          <w:szCs w:val="22"/>
        </w:rPr>
        <w:t xml:space="preserve"> du </w:t>
      </w:r>
      <w:proofErr w:type="spellStart"/>
      <w:r>
        <w:rPr>
          <w:rFonts w:asciiTheme="minorHAnsi" w:hAnsiTheme="minorHAnsi" w:cstheme="minorHAnsi"/>
          <w:sz w:val="22"/>
          <w:szCs w:val="22"/>
        </w:rPr>
        <w:t>Gorgol</w:t>
      </w:r>
      <w:proofErr w:type="spellEnd"/>
      <w:r>
        <w:rPr>
          <w:rFonts w:asciiTheme="minorHAnsi" w:hAnsiTheme="minorHAnsi" w:cstheme="minorHAnsi"/>
          <w:sz w:val="22"/>
          <w:szCs w:val="22"/>
        </w:rPr>
        <w:t xml:space="preserve">, le </w:t>
      </w:r>
      <w:r w:rsidRPr="005C3C55">
        <w:rPr>
          <w:rFonts w:asciiTheme="minorHAnsi" w:hAnsiTheme="minorHAnsi" w:cstheme="minorHAnsi"/>
          <w:sz w:val="22"/>
          <w:szCs w:val="22"/>
        </w:rPr>
        <w:t>groupe de</w:t>
      </w:r>
      <w:r>
        <w:rPr>
          <w:rFonts w:asciiTheme="minorHAnsi" w:hAnsiTheme="minorHAnsi" w:cstheme="minorHAnsi"/>
          <w:sz w:val="22"/>
          <w:szCs w:val="22"/>
        </w:rPr>
        <w:t xml:space="preserve">s </w:t>
      </w:r>
      <w:r w:rsidR="001246CD">
        <w:rPr>
          <w:rFonts w:asciiTheme="minorHAnsi" w:hAnsiTheme="minorHAnsi" w:cstheme="minorHAnsi"/>
          <w:sz w:val="22"/>
          <w:szCs w:val="22"/>
        </w:rPr>
        <w:t>Wilayas</w:t>
      </w:r>
      <w:r>
        <w:rPr>
          <w:rFonts w:asciiTheme="minorHAnsi" w:hAnsiTheme="minorHAnsi" w:cstheme="minorHAnsi"/>
          <w:sz w:val="22"/>
          <w:szCs w:val="22"/>
        </w:rPr>
        <w:t xml:space="preserve"> du </w:t>
      </w:r>
      <w:r w:rsidRPr="005C3C55">
        <w:rPr>
          <w:rFonts w:asciiTheme="minorHAnsi" w:hAnsiTheme="minorHAnsi" w:cstheme="minorHAnsi"/>
          <w:sz w:val="22"/>
          <w:szCs w:val="22"/>
        </w:rPr>
        <w:t>Trarza et</w:t>
      </w:r>
      <w:r>
        <w:rPr>
          <w:rFonts w:asciiTheme="minorHAnsi" w:hAnsiTheme="minorHAnsi" w:cstheme="minorHAnsi"/>
          <w:sz w:val="22"/>
          <w:szCs w:val="22"/>
        </w:rPr>
        <w:t xml:space="preserve"> du  </w:t>
      </w:r>
      <w:proofErr w:type="spellStart"/>
      <w:r>
        <w:rPr>
          <w:rFonts w:asciiTheme="minorHAnsi" w:hAnsiTheme="minorHAnsi" w:cstheme="minorHAnsi"/>
          <w:sz w:val="22"/>
          <w:szCs w:val="22"/>
        </w:rPr>
        <w:t>Brakna</w:t>
      </w:r>
      <w:proofErr w:type="spellEnd"/>
      <w:r>
        <w:rPr>
          <w:rFonts w:asciiTheme="minorHAnsi" w:hAnsiTheme="minorHAnsi" w:cstheme="minorHAnsi"/>
          <w:sz w:val="22"/>
          <w:szCs w:val="22"/>
        </w:rPr>
        <w:t xml:space="preserve"> qui se retrouvait en 2011 </w:t>
      </w:r>
      <w:r w:rsidRPr="005C3C55">
        <w:rPr>
          <w:rFonts w:asciiTheme="minorHAnsi" w:hAnsiTheme="minorHAnsi" w:cstheme="minorHAnsi"/>
          <w:sz w:val="22"/>
          <w:szCs w:val="22"/>
        </w:rPr>
        <w:t>avec un nombre de projets supérieur à 200 unités</w:t>
      </w:r>
      <w:r>
        <w:rPr>
          <w:rFonts w:asciiTheme="minorHAnsi" w:hAnsiTheme="minorHAnsi" w:cstheme="minorHAnsi"/>
          <w:sz w:val="22"/>
          <w:szCs w:val="22"/>
        </w:rPr>
        <w:t xml:space="preserve"> pour chacune d’entre elles, voit diminuer de manière sensible le nombre de projets engagés sur leur territoire respectif :</w:t>
      </w:r>
    </w:p>
    <w:p w:rsidR="003D3FA2" w:rsidRPr="003D3FA2" w:rsidRDefault="003D3FA2" w:rsidP="002F04D1">
      <w:pPr>
        <w:pStyle w:val="Paragraphedeliste"/>
        <w:numPr>
          <w:ilvl w:val="0"/>
          <w:numId w:val="11"/>
        </w:numPr>
        <w:jc w:val="both"/>
        <w:rPr>
          <w:rFonts w:asciiTheme="minorHAnsi" w:hAnsiTheme="minorHAnsi" w:cstheme="minorHAnsi"/>
          <w:sz w:val="22"/>
          <w:szCs w:val="22"/>
        </w:rPr>
      </w:pPr>
      <w:r>
        <w:rPr>
          <w:rFonts w:asciiTheme="minorHAnsi" w:hAnsiTheme="minorHAnsi" w:cstheme="minorHAnsi"/>
          <w:sz w:val="22"/>
          <w:szCs w:val="22"/>
        </w:rPr>
        <w:t xml:space="preserve">-43,67% pour la </w:t>
      </w:r>
      <w:r w:rsidR="001246CD">
        <w:rPr>
          <w:rFonts w:asciiTheme="minorHAnsi" w:hAnsiTheme="minorHAnsi" w:cstheme="minorHAnsi"/>
          <w:sz w:val="22"/>
          <w:szCs w:val="22"/>
        </w:rPr>
        <w:t>Wilaya</w:t>
      </w:r>
      <w:r>
        <w:rPr>
          <w:rFonts w:asciiTheme="minorHAnsi" w:hAnsiTheme="minorHAnsi" w:cstheme="minorHAnsi"/>
          <w:sz w:val="22"/>
          <w:szCs w:val="22"/>
        </w:rPr>
        <w:t xml:space="preserve"> du </w:t>
      </w:r>
      <w:proofErr w:type="spellStart"/>
      <w:r>
        <w:rPr>
          <w:rFonts w:asciiTheme="minorHAnsi" w:hAnsiTheme="minorHAnsi" w:cstheme="minorHAnsi"/>
          <w:sz w:val="22"/>
          <w:szCs w:val="22"/>
        </w:rPr>
        <w:t>Brakna</w:t>
      </w:r>
      <w:proofErr w:type="spellEnd"/>
      <w:r>
        <w:rPr>
          <w:rFonts w:asciiTheme="minorHAnsi" w:hAnsiTheme="minorHAnsi" w:cstheme="minorHAnsi"/>
          <w:sz w:val="22"/>
          <w:szCs w:val="22"/>
        </w:rPr>
        <w:t xml:space="preserve"> qui passe de 229 projets en 2011 à 129 en 2012, soit une diminution de 100 unités.</w:t>
      </w:r>
    </w:p>
    <w:p w:rsidR="003D3FA2" w:rsidRDefault="003D3FA2" w:rsidP="002F04D1">
      <w:pPr>
        <w:pStyle w:val="Paragraphedeliste"/>
        <w:numPr>
          <w:ilvl w:val="0"/>
          <w:numId w:val="11"/>
        </w:numPr>
        <w:jc w:val="both"/>
        <w:rPr>
          <w:rFonts w:asciiTheme="minorHAnsi" w:hAnsiTheme="minorHAnsi" w:cstheme="minorHAnsi"/>
          <w:sz w:val="22"/>
          <w:szCs w:val="22"/>
        </w:rPr>
      </w:pPr>
      <w:r>
        <w:rPr>
          <w:rFonts w:asciiTheme="minorHAnsi" w:hAnsiTheme="minorHAnsi" w:cstheme="minorHAnsi"/>
          <w:sz w:val="22"/>
          <w:szCs w:val="22"/>
        </w:rPr>
        <w:t xml:space="preserve">-13,72% pour la </w:t>
      </w:r>
      <w:r w:rsidR="001246CD">
        <w:rPr>
          <w:rFonts w:asciiTheme="minorHAnsi" w:hAnsiTheme="minorHAnsi" w:cstheme="minorHAnsi"/>
          <w:sz w:val="22"/>
          <w:szCs w:val="22"/>
        </w:rPr>
        <w:t>Wilaya</w:t>
      </w:r>
      <w:r>
        <w:rPr>
          <w:rFonts w:asciiTheme="minorHAnsi" w:hAnsiTheme="minorHAnsi" w:cstheme="minorHAnsi"/>
          <w:sz w:val="22"/>
          <w:szCs w:val="22"/>
        </w:rPr>
        <w:t xml:space="preserve"> du Trarza qui passe de 226 projets en 2011 à 195 unités en 2012.</w:t>
      </w:r>
    </w:p>
    <w:p w:rsidR="003D3FA2" w:rsidRDefault="003D3FA2" w:rsidP="003D3FA2">
      <w:pPr>
        <w:jc w:val="both"/>
        <w:rPr>
          <w:rFonts w:asciiTheme="minorHAnsi" w:hAnsiTheme="minorHAnsi" w:cstheme="minorHAnsi"/>
          <w:sz w:val="22"/>
          <w:szCs w:val="22"/>
        </w:rPr>
      </w:pPr>
      <w:r>
        <w:rPr>
          <w:rFonts w:asciiTheme="minorHAnsi" w:hAnsiTheme="minorHAnsi" w:cstheme="minorHAnsi"/>
          <w:sz w:val="22"/>
          <w:szCs w:val="22"/>
        </w:rPr>
        <w:t xml:space="preserve">Font désormais partie de ce groupe les </w:t>
      </w:r>
      <w:r w:rsidR="001246CD">
        <w:rPr>
          <w:rFonts w:asciiTheme="minorHAnsi" w:hAnsiTheme="minorHAnsi" w:cstheme="minorHAnsi"/>
          <w:sz w:val="22"/>
          <w:szCs w:val="22"/>
        </w:rPr>
        <w:t>Wilayas</w:t>
      </w:r>
      <w:r>
        <w:rPr>
          <w:rFonts w:asciiTheme="minorHAnsi" w:hAnsiTheme="minorHAnsi" w:cstheme="minorHAnsi"/>
          <w:sz w:val="22"/>
          <w:szCs w:val="22"/>
        </w:rPr>
        <w:t xml:space="preserve"> de l’</w:t>
      </w:r>
      <w:proofErr w:type="spellStart"/>
      <w:r>
        <w:rPr>
          <w:rFonts w:asciiTheme="minorHAnsi" w:hAnsiTheme="minorHAnsi" w:cstheme="minorHAnsi"/>
          <w:sz w:val="22"/>
          <w:szCs w:val="22"/>
        </w:rPr>
        <w:t>Assaba</w:t>
      </w:r>
      <w:proofErr w:type="spellEnd"/>
      <w:r>
        <w:rPr>
          <w:rFonts w:asciiTheme="minorHAnsi" w:hAnsiTheme="minorHAnsi" w:cstheme="minorHAnsi"/>
          <w:sz w:val="22"/>
          <w:szCs w:val="22"/>
        </w:rPr>
        <w:t xml:space="preserve"> (181 projets), de Nouakch</w:t>
      </w:r>
      <w:r w:rsidR="00945A6F">
        <w:rPr>
          <w:rFonts w:asciiTheme="minorHAnsi" w:hAnsiTheme="minorHAnsi" w:cstheme="minorHAnsi"/>
          <w:sz w:val="22"/>
          <w:szCs w:val="22"/>
        </w:rPr>
        <w:t xml:space="preserve">ott (178 projets) et du </w:t>
      </w:r>
      <w:proofErr w:type="spellStart"/>
      <w:r w:rsidR="00945A6F">
        <w:rPr>
          <w:rFonts w:asciiTheme="minorHAnsi" w:hAnsiTheme="minorHAnsi" w:cstheme="minorHAnsi"/>
          <w:sz w:val="22"/>
          <w:szCs w:val="22"/>
        </w:rPr>
        <w:t>Guidimak</w:t>
      </w:r>
      <w:r>
        <w:rPr>
          <w:rFonts w:asciiTheme="minorHAnsi" w:hAnsiTheme="minorHAnsi" w:cstheme="minorHAnsi"/>
          <w:sz w:val="22"/>
          <w:szCs w:val="22"/>
        </w:rPr>
        <w:t>ha</w:t>
      </w:r>
      <w:proofErr w:type="spellEnd"/>
      <w:r>
        <w:rPr>
          <w:rFonts w:asciiTheme="minorHAnsi" w:hAnsiTheme="minorHAnsi" w:cstheme="minorHAnsi"/>
          <w:sz w:val="22"/>
          <w:szCs w:val="22"/>
        </w:rPr>
        <w:t xml:space="preserve"> (115 projets) avec un nombre de projets compris entre 100 et 200 unités.</w:t>
      </w:r>
    </w:p>
    <w:p w:rsidR="003D3FA2" w:rsidRDefault="003D3FA2" w:rsidP="003D3FA2">
      <w:pPr>
        <w:jc w:val="both"/>
        <w:rPr>
          <w:rFonts w:asciiTheme="minorHAnsi" w:hAnsiTheme="minorHAnsi" w:cstheme="minorHAnsi"/>
          <w:sz w:val="22"/>
          <w:szCs w:val="22"/>
        </w:rPr>
      </w:pPr>
    </w:p>
    <w:p w:rsidR="003D3FA2" w:rsidRDefault="003D3FA2" w:rsidP="003D3FA2">
      <w:pPr>
        <w:jc w:val="both"/>
        <w:rPr>
          <w:rFonts w:asciiTheme="minorHAnsi" w:hAnsiTheme="minorHAnsi" w:cstheme="minorHAnsi"/>
          <w:sz w:val="22"/>
          <w:szCs w:val="22"/>
        </w:rPr>
      </w:pPr>
      <w:r>
        <w:rPr>
          <w:rFonts w:asciiTheme="minorHAnsi" w:hAnsiTheme="minorHAnsi" w:cstheme="minorHAnsi"/>
          <w:sz w:val="22"/>
          <w:szCs w:val="22"/>
        </w:rPr>
        <w:t xml:space="preserve">Enfin le dernier groupe rassemble les </w:t>
      </w:r>
      <w:r w:rsidR="001246CD">
        <w:rPr>
          <w:rFonts w:asciiTheme="minorHAnsi" w:hAnsiTheme="minorHAnsi" w:cstheme="minorHAnsi"/>
          <w:sz w:val="22"/>
          <w:szCs w:val="22"/>
        </w:rPr>
        <w:t>Wilayas</w:t>
      </w:r>
      <w:r>
        <w:rPr>
          <w:rFonts w:asciiTheme="minorHAnsi" w:hAnsiTheme="minorHAnsi" w:cstheme="minorHAnsi"/>
          <w:sz w:val="22"/>
          <w:szCs w:val="22"/>
        </w:rPr>
        <w:t xml:space="preserve"> avec moins de 100 projets sur leur territoire, qui correspond également au groupe dont le montant du FRD accordé au titre de 2012 est le plus faible.</w:t>
      </w:r>
    </w:p>
    <w:p w:rsidR="003D3FA2" w:rsidRDefault="003D3FA2" w:rsidP="003D3FA2">
      <w:pPr>
        <w:jc w:val="both"/>
        <w:rPr>
          <w:rFonts w:asciiTheme="minorHAnsi" w:hAnsiTheme="minorHAnsi" w:cstheme="minorHAnsi"/>
          <w:sz w:val="22"/>
          <w:szCs w:val="22"/>
        </w:rPr>
      </w:pPr>
    </w:p>
    <w:p w:rsidR="003D3FA2" w:rsidRPr="005C3C55" w:rsidRDefault="003D3FA2" w:rsidP="003D3FA2">
      <w:pPr>
        <w:jc w:val="both"/>
        <w:rPr>
          <w:rFonts w:asciiTheme="minorHAnsi" w:hAnsiTheme="minorHAnsi" w:cstheme="minorHAnsi"/>
          <w:sz w:val="22"/>
          <w:szCs w:val="22"/>
        </w:rPr>
      </w:pPr>
      <w:r>
        <w:rPr>
          <w:rFonts w:asciiTheme="minorHAnsi" w:hAnsiTheme="minorHAnsi" w:cstheme="minorHAnsi"/>
          <w:sz w:val="22"/>
          <w:szCs w:val="22"/>
        </w:rPr>
        <w:t>Logiquement, l’</w:t>
      </w:r>
      <w:r w:rsidRPr="005C3C55">
        <w:rPr>
          <w:rFonts w:asciiTheme="minorHAnsi" w:hAnsiTheme="minorHAnsi" w:cstheme="minorHAnsi"/>
          <w:sz w:val="22"/>
          <w:szCs w:val="22"/>
        </w:rPr>
        <w:t>au</w:t>
      </w:r>
      <w:r w:rsidR="005C1A09">
        <w:rPr>
          <w:rFonts w:asciiTheme="minorHAnsi" w:hAnsiTheme="minorHAnsi" w:cstheme="minorHAnsi"/>
          <w:sz w:val="22"/>
          <w:szCs w:val="22"/>
        </w:rPr>
        <w:t>gmentation du FRD pourrait</w:t>
      </w:r>
      <w:r>
        <w:rPr>
          <w:rFonts w:asciiTheme="minorHAnsi" w:hAnsiTheme="minorHAnsi" w:cstheme="minorHAnsi"/>
          <w:sz w:val="22"/>
          <w:szCs w:val="22"/>
        </w:rPr>
        <w:t xml:space="preserve"> </w:t>
      </w:r>
      <w:r w:rsidRPr="005C3C55">
        <w:rPr>
          <w:rFonts w:asciiTheme="minorHAnsi" w:hAnsiTheme="minorHAnsi" w:cstheme="minorHAnsi"/>
          <w:sz w:val="22"/>
          <w:szCs w:val="22"/>
        </w:rPr>
        <w:t xml:space="preserve">permettre la croissance du nombre de projets. Ce ne doit </w:t>
      </w:r>
      <w:r>
        <w:rPr>
          <w:rFonts w:asciiTheme="minorHAnsi" w:hAnsiTheme="minorHAnsi" w:cstheme="minorHAnsi"/>
          <w:sz w:val="22"/>
          <w:szCs w:val="22"/>
        </w:rPr>
        <w:t xml:space="preserve">toutefois </w:t>
      </w:r>
      <w:r w:rsidRPr="005C3C55">
        <w:rPr>
          <w:rFonts w:asciiTheme="minorHAnsi" w:hAnsiTheme="minorHAnsi" w:cstheme="minorHAnsi"/>
          <w:sz w:val="22"/>
          <w:szCs w:val="22"/>
        </w:rPr>
        <w:t>pas être le seul résultat attendu. En effet</w:t>
      </w:r>
      <w:r>
        <w:rPr>
          <w:rFonts w:asciiTheme="minorHAnsi" w:hAnsiTheme="minorHAnsi" w:cstheme="minorHAnsi"/>
          <w:sz w:val="22"/>
          <w:szCs w:val="22"/>
        </w:rPr>
        <w:t>,</w:t>
      </w:r>
      <w:r w:rsidRPr="005C3C55">
        <w:rPr>
          <w:rFonts w:asciiTheme="minorHAnsi" w:hAnsiTheme="minorHAnsi" w:cstheme="minorHAnsi"/>
          <w:sz w:val="22"/>
          <w:szCs w:val="22"/>
        </w:rPr>
        <w:t xml:space="preserve"> l’évolution du nom</w:t>
      </w:r>
      <w:r>
        <w:rPr>
          <w:rFonts w:asciiTheme="minorHAnsi" w:hAnsiTheme="minorHAnsi" w:cstheme="minorHAnsi"/>
          <w:sz w:val="22"/>
          <w:szCs w:val="22"/>
        </w:rPr>
        <w:t xml:space="preserve">bre de projets ne peut être un </w:t>
      </w:r>
      <w:r w:rsidRPr="005C3C55">
        <w:rPr>
          <w:rFonts w:asciiTheme="minorHAnsi" w:hAnsiTheme="minorHAnsi" w:cstheme="minorHAnsi"/>
          <w:sz w:val="22"/>
          <w:szCs w:val="22"/>
        </w:rPr>
        <w:t>indicateur satisfaisant de la capacité d’investissement communale car il ne s’agit que d’une donnée quantitative.</w:t>
      </w:r>
    </w:p>
    <w:p w:rsidR="003D3FA2" w:rsidRDefault="003D3FA2" w:rsidP="003D3FA2">
      <w:pPr>
        <w:jc w:val="both"/>
        <w:rPr>
          <w:rFonts w:asciiTheme="minorHAnsi" w:hAnsiTheme="minorHAnsi" w:cstheme="minorHAnsi"/>
          <w:sz w:val="22"/>
          <w:szCs w:val="22"/>
        </w:rPr>
      </w:pPr>
      <w:r w:rsidRPr="005C3C55">
        <w:rPr>
          <w:rFonts w:asciiTheme="minorHAnsi" w:hAnsiTheme="minorHAnsi" w:cstheme="minorHAnsi"/>
          <w:sz w:val="22"/>
          <w:szCs w:val="22"/>
        </w:rPr>
        <w:t>Encourager la seule augmentation du nombre de projet</w:t>
      </w:r>
      <w:r>
        <w:rPr>
          <w:rFonts w:asciiTheme="minorHAnsi" w:hAnsiTheme="minorHAnsi" w:cstheme="minorHAnsi"/>
          <w:sz w:val="22"/>
          <w:szCs w:val="22"/>
        </w:rPr>
        <w:t>s</w:t>
      </w:r>
      <w:r w:rsidRPr="005C3C55">
        <w:rPr>
          <w:rFonts w:asciiTheme="minorHAnsi" w:hAnsiTheme="minorHAnsi" w:cstheme="minorHAnsi"/>
          <w:sz w:val="22"/>
          <w:szCs w:val="22"/>
        </w:rPr>
        <w:t xml:space="preserve"> irait à l’encontre de réalisations d’envergure et de qualité.</w:t>
      </w:r>
    </w:p>
    <w:p w:rsidR="003D3FA2" w:rsidRPr="005C3C55" w:rsidRDefault="003D3FA2" w:rsidP="003D3FA2">
      <w:pPr>
        <w:rPr>
          <w:rFonts w:asciiTheme="minorHAnsi" w:hAnsiTheme="minorHAnsi" w:cstheme="minorHAnsi"/>
          <w:sz w:val="22"/>
          <w:szCs w:val="22"/>
        </w:rPr>
      </w:pPr>
    </w:p>
    <w:p w:rsidR="00AE176F" w:rsidRPr="005C3C55" w:rsidRDefault="00AE176F" w:rsidP="00AE176F">
      <w:pPr>
        <w:rPr>
          <w:rFonts w:asciiTheme="minorHAnsi" w:hAnsiTheme="minorHAnsi" w:cstheme="minorHAnsi"/>
          <w:sz w:val="22"/>
          <w:szCs w:val="22"/>
        </w:rPr>
      </w:pPr>
    </w:p>
    <w:p w:rsidR="00AE176F" w:rsidRPr="005C3C55" w:rsidRDefault="00AE176F" w:rsidP="002F04D1">
      <w:pPr>
        <w:pStyle w:val="Paragraphedeliste"/>
        <w:numPr>
          <w:ilvl w:val="0"/>
          <w:numId w:val="3"/>
        </w:numPr>
        <w:rPr>
          <w:rFonts w:asciiTheme="minorHAnsi" w:hAnsiTheme="minorHAnsi" w:cstheme="minorHAnsi"/>
          <w:b/>
          <w:sz w:val="22"/>
          <w:szCs w:val="22"/>
        </w:rPr>
      </w:pPr>
      <w:r w:rsidRPr="005C3C55">
        <w:rPr>
          <w:rFonts w:asciiTheme="minorHAnsi" w:hAnsiTheme="minorHAnsi" w:cstheme="minorHAnsi"/>
          <w:b/>
          <w:sz w:val="22"/>
          <w:szCs w:val="22"/>
        </w:rPr>
        <w:t>Répartition sectorielle des projets</w:t>
      </w:r>
    </w:p>
    <w:p w:rsidR="00B23084" w:rsidRDefault="00B23084" w:rsidP="00AE176F">
      <w:pPr>
        <w:rPr>
          <w:rFonts w:asciiTheme="minorHAnsi" w:hAnsiTheme="minorHAnsi" w:cstheme="minorHAnsi"/>
          <w:sz w:val="22"/>
          <w:szCs w:val="22"/>
        </w:rPr>
      </w:pPr>
    </w:p>
    <w:p w:rsidR="00B23084" w:rsidRPr="005C3C55" w:rsidRDefault="00E81B74" w:rsidP="00AE176F">
      <w:pPr>
        <w:rPr>
          <w:rFonts w:asciiTheme="minorHAnsi" w:hAnsiTheme="minorHAnsi" w:cstheme="minorHAnsi"/>
          <w:sz w:val="22"/>
          <w:szCs w:val="22"/>
        </w:rPr>
      </w:pPr>
      <w:r w:rsidRPr="00E81B74">
        <w:rPr>
          <w:noProof/>
          <w:szCs w:val="22"/>
        </w:rPr>
        <w:drawing>
          <wp:inline distT="0" distB="0" distL="0" distR="0">
            <wp:extent cx="6645910" cy="3648075"/>
            <wp:effectExtent l="19050" t="0" r="2540" b="0"/>
            <wp:docPr id="181"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cstate="print"/>
                    <a:srcRect/>
                    <a:stretch>
                      <a:fillRect/>
                    </a:stretch>
                  </pic:blipFill>
                  <pic:spPr bwMode="auto">
                    <a:xfrm>
                      <a:off x="0" y="0"/>
                      <a:ext cx="6645910" cy="3648075"/>
                    </a:xfrm>
                    <a:prstGeom prst="rect">
                      <a:avLst/>
                    </a:prstGeom>
                    <a:noFill/>
                    <a:ln w="9525">
                      <a:noFill/>
                      <a:miter lim="800000"/>
                      <a:headEnd/>
                      <a:tailEnd/>
                    </a:ln>
                  </pic:spPr>
                </pic:pic>
              </a:graphicData>
            </a:graphic>
          </wp:inline>
        </w:drawing>
      </w:r>
    </w:p>
    <w:p w:rsidR="00AE176F" w:rsidRDefault="00AE176F" w:rsidP="00AE176F">
      <w:pPr>
        <w:rPr>
          <w:rFonts w:asciiTheme="minorHAnsi" w:hAnsiTheme="minorHAnsi" w:cstheme="minorHAnsi"/>
          <w:sz w:val="22"/>
          <w:szCs w:val="22"/>
        </w:rPr>
      </w:pPr>
    </w:p>
    <w:p w:rsidR="00AE176F" w:rsidRDefault="00AE176F" w:rsidP="00AE176F">
      <w:pPr>
        <w:rPr>
          <w:rFonts w:asciiTheme="minorHAnsi" w:hAnsiTheme="minorHAnsi" w:cstheme="minorHAnsi"/>
          <w:sz w:val="22"/>
          <w:szCs w:val="22"/>
        </w:rPr>
      </w:pPr>
    </w:p>
    <w:p w:rsidR="00AE176F" w:rsidRDefault="00B23084" w:rsidP="00B23084">
      <w:pPr>
        <w:jc w:val="both"/>
        <w:rPr>
          <w:rFonts w:asciiTheme="minorHAnsi" w:hAnsiTheme="minorHAnsi" w:cstheme="minorHAnsi"/>
        </w:rPr>
      </w:pPr>
      <w:r>
        <w:rPr>
          <w:rFonts w:asciiTheme="minorHAnsi" w:hAnsiTheme="minorHAnsi" w:cstheme="minorHAnsi"/>
        </w:rPr>
        <w:t xml:space="preserve">Les cinq premiers secteurs se partagent 73,62% du </w:t>
      </w:r>
      <w:r w:rsidR="00AE176F" w:rsidRPr="005C3C55">
        <w:rPr>
          <w:rFonts w:asciiTheme="minorHAnsi" w:hAnsiTheme="minorHAnsi" w:cstheme="minorHAnsi"/>
          <w:sz w:val="22"/>
          <w:szCs w:val="22"/>
        </w:rPr>
        <w:t>total des proj</w:t>
      </w:r>
      <w:r>
        <w:rPr>
          <w:rFonts w:asciiTheme="minorHAnsi" w:hAnsiTheme="minorHAnsi" w:cstheme="minorHAnsi"/>
          <w:sz w:val="22"/>
          <w:szCs w:val="22"/>
        </w:rPr>
        <w:t>ets réalisés sur l’exercice 2012</w:t>
      </w:r>
      <w:r w:rsidR="00AE176F" w:rsidRPr="005C3C55">
        <w:rPr>
          <w:rFonts w:asciiTheme="minorHAnsi" w:hAnsiTheme="minorHAnsi" w:cstheme="minorHAnsi"/>
          <w:sz w:val="22"/>
          <w:szCs w:val="22"/>
        </w:rPr>
        <w:t xml:space="preserve">. </w:t>
      </w:r>
      <w:r>
        <w:rPr>
          <w:rFonts w:asciiTheme="minorHAnsi" w:hAnsiTheme="minorHAnsi" w:cstheme="minorHAnsi"/>
          <w:sz w:val="22"/>
          <w:szCs w:val="22"/>
        </w:rPr>
        <w:t xml:space="preserve">Ils sont identiques par rapport à l’année dernière avec le même rang de surcroît et représentaient 76,24% du total des projets en 2011. </w:t>
      </w:r>
    </w:p>
    <w:p w:rsidR="00AE176F" w:rsidRDefault="00AE176F" w:rsidP="00AE176F">
      <w:pPr>
        <w:jc w:val="both"/>
        <w:rPr>
          <w:rFonts w:asciiTheme="minorHAnsi" w:hAnsiTheme="minorHAnsi" w:cstheme="minorHAnsi"/>
        </w:rPr>
      </w:pPr>
    </w:p>
    <w:p w:rsidR="00AE176F" w:rsidRPr="005C3C55" w:rsidRDefault="00AE176F" w:rsidP="00AE176F">
      <w:pPr>
        <w:jc w:val="both"/>
        <w:rPr>
          <w:rFonts w:asciiTheme="minorHAnsi" w:hAnsiTheme="minorHAnsi" w:cstheme="minorHAnsi"/>
          <w:sz w:val="22"/>
          <w:szCs w:val="22"/>
        </w:rPr>
      </w:pPr>
      <w:r w:rsidRPr="0088460B">
        <w:rPr>
          <w:rFonts w:asciiTheme="minorHAnsi" w:hAnsiTheme="minorHAnsi" w:cstheme="minorHAnsi"/>
          <w:b/>
          <w:sz w:val="22"/>
          <w:szCs w:val="22"/>
        </w:rPr>
        <w:t>L’hydraulique est le secteur numéro un</w:t>
      </w:r>
      <w:r w:rsidR="00E81B74">
        <w:rPr>
          <w:rFonts w:asciiTheme="minorHAnsi" w:hAnsiTheme="minorHAnsi" w:cstheme="minorHAnsi"/>
          <w:sz w:val="22"/>
          <w:szCs w:val="22"/>
        </w:rPr>
        <w:t xml:space="preserve"> avec 25,54</w:t>
      </w:r>
      <w:r w:rsidRPr="005C3C55">
        <w:rPr>
          <w:rFonts w:asciiTheme="minorHAnsi" w:hAnsiTheme="minorHAnsi" w:cstheme="minorHAnsi"/>
          <w:sz w:val="22"/>
          <w:szCs w:val="22"/>
        </w:rPr>
        <w:t>% d</w:t>
      </w:r>
      <w:r w:rsidR="00E81B74">
        <w:rPr>
          <w:rFonts w:asciiTheme="minorHAnsi" w:hAnsiTheme="minorHAnsi" w:cstheme="minorHAnsi"/>
          <w:sz w:val="22"/>
          <w:szCs w:val="22"/>
        </w:rPr>
        <w:t>u total des projets déclarés (n°1 en 2011 avec 28,11% du total selon le rapport de l’année dernière)</w:t>
      </w:r>
      <w:r w:rsidRPr="005C3C55">
        <w:rPr>
          <w:rFonts w:asciiTheme="minorHAnsi" w:hAnsiTheme="minorHAnsi" w:cstheme="minorHAnsi"/>
          <w:sz w:val="22"/>
          <w:szCs w:val="22"/>
        </w:rPr>
        <w:t>.</w:t>
      </w:r>
    </w:p>
    <w:p w:rsidR="00AE176F" w:rsidRPr="005C3C55" w:rsidRDefault="002065F9" w:rsidP="00AE176F">
      <w:pPr>
        <w:jc w:val="both"/>
        <w:rPr>
          <w:rFonts w:asciiTheme="minorHAnsi" w:hAnsiTheme="minorHAnsi" w:cstheme="minorHAnsi"/>
          <w:sz w:val="22"/>
          <w:szCs w:val="22"/>
        </w:rPr>
      </w:pPr>
      <w:r>
        <w:rPr>
          <w:rFonts w:asciiTheme="minorHAnsi" w:hAnsiTheme="minorHAnsi" w:cstheme="minorHAnsi"/>
          <w:b/>
          <w:sz w:val="22"/>
          <w:szCs w:val="22"/>
        </w:rPr>
        <w:t>L’éducation est le deuxième</w:t>
      </w:r>
      <w:r w:rsidR="00AE176F" w:rsidRPr="0088460B">
        <w:rPr>
          <w:rFonts w:asciiTheme="minorHAnsi" w:hAnsiTheme="minorHAnsi" w:cstheme="minorHAnsi"/>
          <w:b/>
          <w:sz w:val="22"/>
          <w:szCs w:val="22"/>
        </w:rPr>
        <w:t xml:space="preserve"> secteur</w:t>
      </w:r>
      <w:r w:rsidR="00E81B74">
        <w:rPr>
          <w:rFonts w:asciiTheme="minorHAnsi" w:hAnsiTheme="minorHAnsi" w:cstheme="minorHAnsi"/>
          <w:sz w:val="22"/>
          <w:szCs w:val="22"/>
        </w:rPr>
        <w:t xml:space="preserve"> avec 20,74% des projets (n°2 en 2011 avec 21,57%</w:t>
      </w:r>
      <w:r w:rsidR="00AE176F" w:rsidRPr="005C3C55">
        <w:rPr>
          <w:rFonts w:asciiTheme="minorHAnsi" w:hAnsiTheme="minorHAnsi" w:cstheme="minorHAnsi"/>
          <w:sz w:val="22"/>
          <w:szCs w:val="22"/>
        </w:rPr>
        <w:t>)</w:t>
      </w:r>
      <w:r>
        <w:rPr>
          <w:rFonts w:asciiTheme="minorHAnsi" w:hAnsiTheme="minorHAnsi" w:cstheme="minorHAnsi"/>
          <w:sz w:val="22"/>
          <w:szCs w:val="22"/>
        </w:rPr>
        <w:t>.</w:t>
      </w:r>
    </w:p>
    <w:p w:rsidR="00AE176F" w:rsidRPr="005C3C55" w:rsidRDefault="00AE176F" w:rsidP="00AE176F">
      <w:pPr>
        <w:jc w:val="both"/>
        <w:rPr>
          <w:rFonts w:asciiTheme="minorHAnsi" w:hAnsiTheme="minorHAnsi" w:cstheme="minorHAnsi"/>
          <w:sz w:val="22"/>
          <w:szCs w:val="22"/>
        </w:rPr>
      </w:pPr>
      <w:r w:rsidRPr="0088460B">
        <w:rPr>
          <w:rFonts w:asciiTheme="minorHAnsi" w:hAnsiTheme="minorHAnsi" w:cstheme="minorHAnsi"/>
          <w:b/>
          <w:sz w:val="22"/>
          <w:szCs w:val="22"/>
        </w:rPr>
        <w:t>Le secteur « bâtiments communaux » arrive en 3</w:t>
      </w:r>
      <w:r w:rsidRPr="0088460B">
        <w:rPr>
          <w:rFonts w:asciiTheme="minorHAnsi" w:hAnsiTheme="minorHAnsi" w:cstheme="minorHAnsi"/>
          <w:b/>
          <w:sz w:val="22"/>
          <w:szCs w:val="22"/>
          <w:vertAlign w:val="superscript"/>
        </w:rPr>
        <w:t>ème</w:t>
      </w:r>
      <w:r w:rsidRPr="0088460B">
        <w:rPr>
          <w:rFonts w:asciiTheme="minorHAnsi" w:hAnsiTheme="minorHAnsi" w:cstheme="minorHAnsi"/>
          <w:b/>
          <w:sz w:val="22"/>
          <w:szCs w:val="22"/>
        </w:rPr>
        <w:t xml:space="preserve"> position</w:t>
      </w:r>
      <w:r w:rsidR="00E81B74">
        <w:rPr>
          <w:rFonts w:asciiTheme="minorHAnsi" w:hAnsiTheme="minorHAnsi" w:cstheme="minorHAnsi"/>
          <w:sz w:val="22"/>
          <w:szCs w:val="22"/>
        </w:rPr>
        <w:t xml:space="preserve"> avec 13,08</w:t>
      </w:r>
      <w:r w:rsidRPr="005C3C55">
        <w:rPr>
          <w:rFonts w:asciiTheme="minorHAnsi" w:hAnsiTheme="minorHAnsi" w:cstheme="minorHAnsi"/>
          <w:sz w:val="22"/>
          <w:szCs w:val="22"/>
        </w:rPr>
        <w:t>% des projets (</w:t>
      </w:r>
      <w:r w:rsidR="00E81B74">
        <w:rPr>
          <w:rFonts w:asciiTheme="minorHAnsi" w:hAnsiTheme="minorHAnsi" w:cstheme="minorHAnsi"/>
          <w:sz w:val="22"/>
          <w:szCs w:val="22"/>
        </w:rPr>
        <w:t>n°3 en 2011 avec 10,84%</w:t>
      </w:r>
      <w:r w:rsidRPr="005C3C55">
        <w:rPr>
          <w:rFonts w:asciiTheme="minorHAnsi" w:hAnsiTheme="minorHAnsi" w:cstheme="minorHAnsi"/>
          <w:sz w:val="22"/>
          <w:szCs w:val="22"/>
        </w:rPr>
        <w:t>).</w:t>
      </w:r>
    </w:p>
    <w:p w:rsidR="00AE176F" w:rsidRPr="005C3C55" w:rsidRDefault="00E81B74" w:rsidP="00AE176F">
      <w:pPr>
        <w:jc w:val="both"/>
        <w:rPr>
          <w:rFonts w:asciiTheme="minorHAnsi" w:hAnsiTheme="minorHAnsi" w:cstheme="minorHAnsi"/>
          <w:sz w:val="22"/>
          <w:szCs w:val="22"/>
        </w:rPr>
      </w:pPr>
      <w:r>
        <w:rPr>
          <w:rFonts w:asciiTheme="minorHAnsi" w:hAnsiTheme="minorHAnsi" w:cstheme="minorHAnsi"/>
          <w:sz w:val="22"/>
          <w:szCs w:val="22"/>
        </w:rPr>
        <w:t>L</w:t>
      </w:r>
      <w:r w:rsidR="00AE176F" w:rsidRPr="005C3C55">
        <w:rPr>
          <w:rFonts w:asciiTheme="minorHAnsi" w:hAnsiTheme="minorHAnsi" w:cstheme="minorHAnsi"/>
          <w:sz w:val="22"/>
          <w:szCs w:val="22"/>
        </w:rPr>
        <w:t>e secteur « équipement Mairie » est en 4</w:t>
      </w:r>
      <w:r w:rsidR="00AE176F" w:rsidRPr="005C3C55">
        <w:rPr>
          <w:rFonts w:asciiTheme="minorHAnsi" w:hAnsiTheme="minorHAnsi" w:cstheme="minorHAnsi"/>
          <w:sz w:val="22"/>
          <w:szCs w:val="22"/>
          <w:vertAlign w:val="superscript"/>
        </w:rPr>
        <w:t>ème</w:t>
      </w:r>
      <w:r>
        <w:rPr>
          <w:rFonts w:asciiTheme="minorHAnsi" w:hAnsiTheme="minorHAnsi" w:cstheme="minorHAnsi"/>
          <w:sz w:val="22"/>
          <w:szCs w:val="22"/>
        </w:rPr>
        <w:t xml:space="preserve"> position avec 9,22</w:t>
      </w:r>
      <w:r w:rsidR="00AE176F" w:rsidRPr="005C3C55">
        <w:rPr>
          <w:rFonts w:asciiTheme="minorHAnsi" w:hAnsiTheme="minorHAnsi" w:cstheme="minorHAnsi"/>
          <w:sz w:val="22"/>
          <w:szCs w:val="22"/>
        </w:rPr>
        <w:t>% des projets (</w:t>
      </w:r>
      <w:r>
        <w:rPr>
          <w:rFonts w:asciiTheme="minorHAnsi" w:hAnsiTheme="minorHAnsi" w:cstheme="minorHAnsi"/>
          <w:sz w:val="22"/>
          <w:szCs w:val="22"/>
        </w:rPr>
        <w:t>n°4 en 2011 avec 8,45%</w:t>
      </w:r>
      <w:r w:rsidR="00AE176F" w:rsidRPr="005C3C55">
        <w:rPr>
          <w:rFonts w:asciiTheme="minorHAnsi" w:hAnsiTheme="minorHAnsi" w:cstheme="minorHAnsi"/>
          <w:sz w:val="22"/>
          <w:szCs w:val="22"/>
        </w:rPr>
        <w:t>).</w:t>
      </w:r>
    </w:p>
    <w:p w:rsidR="00AE176F" w:rsidRPr="005C3C55" w:rsidRDefault="00AE176F" w:rsidP="00AE176F">
      <w:pPr>
        <w:jc w:val="both"/>
        <w:rPr>
          <w:rFonts w:asciiTheme="minorHAnsi" w:hAnsiTheme="minorHAnsi" w:cstheme="minorHAnsi"/>
          <w:sz w:val="22"/>
          <w:szCs w:val="22"/>
        </w:rPr>
      </w:pPr>
      <w:r w:rsidRPr="005C3C55">
        <w:rPr>
          <w:rFonts w:asciiTheme="minorHAnsi" w:hAnsiTheme="minorHAnsi" w:cstheme="minorHAnsi"/>
          <w:sz w:val="22"/>
          <w:szCs w:val="22"/>
        </w:rPr>
        <w:t>Le cinquième</w:t>
      </w:r>
      <w:r w:rsidR="005C1A09">
        <w:rPr>
          <w:rFonts w:asciiTheme="minorHAnsi" w:hAnsiTheme="minorHAnsi" w:cstheme="minorHAnsi"/>
          <w:sz w:val="22"/>
          <w:szCs w:val="22"/>
        </w:rPr>
        <w:t xml:space="preserve"> secteur en nombre de projets, celui du </w:t>
      </w:r>
      <w:proofErr w:type="spellStart"/>
      <w:r w:rsidR="005C1A09">
        <w:rPr>
          <w:rFonts w:asciiTheme="minorHAnsi" w:hAnsiTheme="minorHAnsi" w:cstheme="minorHAnsi"/>
          <w:sz w:val="22"/>
          <w:szCs w:val="22"/>
        </w:rPr>
        <w:t>socio-culturel</w:t>
      </w:r>
      <w:proofErr w:type="spellEnd"/>
      <w:r w:rsidR="005C1A09">
        <w:rPr>
          <w:rFonts w:asciiTheme="minorHAnsi" w:hAnsiTheme="minorHAnsi" w:cstheme="minorHAnsi"/>
          <w:sz w:val="22"/>
          <w:szCs w:val="22"/>
        </w:rPr>
        <w:t xml:space="preserve">, se trouve </w:t>
      </w:r>
      <w:r w:rsidR="002065F9">
        <w:rPr>
          <w:rFonts w:asciiTheme="minorHAnsi" w:hAnsiTheme="minorHAnsi" w:cstheme="minorHAnsi"/>
          <w:sz w:val="22"/>
          <w:szCs w:val="22"/>
        </w:rPr>
        <w:t>avec 5,03% du total, également en 5</w:t>
      </w:r>
      <w:r w:rsidR="002065F9" w:rsidRPr="002065F9">
        <w:rPr>
          <w:rFonts w:asciiTheme="minorHAnsi" w:hAnsiTheme="minorHAnsi" w:cstheme="minorHAnsi"/>
          <w:sz w:val="22"/>
          <w:szCs w:val="22"/>
          <w:vertAlign w:val="superscript"/>
        </w:rPr>
        <w:t>ème</w:t>
      </w:r>
      <w:r w:rsidR="002065F9">
        <w:rPr>
          <w:rFonts w:asciiTheme="minorHAnsi" w:hAnsiTheme="minorHAnsi" w:cstheme="minorHAnsi"/>
          <w:sz w:val="22"/>
          <w:szCs w:val="22"/>
        </w:rPr>
        <w:t xml:space="preserve"> position </w:t>
      </w:r>
      <w:r w:rsidR="00E81B74">
        <w:rPr>
          <w:rFonts w:asciiTheme="minorHAnsi" w:hAnsiTheme="minorHAnsi" w:cstheme="minorHAnsi"/>
          <w:sz w:val="22"/>
          <w:szCs w:val="22"/>
        </w:rPr>
        <w:t>en 2011 avec 7,26%</w:t>
      </w:r>
      <w:r w:rsidR="009B3D3C">
        <w:rPr>
          <w:rFonts w:asciiTheme="minorHAnsi" w:hAnsiTheme="minorHAnsi" w:cstheme="minorHAnsi"/>
          <w:sz w:val="22"/>
          <w:szCs w:val="22"/>
        </w:rPr>
        <w:t xml:space="preserve"> (soit une très forte diminution de 50 projets en un an).</w:t>
      </w:r>
    </w:p>
    <w:p w:rsidR="00AE176F" w:rsidRPr="005C3C55" w:rsidRDefault="00AE176F" w:rsidP="00AE176F">
      <w:pPr>
        <w:jc w:val="both"/>
        <w:rPr>
          <w:rFonts w:asciiTheme="minorHAnsi" w:hAnsiTheme="minorHAnsi" w:cstheme="minorHAnsi"/>
          <w:sz w:val="22"/>
          <w:szCs w:val="22"/>
        </w:rPr>
      </w:pPr>
    </w:p>
    <w:p w:rsidR="00AE176F" w:rsidRPr="005C3C55" w:rsidRDefault="00AE176F" w:rsidP="00AE176F">
      <w:pPr>
        <w:jc w:val="both"/>
        <w:rPr>
          <w:rFonts w:asciiTheme="minorHAnsi" w:hAnsiTheme="minorHAnsi" w:cstheme="minorHAnsi"/>
          <w:sz w:val="22"/>
          <w:szCs w:val="22"/>
        </w:rPr>
      </w:pPr>
      <w:r w:rsidRPr="005C3C55">
        <w:rPr>
          <w:rFonts w:asciiTheme="minorHAnsi" w:hAnsiTheme="minorHAnsi" w:cstheme="minorHAnsi"/>
          <w:sz w:val="22"/>
          <w:szCs w:val="22"/>
        </w:rPr>
        <w:t xml:space="preserve">On </w:t>
      </w:r>
      <w:r w:rsidR="00F93F48">
        <w:rPr>
          <w:rFonts w:asciiTheme="minorHAnsi" w:hAnsiTheme="minorHAnsi" w:cstheme="minorHAnsi"/>
          <w:sz w:val="22"/>
          <w:szCs w:val="22"/>
        </w:rPr>
        <w:t>note donc d’une année à l’autre une grande stabilité du nombre</w:t>
      </w:r>
      <w:r w:rsidR="009B3D3C">
        <w:rPr>
          <w:rFonts w:asciiTheme="minorHAnsi" w:hAnsiTheme="minorHAnsi" w:cstheme="minorHAnsi"/>
          <w:sz w:val="22"/>
          <w:szCs w:val="22"/>
        </w:rPr>
        <w:t xml:space="preserve">, à l’exception notable du secteur </w:t>
      </w:r>
      <w:proofErr w:type="spellStart"/>
      <w:r w:rsidR="009B3D3C">
        <w:rPr>
          <w:rFonts w:asciiTheme="minorHAnsi" w:hAnsiTheme="minorHAnsi" w:cstheme="minorHAnsi"/>
          <w:sz w:val="22"/>
          <w:szCs w:val="22"/>
        </w:rPr>
        <w:t>socio-culturel</w:t>
      </w:r>
      <w:proofErr w:type="spellEnd"/>
      <w:r w:rsidR="009B3D3C">
        <w:rPr>
          <w:rFonts w:asciiTheme="minorHAnsi" w:hAnsiTheme="minorHAnsi" w:cstheme="minorHAnsi"/>
          <w:sz w:val="22"/>
          <w:szCs w:val="22"/>
        </w:rPr>
        <w:t>,</w:t>
      </w:r>
      <w:r w:rsidR="00F93F48">
        <w:rPr>
          <w:rFonts w:asciiTheme="minorHAnsi" w:hAnsiTheme="minorHAnsi" w:cstheme="minorHAnsi"/>
          <w:sz w:val="22"/>
          <w:szCs w:val="22"/>
        </w:rPr>
        <w:t xml:space="preserve"> et de la répartition des projets dans les différents secteurs d’investissement.</w:t>
      </w:r>
    </w:p>
    <w:p w:rsidR="00AE176F" w:rsidRPr="005C3C55" w:rsidRDefault="00AE176F" w:rsidP="00AE176F">
      <w:pPr>
        <w:jc w:val="both"/>
        <w:rPr>
          <w:rFonts w:asciiTheme="minorHAnsi" w:hAnsiTheme="minorHAnsi" w:cstheme="minorHAnsi"/>
          <w:sz w:val="22"/>
          <w:szCs w:val="22"/>
        </w:rPr>
      </w:pPr>
    </w:p>
    <w:p w:rsidR="00AE176F" w:rsidRPr="005C3C55" w:rsidRDefault="009B3D3C" w:rsidP="00AE176F">
      <w:pPr>
        <w:jc w:val="both"/>
        <w:rPr>
          <w:rFonts w:asciiTheme="minorHAnsi" w:hAnsiTheme="minorHAnsi" w:cstheme="minorHAnsi"/>
          <w:sz w:val="22"/>
          <w:szCs w:val="22"/>
        </w:rPr>
      </w:pPr>
      <w:r>
        <w:rPr>
          <w:rFonts w:asciiTheme="minorHAnsi" w:hAnsiTheme="minorHAnsi" w:cstheme="minorHAnsi"/>
          <w:sz w:val="22"/>
          <w:szCs w:val="22"/>
        </w:rPr>
        <w:t xml:space="preserve">Parmi les autres secteurs, </w:t>
      </w:r>
      <w:r w:rsidR="00AE176F" w:rsidRPr="005C3C55">
        <w:rPr>
          <w:rFonts w:asciiTheme="minorHAnsi" w:hAnsiTheme="minorHAnsi" w:cstheme="minorHAnsi"/>
          <w:sz w:val="22"/>
          <w:szCs w:val="22"/>
        </w:rPr>
        <w:t>le détail fait apparaître quatre secteurs secon</w:t>
      </w:r>
      <w:r>
        <w:rPr>
          <w:rFonts w:asciiTheme="minorHAnsi" w:hAnsiTheme="minorHAnsi" w:cstheme="minorHAnsi"/>
          <w:sz w:val="22"/>
          <w:szCs w:val="22"/>
        </w:rPr>
        <w:t>daires regroupant chacun autour de 4</w:t>
      </w:r>
      <w:r w:rsidR="00AE176F" w:rsidRPr="005C3C55">
        <w:rPr>
          <w:rFonts w:asciiTheme="minorHAnsi" w:hAnsiTheme="minorHAnsi" w:cstheme="minorHAnsi"/>
          <w:sz w:val="22"/>
          <w:szCs w:val="22"/>
        </w:rPr>
        <w:t>% du nombre total de projets. Il s’agit de l’assainissement, de l’agriculture, de l’appui aux ONG/association</w:t>
      </w:r>
      <w:r>
        <w:rPr>
          <w:rFonts w:asciiTheme="minorHAnsi" w:hAnsiTheme="minorHAnsi" w:cstheme="minorHAnsi"/>
          <w:sz w:val="22"/>
          <w:szCs w:val="22"/>
        </w:rPr>
        <w:t>s</w:t>
      </w:r>
      <w:r w:rsidR="00AE176F" w:rsidRPr="005C3C55">
        <w:rPr>
          <w:rFonts w:asciiTheme="minorHAnsi" w:hAnsiTheme="minorHAnsi" w:cstheme="minorHAnsi"/>
          <w:sz w:val="22"/>
          <w:szCs w:val="22"/>
        </w:rPr>
        <w:t xml:space="preserve"> et de la santé. C’est là aussi une constante, puisque la situation de ces secteur</w:t>
      </w:r>
      <w:r>
        <w:rPr>
          <w:rFonts w:asciiTheme="minorHAnsi" w:hAnsiTheme="minorHAnsi" w:cstheme="minorHAnsi"/>
          <w:sz w:val="22"/>
          <w:szCs w:val="22"/>
        </w:rPr>
        <w:t>s</w:t>
      </w:r>
      <w:r w:rsidR="00AE176F" w:rsidRPr="005C3C55">
        <w:rPr>
          <w:rFonts w:asciiTheme="minorHAnsi" w:hAnsiTheme="minorHAnsi" w:cstheme="minorHAnsi"/>
          <w:sz w:val="22"/>
          <w:szCs w:val="22"/>
        </w:rPr>
        <w:t xml:space="preserve"> était sensiblem</w:t>
      </w:r>
      <w:r>
        <w:rPr>
          <w:rFonts w:asciiTheme="minorHAnsi" w:hAnsiTheme="minorHAnsi" w:cstheme="minorHAnsi"/>
          <w:sz w:val="22"/>
          <w:szCs w:val="22"/>
        </w:rPr>
        <w:t>ent la même pour l’exercice 2011</w:t>
      </w:r>
      <w:r w:rsidR="00AE176F" w:rsidRPr="005C3C55">
        <w:rPr>
          <w:rFonts w:asciiTheme="minorHAnsi" w:hAnsiTheme="minorHAnsi" w:cstheme="minorHAnsi"/>
          <w:sz w:val="22"/>
          <w:szCs w:val="22"/>
        </w:rPr>
        <w:t>.</w:t>
      </w:r>
    </w:p>
    <w:p w:rsidR="00AE176F" w:rsidRDefault="00AE176F" w:rsidP="00AE176F">
      <w:pPr>
        <w:jc w:val="both"/>
        <w:rPr>
          <w:rFonts w:asciiTheme="minorHAnsi" w:hAnsiTheme="minorHAnsi" w:cstheme="minorHAnsi"/>
          <w:sz w:val="22"/>
          <w:szCs w:val="22"/>
        </w:rPr>
      </w:pPr>
    </w:p>
    <w:p w:rsidR="00AE176F" w:rsidRPr="005C3C55" w:rsidRDefault="00AE176F" w:rsidP="00AE176F">
      <w:pPr>
        <w:jc w:val="both"/>
        <w:rPr>
          <w:rFonts w:asciiTheme="minorHAnsi" w:hAnsiTheme="minorHAnsi" w:cstheme="minorHAnsi"/>
          <w:sz w:val="22"/>
          <w:szCs w:val="22"/>
        </w:rPr>
      </w:pPr>
      <w:r w:rsidRPr="005C3C55">
        <w:rPr>
          <w:rFonts w:asciiTheme="minorHAnsi" w:hAnsiTheme="minorHAnsi" w:cstheme="minorHAnsi"/>
          <w:sz w:val="22"/>
          <w:szCs w:val="22"/>
        </w:rPr>
        <w:t>Au final</w:t>
      </w:r>
      <w:r w:rsidR="00F93F48">
        <w:rPr>
          <w:rFonts w:asciiTheme="minorHAnsi" w:hAnsiTheme="minorHAnsi" w:cstheme="minorHAnsi"/>
          <w:sz w:val="22"/>
          <w:szCs w:val="22"/>
        </w:rPr>
        <w:t>,</w:t>
      </w:r>
      <w:r w:rsidRPr="005C3C55">
        <w:rPr>
          <w:rFonts w:asciiTheme="minorHAnsi" w:hAnsiTheme="minorHAnsi" w:cstheme="minorHAnsi"/>
          <w:sz w:val="22"/>
          <w:szCs w:val="22"/>
        </w:rPr>
        <w:t xml:space="preserve"> la seule</w:t>
      </w:r>
      <w:r w:rsidR="00F93F48">
        <w:rPr>
          <w:rFonts w:asciiTheme="minorHAnsi" w:hAnsiTheme="minorHAnsi" w:cstheme="minorHAnsi"/>
          <w:sz w:val="22"/>
          <w:szCs w:val="22"/>
        </w:rPr>
        <w:t xml:space="preserve"> véritable « nouveauté » de 2012</w:t>
      </w:r>
      <w:r w:rsidRPr="005C3C55">
        <w:rPr>
          <w:rFonts w:asciiTheme="minorHAnsi" w:hAnsiTheme="minorHAnsi" w:cstheme="minorHAnsi"/>
          <w:sz w:val="22"/>
          <w:szCs w:val="22"/>
        </w:rPr>
        <w:t xml:space="preserve"> est</w:t>
      </w:r>
      <w:r w:rsidR="00F93F48">
        <w:rPr>
          <w:rFonts w:asciiTheme="minorHAnsi" w:hAnsiTheme="minorHAnsi" w:cstheme="minorHAnsi"/>
          <w:sz w:val="22"/>
          <w:szCs w:val="22"/>
        </w:rPr>
        <w:t xml:space="preserve"> l’apparition du secteur tourisme avec 3 projets, au 17</w:t>
      </w:r>
      <w:r w:rsidR="00F93F48" w:rsidRPr="00F93F48">
        <w:rPr>
          <w:rFonts w:asciiTheme="minorHAnsi" w:hAnsiTheme="minorHAnsi" w:cstheme="minorHAnsi"/>
          <w:sz w:val="22"/>
          <w:szCs w:val="22"/>
          <w:vertAlign w:val="superscript"/>
        </w:rPr>
        <w:t>ème</w:t>
      </w:r>
      <w:r w:rsidR="00F93F48">
        <w:rPr>
          <w:rFonts w:asciiTheme="minorHAnsi" w:hAnsiTheme="minorHAnsi" w:cstheme="minorHAnsi"/>
          <w:sz w:val="22"/>
          <w:szCs w:val="22"/>
        </w:rPr>
        <w:t xml:space="preserve"> et dernier rang.</w:t>
      </w:r>
    </w:p>
    <w:p w:rsidR="00AE176F" w:rsidRPr="005C3C55" w:rsidRDefault="00AE176F" w:rsidP="00AE176F">
      <w:pPr>
        <w:jc w:val="both"/>
        <w:rPr>
          <w:rFonts w:asciiTheme="minorHAnsi" w:hAnsiTheme="minorHAnsi" w:cstheme="minorHAnsi"/>
          <w:sz w:val="22"/>
          <w:szCs w:val="22"/>
        </w:rPr>
      </w:pPr>
    </w:p>
    <w:p w:rsidR="00AE176F" w:rsidRPr="005C3C55" w:rsidRDefault="00AE176F" w:rsidP="00AE176F">
      <w:pPr>
        <w:jc w:val="both"/>
        <w:rPr>
          <w:rFonts w:asciiTheme="minorHAnsi" w:hAnsiTheme="minorHAnsi" w:cstheme="minorHAnsi"/>
          <w:sz w:val="22"/>
          <w:szCs w:val="22"/>
        </w:rPr>
      </w:pPr>
    </w:p>
    <w:p w:rsidR="00815216" w:rsidRPr="001111D3" w:rsidRDefault="00815216" w:rsidP="00222208">
      <w:pPr>
        <w:rPr>
          <w:rFonts w:asciiTheme="minorHAnsi" w:hAnsiTheme="minorHAnsi" w:cstheme="minorHAnsi"/>
          <w:sz w:val="22"/>
          <w:szCs w:val="22"/>
        </w:rPr>
      </w:pPr>
    </w:p>
    <w:p w:rsidR="00A74E03" w:rsidRDefault="00FF0C51" w:rsidP="002F04D1">
      <w:pPr>
        <w:pStyle w:val="Paragraphedeliste"/>
        <w:numPr>
          <w:ilvl w:val="0"/>
          <w:numId w:val="1"/>
        </w:numPr>
        <w:rPr>
          <w:rFonts w:asciiTheme="minorHAnsi" w:hAnsiTheme="minorHAnsi" w:cstheme="minorHAnsi"/>
          <w:b/>
          <w:sz w:val="22"/>
          <w:szCs w:val="22"/>
        </w:rPr>
      </w:pPr>
      <w:r>
        <w:rPr>
          <w:rFonts w:asciiTheme="minorHAnsi" w:hAnsiTheme="minorHAnsi" w:cstheme="minorHAnsi"/>
          <w:b/>
          <w:sz w:val="22"/>
          <w:szCs w:val="22"/>
        </w:rPr>
        <w:t>L’investissement communal</w:t>
      </w:r>
    </w:p>
    <w:p w:rsidR="00FF0C51" w:rsidRPr="00F93F48" w:rsidRDefault="00FF0C51" w:rsidP="00FF0C51">
      <w:pPr>
        <w:pStyle w:val="Paragraphedeliste"/>
        <w:ind w:left="1080"/>
        <w:rPr>
          <w:rFonts w:asciiTheme="minorHAnsi" w:hAnsiTheme="minorHAnsi" w:cstheme="minorHAnsi"/>
          <w:b/>
          <w:sz w:val="22"/>
          <w:szCs w:val="22"/>
        </w:rPr>
      </w:pPr>
    </w:p>
    <w:p w:rsidR="000F0BA8" w:rsidRPr="00FF0C51" w:rsidRDefault="00FF0C51" w:rsidP="00FF0C51">
      <w:pPr>
        <w:pStyle w:val="Paragraphedeliste"/>
        <w:numPr>
          <w:ilvl w:val="0"/>
          <w:numId w:val="14"/>
        </w:numPr>
        <w:rPr>
          <w:rFonts w:asciiTheme="minorHAnsi" w:hAnsiTheme="minorHAnsi" w:cstheme="minorHAnsi"/>
          <w:b/>
          <w:sz w:val="22"/>
          <w:szCs w:val="22"/>
        </w:rPr>
      </w:pPr>
      <w:r w:rsidRPr="00FF0C51">
        <w:rPr>
          <w:rFonts w:asciiTheme="minorHAnsi" w:hAnsiTheme="minorHAnsi" w:cstheme="minorHAnsi"/>
          <w:b/>
          <w:sz w:val="22"/>
          <w:szCs w:val="22"/>
        </w:rPr>
        <w:t>L’investissement par secteurs</w:t>
      </w:r>
    </w:p>
    <w:p w:rsidR="00FF0C51" w:rsidRPr="00FF0C51" w:rsidRDefault="00FF0C51" w:rsidP="00FF0C51">
      <w:pPr>
        <w:pStyle w:val="Paragraphedeliste"/>
        <w:rPr>
          <w:rFonts w:asciiTheme="minorHAnsi" w:hAnsiTheme="minorHAnsi" w:cstheme="minorHAnsi"/>
          <w:b/>
          <w:sz w:val="22"/>
          <w:szCs w:val="22"/>
        </w:rPr>
      </w:pPr>
    </w:p>
    <w:p w:rsidR="00F93F48" w:rsidRDefault="004B4F76" w:rsidP="000F0BA8">
      <w:pPr>
        <w:rPr>
          <w:rFonts w:asciiTheme="minorHAnsi" w:hAnsiTheme="minorHAnsi" w:cstheme="minorHAnsi"/>
          <w:sz w:val="22"/>
          <w:szCs w:val="22"/>
        </w:rPr>
      </w:pPr>
      <w:r w:rsidRPr="004B4F76">
        <w:rPr>
          <w:noProof/>
        </w:rPr>
        <w:drawing>
          <wp:inline distT="0" distB="0" distL="0" distR="0">
            <wp:extent cx="6657974" cy="4038600"/>
            <wp:effectExtent l="19050" t="0" r="0" b="0"/>
            <wp:docPr id="209"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6665134" cy="4042943"/>
                    </a:xfrm>
                    <a:prstGeom prst="rect">
                      <a:avLst/>
                    </a:prstGeom>
                  </pic:spPr>
                </pic:pic>
              </a:graphicData>
            </a:graphic>
          </wp:inline>
        </w:drawing>
      </w:r>
    </w:p>
    <w:p w:rsidR="000F0BA8" w:rsidRDefault="000F0BA8" w:rsidP="00222208">
      <w:pPr>
        <w:rPr>
          <w:rFonts w:asciiTheme="minorHAnsi" w:hAnsiTheme="minorHAnsi" w:cstheme="minorHAnsi"/>
        </w:rPr>
      </w:pPr>
    </w:p>
    <w:p w:rsidR="004B4F76" w:rsidRDefault="00580B8C" w:rsidP="00397051">
      <w:pPr>
        <w:jc w:val="both"/>
        <w:rPr>
          <w:rFonts w:asciiTheme="minorHAnsi" w:hAnsiTheme="minorHAnsi" w:cstheme="minorHAnsi"/>
          <w:sz w:val="22"/>
          <w:szCs w:val="22"/>
        </w:rPr>
      </w:pPr>
      <w:r w:rsidRPr="00894126">
        <w:rPr>
          <w:rFonts w:asciiTheme="minorHAnsi" w:hAnsiTheme="minorHAnsi" w:cstheme="minorHAnsi"/>
          <w:b/>
          <w:sz w:val="22"/>
          <w:szCs w:val="22"/>
        </w:rPr>
        <w:t>Le premier secteur d’investissement</w:t>
      </w:r>
      <w:r w:rsidRPr="00E46643">
        <w:rPr>
          <w:rFonts w:asciiTheme="minorHAnsi" w:hAnsiTheme="minorHAnsi" w:cstheme="minorHAnsi"/>
          <w:sz w:val="22"/>
          <w:szCs w:val="22"/>
        </w:rPr>
        <w:t xml:space="preserve"> pour les</w:t>
      </w:r>
      <w:r w:rsidR="004B4F76">
        <w:rPr>
          <w:rFonts w:asciiTheme="minorHAnsi" w:hAnsiTheme="minorHAnsi" w:cstheme="minorHAnsi"/>
          <w:sz w:val="22"/>
          <w:szCs w:val="22"/>
        </w:rPr>
        <w:t xml:space="preserve"> communes mauritaniennes </w:t>
      </w:r>
      <w:r w:rsidR="004B4F76" w:rsidRPr="004B4F76">
        <w:rPr>
          <w:rFonts w:asciiTheme="minorHAnsi" w:hAnsiTheme="minorHAnsi" w:cstheme="minorHAnsi"/>
          <w:b/>
          <w:sz w:val="22"/>
          <w:szCs w:val="22"/>
        </w:rPr>
        <w:t>en 2012</w:t>
      </w:r>
      <w:r w:rsidRPr="004B4F76">
        <w:rPr>
          <w:rFonts w:asciiTheme="minorHAnsi" w:hAnsiTheme="minorHAnsi" w:cstheme="minorHAnsi"/>
          <w:b/>
          <w:sz w:val="22"/>
          <w:szCs w:val="22"/>
        </w:rPr>
        <w:t xml:space="preserve"> est celui de</w:t>
      </w:r>
      <w:r w:rsidR="004B4F76" w:rsidRPr="004B4F76">
        <w:rPr>
          <w:rFonts w:asciiTheme="minorHAnsi" w:hAnsiTheme="minorHAnsi" w:cstheme="minorHAnsi"/>
          <w:b/>
          <w:sz w:val="22"/>
          <w:szCs w:val="22"/>
        </w:rPr>
        <w:t>s bâtiments</w:t>
      </w:r>
      <w:r w:rsidR="004B4F76">
        <w:rPr>
          <w:rFonts w:asciiTheme="minorHAnsi" w:hAnsiTheme="minorHAnsi" w:cstheme="minorHAnsi"/>
          <w:sz w:val="22"/>
          <w:szCs w:val="22"/>
        </w:rPr>
        <w:t xml:space="preserve"> </w:t>
      </w:r>
      <w:r w:rsidR="004B4F76" w:rsidRPr="004B4F76">
        <w:rPr>
          <w:rFonts w:asciiTheme="minorHAnsi" w:hAnsiTheme="minorHAnsi" w:cstheme="minorHAnsi"/>
          <w:b/>
          <w:sz w:val="22"/>
          <w:szCs w:val="22"/>
        </w:rPr>
        <w:t>communaux</w:t>
      </w:r>
      <w:r w:rsidR="004B4F76">
        <w:rPr>
          <w:rFonts w:asciiTheme="minorHAnsi" w:hAnsiTheme="minorHAnsi" w:cstheme="minorHAnsi"/>
          <w:b/>
          <w:sz w:val="22"/>
          <w:szCs w:val="22"/>
        </w:rPr>
        <w:t xml:space="preserve"> (3</w:t>
      </w:r>
      <w:r w:rsidR="004B4F76" w:rsidRPr="004B4F76">
        <w:rPr>
          <w:rFonts w:asciiTheme="minorHAnsi" w:hAnsiTheme="minorHAnsi" w:cstheme="minorHAnsi"/>
          <w:b/>
          <w:sz w:val="22"/>
          <w:szCs w:val="22"/>
          <w:vertAlign w:val="superscript"/>
        </w:rPr>
        <w:t>ème</w:t>
      </w:r>
      <w:r w:rsidR="004B4F76">
        <w:rPr>
          <w:rFonts w:asciiTheme="minorHAnsi" w:hAnsiTheme="minorHAnsi" w:cstheme="minorHAnsi"/>
          <w:b/>
          <w:sz w:val="22"/>
          <w:szCs w:val="22"/>
        </w:rPr>
        <w:t xml:space="preserve"> en 2011)</w:t>
      </w:r>
      <w:r w:rsidR="004B4F76">
        <w:rPr>
          <w:rFonts w:asciiTheme="minorHAnsi" w:hAnsiTheme="minorHAnsi" w:cstheme="minorHAnsi"/>
          <w:sz w:val="22"/>
          <w:szCs w:val="22"/>
        </w:rPr>
        <w:t>. Il représente plus de 20% de l’investissement total.</w:t>
      </w:r>
    </w:p>
    <w:p w:rsidR="000F0BA8" w:rsidRDefault="00580B8C" w:rsidP="00397051">
      <w:pPr>
        <w:jc w:val="both"/>
        <w:rPr>
          <w:rFonts w:asciiTheme="minorHAnsi" w:hAnsiTheme="minorHAnsi" w:cstheme="minorHAnsi"/>
          <w:sz w:val="22"/>
          <w:szCs w:val="22"/>
        </w:rPr>
      </w:pPr>
      <w:r w:rsidRPr="00E46643">
        <w:rPr>
          <w:rFonts w:asciiTheme="minorHAnsi" w:hAnsiTheme="minorHAnsi" w:cstheme="minorHAnsi"/>
          <w:sz w:val="22"/>
          <w:szCs w:val="22"/>
        </w:rPr>
        <w:t xml:space="preserve">Il </w:t>
      </w:r>
      <w:r w:rsidR="004B4F76">
        <w:rPr>
          <w:rFonts w:asciiTheme="minorHAnsi" w:hAnsiTheme="minorHAnsi" w:cstheme="minorHAnsi"/>
          <w:sz w:val="22"/>
          <w:szCs w:val="22"/>
        </w:rPr>
        <w:t xml:space="preserve">détrône ainsi le secteur de </w:t>
      </w:r>
      <w:r w:rsidR="004B4F76" w:rsidRPr="004B4F76">
        <w:rPr>
          <w:rFonts w:asciiTheme="minorHAnsi" w:hAnsiTheme="minorHAnsi" w:cstheme="minorHAnsi"/>
          <w:b/>
          <w:sz w:val="22"/>
          <w:szCs w:val="22"/>
        </w:rPr>
        <w:t>l’éducation</w:t>
      </w:r>
      <w:r w:rsidR="004B4F76">
        <w:rPr>
          <w:rFonts w:asciiTheme="minorHAnsi" w:hAnsiTheme="minorHAnsi" w:cstheme="minorHAnsi"/>
          <w:sz w:val="22"/>
          <w:szCs w:val="22"/>
        </w:rPr>
        <w:t xml:space="preserve"> qui occupait en 2010 et 2012 la première place, relégué donc </w:t>
      </w:r>
      <w:r w:rsidR="004B4F76" w:rsidRPr="004B4F76">
        <w:rPr>
          <w:rFonts w:asciiTheme="minorHAnsi" w:hAnsiTheme="minorHAnsi" w:cstheme="minorHAnsi"/>
          <w:b/>
          <w:sz w:val="22"/>
          <w:szCs w:val="22"/>
        </w:rPr>
        <w:t>en deuxième position</w:t>
      </w:r>
      <w:r w:rsidR="004B4F76">
        <w:rPr>
          <w:rFonts w:asciiTheme="minorHAnsi" w:hAnsiTheme="minorHAnsi" w:cstheme="minorHAnsi"/>
          <w:sz w:val="22"/>
          <w:szCs w:val="22"/>
        </w:rPr>
        <w:t xml:space="preserve"> avec 19,78% des engagements</w:t>
      </w:r>
      <w:r w:rsidRPr="00E46643">
        <w:rPr>
          <w:rFonts w:asciiTheme="minorHAnsi" w:hAnsiTheme="minorHAnsi" w:cstheme="minorHAnsi"/>
          <w:sz w:val="22"/>
          <w:szCs w:val="22"/>
        </w:rPr>
        <w:t>.</w:t>
      </w:r>
    </w:p>
    <w:p w:rsidR="00894126" w:rsidRDefault="00580B8C" w:rsidP="00397051">
      <w:pPr>
        <w:jc w:val="both"/>
        <w:rPr>
          <w:rFonts w:asciiTheme="minorHAnsi" w:hAnsiTheme="minorHAnsi" w:cstheme="minorHAnsi"/>
          <w:sz w:val="22"/>
          <w:szCs w:val="22"/>
        </w:rPr>
      </w:pPr>
      <w:r w:rsidRPr="00E46643">
        <w:rPr>
          <w:rFonts w:asciiTheme="minorHAnsi" w:hAnsiTheme="minorHAnsi" w:cstheme="minorHAnsi"/>
          <w:sz w:val="22"/>
          <w:szCs w:val="22"/>
        </w:rPr>
        <w:t>Le secteur de</w:t>
      </w:r>
      <w:r w:rsidR="004B4F76">
        <w:rPr>
          <w:rFonts w:asciiTheme="minorHAnsi" w:hAnsiTheme="minorHAnsi" w:cstheme="minorHAnsi"/>
          <w:sz w:val="22"/>
          <w:szCs w:val="22"/>
        </w:rPr>
        <w:t xml:space="preserve"> </w:t>
      </w:r>
      <w:r w:rsidR="004B4F76" w:rsidRPr="004B4F76">
        <w:rPr>
          <w:rFonts w:asciiTheme="minorHAnsi" w:hAnsiTheme="minorHAnsi" w:cstheme="minorHAnsi"/>
          <w:b/>
          <w:sz w:val="22"/>
          <w:szCs w:val="22"/>
        </w:rPr>
        <w:t>l’hydraulique</w:t>
      </w:r>
      <w:r w:rsidR="004B4F76">
        <w:rPr>
          <w:rFonts w:asciiTheme="minorHAnsi" w:hAnsiTheme="minorHAnsi" w:cstheme="minorHAnsi"/>
          <w:sz w:val="22"/>
          <w:szCs w:val="22"/>
        </w:rPr>
        <w:t xml:space="preserve"> </w:t>
      </w:r>
      <w:r w:rsidRPr="00E46643">
        <w:rPr>
          <w:rFonts w:asciiTheme="minorHAnsi" w:hAnsiTheme="minorHAnsi" w:cstheme="minorHAnsi"/>
          <w:sz w:val="22"/>
          <w:szCs w:val="22"/>
        </w:rPr>
        <w:t xml:space="preserve">arrive en </w:t>
      </w:r>
      <w:r w:rsidRPr="00894126">
        <w:rPr>
          <w:rFonts w:asciiTheme="minorHAnsi" w:hAnsiTheme="minorHAnsi" w:cstheme="minorHAnsi"/>
          <w:b/>
          <w:sz w:val="22"/>
          <w:szCs w:val="22"/>
        </w:rPr>
        <w:t>troisième position</w:t>
      </w:r>
      <w:r w:rsidRPr="00E46643">
        <w:rPr>
          <w:rFonts w:asciiTheme="minorHAnsi" w:hAnsiTheme="minorHAnsi" w:cstheme="minorHAnsi"/>
          <w:sz w:val="22"/>
          <w:szCs w:val="22"/>
        </w:rPr>
        <w:t xml:space="preserve"> (</w:t>
      </w:r>
      <w:r w:rsidR="004B4F76">
        <w:rPr>
          <w:rFonts w:asciiTheme="minorHAnsi" w:hAnsiTheme="minorHAnsi" w:cstheme="minorHAnsi"/>
          <w:sz w:val="22"/>
          <w:szCs w:val="22"/>
        </w:rPr>
        <w:t>2</w:t>
      </w:r>
      <w:r w:rsidRPr="00E46643">
        <w:rPr>
          <w:rFonts w:asciiTheme="minorHAnsi" w:hAnsiTheme="minorHAnsi" w:cstheme="minorHAnsi"/>
          <w:sz w:val="22"/>
          <w:szCs w:val="22"/>
          <w:vertAlign w:val="superscript"/>
        </w:rPr>
        <w:t>ème</w:t>
      </w:r>
      <w:r w:rsidR="004B4F76">
        <w:rPr>
          <w:rFonts w:asciiTheme="minorHAnsi" w:hAnsiTheme="minorHAnsi" w:cstheme="minorHAnsi"/>
          <w:sz w:val="22"/>
          <w:szCs w:val="22"/>
        </w:rPr>
        <w:t xml:space="preserve"> en 2011) avec pratiquement 18,76</w:t>
      </w:r>
      <w:r w:rsidRPr="00E46643">
        <w:rPr>
          <w:rFonts w:asciiTheme="minorHAnsi" w:hAnsiTheme="minorHAnsi" w:cstheme="minorHAnsi"/>
          <w:sz w:val="22"/>
          <w:szCs w:val="22"/>
        </w:rPr>
        <w:t xml:space="preserve">% de l’investissement total. </w:t>
      </w:r>
    </w:p>
    <w:p w:rsidR="00894126" w:rsidRDefault="00894126" w:rsidP="00397051">
      <w:pPr>
        <w:jc w:val="both"/>
        <w:rPr>
          <w:rFonts w:asciiTheme="minorHAnsi" w:hAnsiTheme="minorHAnsi" w:cstheme="minorHAnsi"/>
          <w:sz w:val="22"/>
          <w:szCs w:val="22"/>
        </w:rPr>
      </w:pPr>
    </w:p>
    <w:p w:rsidR="00580B8C" w:rsidRPr="00E46643" w:rsidRDefault="00580B8C" w:rsidP="00397051">
      <w:pPr>
        <w:jc w:val="both"/>
        <w:rPr>
          <w:rFonts w:asciiTheme="minorHAnsi" w:hAnsiTheme="minorHAnsi" w:cstheme="minorHAnsi"/>
          <w:sz w:val="22"/>
          <w:szCs w:val="22"/>
        </w:rPr>
      </w:pPr>
      <w:r w:rsidRPr="00E46643">
        <w:rPr>
          <w:rFonts w:asciiTheme="minorHAnsi" w:hAnsiTheme="minorHAnsi" w:cstheme="minorHAnsi"/>
          <w:sz w:val="22"/>
          <w:szCs w:val="22"/>
        </w:rPr>
        <w:t>En quatrième position on retrouve le se</w:t>
      </w:r>
      <w:r w:rsidR="004B4F76">
        <w:rPr>
          <w:rFonts w:asciiTheme="minorHAnsi" w:hAnsiTheme="minorHAnsi" w:cstheme="minorHAnsi"/>
          <w:sz w:val="22"/>
          <w:szCs w:val="22"/>
        </w:rPr>
        <w:t>cteur de l’assainissement</w:t>
      </w:r>
      <w:r w:rsidRPr="00E46643">
        <w:rPr>
          <w:rFonts w:asciiTheme="minorHAnsi" w:hAnsiTheme="minorHAnsi" w:cstheme="minorHAnsi"/>
          <w:sz w:val="22"/>
          <w:szCs w:val="22"/>
        </w:rPr>
        <w:t xml:space="preserve"> (</w:t>
      </w:r>
      <w:r w:rsidR="004B4F76">
        <w:rPr>
          <w:rFonts w:asciiTheme="minorHAnsi" w:hAnsiTheme="minorHAnsi" w:cstheme="minorHAnsi"/>
          <w:sz w:val="22"/>
          <w:szCs w:val="22"/>
        </w:rPr>
        <w:t>5</w:t>
      </w:r>
      <w:r w:rsidRPr="00E46643">
        <w:rPr>
          <w:rFonts w:asciiTheme="minorHAnsi" w:hAnsiTheme="minorHAnsi" w:cstheme="minorHAnsi"/>
          <w:sz w:val="22"/>
          <w:szCs w:val="22"/>
          <w:vertAlign w:val="superscript"/>
        </w:rPr>
        <w:t>ème</w:t>
      </w:r>
      <w:r w:rsidR="004B4F76">
        <w:rPr>
          <w:rFonts w:asciiTheme="minorHAnsi" w:hAnsiTheme="minorHAnsi" w:cstheme="minorHAnsi"/>
          <w:sz w:val="22"/>
          <w:szCs w:val="22"/>
        </w:rPr>
        <w:t xml:space="preserve"> en 2011) avec 6,82</w:t>
      </w:r>
      <w:r w:rsidRPr="00E46643">
        <w:rPr>
          <w:rFonts w:asciiTheme="minorHAnsi" w:hAnsiTheme="minorHAnsi" w:cstheme="minorHAnsi"/>
          <w:sz w:val="22"/>
          <w:szCs w:val="22"/>
        </w:rPr>
        <w:t xml:space="preserve"> % de l’investissem</w:t>
      </w:r>
      <w:r w:rsidR="004B4F76">
        <w:rPr>
          <w:rFonts w:asciiTheme="minorHAnsi" w:hAnsiTheme="minorHAnsi" w:cstheme="minorHAnsi"/>
          <w:sz w:val="22"/>
          <w:szCs w:val="22"/>
        </w:rPr>
        <w:t>ent total</w:t>
      </w:r>
      <w:r w:rsidRPr="00E46643">
        <w:rPr>
          <w:rFonts w:asciiTheme="minorHAnsi" w:hAnsiTheme="minorHAnsi" w:cstheme="minorHAnsi"/>
          <w:sz w:val="22"/>
          <w:szCs w:val="22"/>
        </w:rPr>
        <w:t>.</w:t>
      </w:r>
    </w:p>
    <w:p w:rsidR="000A239E" w:rsidRPr="00E46643" w:rsidRDefault="000A239E" w:rsidP="00397051">
      <w:pPr>
        <w:jc w:val="both"/>
        <w:rPr>
          <w:rFonts w:asciiTheme="minorHAnsi" w:hAnsiTheme="minorHAnsi" w:cstheme="minorHAnsi"/>
          <w:sz w:val="22"/>
          <w:szCs w:val="22"/>
        </w:rPr>
      </w:pPr>
      <w:r w:rsidRPr="00E46643">
        <w:rPr>
          <w:rFonts w:asciiTheme="minorHAnsi" w:hAnsiTheme="minorHAnsi" w:cstheme="minorHAnsi"/>
          <w:sz w:val="22"/>
          <w:szCs w:val="22"/>
        </w:rPr>
        <w:t>Enfi</w:t>
      </w:r>
      <w:r w:rsidR="004B4F76">
        <w:rPr>
          <w:rFonts w:asciiTheme="minorHAnsi" w:hAnsiTheme="minorHAnsi" w:cstheme="minorHAnsi"/>
          <w:sz w:val="22"/>
          <w:szCs w:val="22"/>
        </w:rPr>
        <w:t>n</w:t>
      </w:r>
      <w:r w:rsidR="009B3D3C">
        <w:rPr>
          <w:rFonts w:asciiTheme="minorHAnsi" w:hAnsiTheme="minorHAnsi" w:cstheme="minorHAnsi"/>
          <w:sz w:val="22"/>
          <w:szCs w:val="22"/>
        </w:rPr>
        <w:t>,</w:t>
      </w:r>
      <w:r w:rsidR="004B4F76">
        <w:rPr>
          <w:rFonts w:asciiTheme="minorHAnsi" w:hAnsiTheme="minorHAnsi" w:cstheme="minorHAnsi"/>
          <w:sz w:val="22"/>
          <w:szCs w:val="22"/>
        </w:rPr>
        <w:t xml:space="preserve"> le secteur de l’équipement des mairies arrive </w:t>
      </w:r>
      <w:r w:rsidRPr="00E46643">
        <w:rPr>
          <w:rFonts w:asciiTheme="minorHAnsi" w:hAnsiTheme="minorHAnsi" w:cstheme="minorHAnsi"/>
          <w:sz w:val="22"/>
          <w:szCs w:val="22"/>
        </w:rPr>
        <w:t>en 5</w:t>
      </w:r>
      <w:r w:rsidRPr="00E46643">
        <w:rPr>
          <w:rFonts w:asciiTheme="minorHAnsi" w:hAnsiTheme="minorHAnsi" w:cstheme="minorHAnsi"/>
          <w:sz w:val="22"/>
          <w:szCs w:val="22"/>
          <w:vertAlign w:val="superscript"/>
        </w:rPr>
        <w:t>ème</w:t>
      </w:r>
      <w:r w:rsidR="004B4F76">
        <w:rPr>
          <w:rFonts w:asciiTheme="minorHAnsi" w:hAnsiTheme="minorHAnsi" w:cstheme="minorHAnsi"/>
          <w:sz w:val="22"/>
          <w:szCs w:val="22"/>
        </w:rPr>
        <w:t xml:space="preserve"> position (4</w:t>
      </w:r>
      <w:r w:rsidR="004B4F76" w:rsidRPr="004B4F76">
        <w:rPr>
          <w:rFonts w:asciiTheme="minorHAnsi" w:hAnsiTheme="minorHAnsi" w:cstheme="minorHAnsi"/>
          <w:sz w:val="22"/>
          <w:szCs w:val="22"/>
          <w:vertAlign w:val="superscript"/>
        </w:rPr>
        <w:t>ème</w:t>
      </w:r>
      <w:r w:rsidR="004B4F76">
        <w:rPr>
          <w:rFonts w:asciiTheme="minorHAnsi" w:hAnsiTheme="minorHAnsi" w:cstheme="minorHAnsi"/>
          <w:sz w:val="22"/>
          <w:szCs w:val="22"/>
        </w:rPr>
        <w:t xml:space="preserve"> en 2011) avec 6,53</w:t>
      </w:r>
      <w:r w:rsidRPr="00E46643">
        <w:rPr>
          <w:rFonts w:asciiTheme="minorHAnsi" w:hAnsiTheme="minorHAnsi" w:cstheme="minorHAnsi"/>
          <w:sz w:val="22"/>
          <w:szCs w:val="22"/>
        </w:rPr>
        <w:t>% de l’investisse</w:t>
      </w:r>
      <w:r w:rsidR="004B4F76">
        <w:rPr>
          <w:rFonts w:asciiTheme="minorHAnsi" w:hAnsiTheme="minorHAnsi" w:cstheme="minorHAnsi"/>
          <w:sz w:val="22"/>
          <w:szCs w:val="22"/>
        </w:rPr>
        <w:t>ment total</w:t>
      </w:r>
      <w:r w:rsidRPr="00E46643">
        <w:rPr>
          <w:rFonts w:asciiTheme="minorHAnsi" w:hAnsiTheme="minorHAnsi" w:cstheme="minorHAnsi"/>
          <w:sz w:val="22"/>
          <w:szCs w:val="22"/>
        </w:rPr>
        <w:t>.</w:t>
      </w:r>
    </w:p>
    <w:p w:rsidR="000A239E" w:rsidRPr="00E46643" w:rsidRDefault="000A239E" w:rsidP="00397051">
      <w:pPr>
        <w:jc w:val="both"/>
        <w:rPr>
          <w:rFonts w:asciiTheme="minorHAnsi" w:hAnsiTheme="minorHAnsi" w:cstheme="minorHAnsi"/>
          <w:sz w:val="22"/>
          <w:szCs w:val="22"/>
        </w:rPr>
      </w:pPr>
    </w:p>
    <w:p w:rsidR="00397051" w:rsidRPr="00E46643" w:rsidRDefault="000A239E" w:rsidP="00397051">
      <w:pPr>
        <w:jc w:val="both"/>
        <w:rPr>
          <w:rFonts w:asciiTheme="minorHAnsi" w:hAnsiTheme="minorHAnsi" w:cstheme="minorHAnsi"/>
          <w:sz w:val="22"/>
          <w:szCs w:val="22"/>
        </w:rPr>
      </w:pPr>
      <w:r w:rsidRPr="00E46643">
        <w:rPr>
          <w:rFonts w:asciiTheme="minorHAnsi" w:hAnsiTheme="minorHAnsi" w:cstheme="minorHAnsi"/>
          <w:sz w:val="22"/>
          <w:szCs w:val="22"/>
        </w:rPr>
        <w:t>L</w:t>
      </w:r>
      <w:r w:rsidR="004B4F76">
        <w:rPr>
          <w:rFonts w:asciiTheme="minorHAnsi" w:hAnsiTheme="minorHAnsi" w:cstheme="minorHAnsi"/>
          <w:sz w:val="22"/>
          <w:szCs w:val="22"/>
        </w:rPr>
        <w:t xml:space="preserve">’investissement communal en 2012 est donc </w:t>
      </w:r>
      <w:r w:rsidR="00680C13">
        <w:rPr>
          <w:rFonts w:asciiTheme="minorHAnsi" w:hAnsiTheme="minorHAnsi" w:cstheme="minorHAnsi"/>
          <w:sz w:val="22"/>
          <w:szCs w:val="22"/>
        </w:rPr>
        <w:t>similaire à celui de 2011</w:t>
      </w:r>
      <w:r w:rsidR="00C4777B">
        <w:rPr>
          <w:rFonts w:asciiTheme="minorHAnsi" w:hAnsiTheme="minorHAnsi" w:cstheme="minorHAnsi"/>
          <w:sz w:val="22"/>
          <w:szCs w:val="22"/>
        </w:rPr>
        <w:t xml:space="preserve"> avec quelques permutations en raison de quelques dixièmes de point d’écart</w:t>
      </w:r>
      <w:r w:rsidRPr="00E46643">
        <w:rPr>
          <w:rFonts w:asciiTheme="minorHAnsi" w:hAnsiTheme="minorHAnsi" w:cstheme="minorHAnsi"/>
          <w:sz w:val="22"/>
          <w:szCs w:val="22"/>
        </w:rPr>
        <w:t xml:space="preserve">. </w:t>
      </w:r>
      <w:r w:rsidRPr="00894126">
        <w:rPr>
          <w:rFonts w:asciiTheme="minorHAnsi" w:hAnsiTheme="minorHAnsi" w:cstheme="minorHAnsi"/>
          <w:b/>
          <w:sz w:val="22"/>
          <w:szCs w:val="22"/>
        </w:rPr>
        <w:t xml:space="preserve">Les 5 premiers secteurs </w:t>
      </w:r>
      <w:r w:rsidR="00C4777B">
        <w:rPr>
          <w:rFonts w:asciiTheme="minorHAnsi" w:hAnsiTheme="minorHAnsi" w:cstheme="minorHAnsi"/>
          <w:b/>
          <w:sz w:val="22"/>
          <w:szCs w:val="22"/>
        </w:rPr>
        <w:t xml:space="preserve">qui représentent 73 </w:t>
      </w:r>
      <w:r w:rsidRPr="00894126">
        <w:rPr>
          <w:rFonts w:asciiTheme="minorHAnsi" w:hAnsiTheme="minorHAnsi" w:cstheme="minorHAnsi"/>
          <w:b/>
          <w:sz w:val="22"/>
          <w:szCs w:val="22"/>
        </w:rPr>
        <w:t>% de l’investissement total</w:t>
      </w:r>
      <w:r w:rsidR="00C4777B">
        <w:rPr>
          <w:rFonts w:asciiTheme="minorHAnsi" w:hAnsiTheme="minorHAnsi" w:cstheme="minorHAnsi"/>
          <w:sz w:val="22"/>
          <w:szCs w:val="22"/>
        </w:rPr>
        <w:t xml:space="preserve"> sont les mêmes (près de 80% en 2011</w:t>
      </w:r>
      <w:r w:rsidRPr="00E46643">
        <w:rPr>
          <w:rFonts w:asciiTheme="minorHAnsi" w:hAnsiTheme="minorHAnsi" w:cstheme="minorHAnsi"/>
          <w:sz w:val="22"/>
          <w:szCs w:val="22"/>
        </w:rPr>
        <w:t>). On note</w:t>
      </w:r>
      <w:r w:rsidR="006B0C9A">
        <w:rPr>
          <w:rFonts w:asciiTheme="minorHAnsi" w:hAnsiTheme="minorHAnsi" w:cstheme="minorHAnsi"/>
          <w:sz w:val="22"/>
          <w:szCs w:val="22"/>
        </w:rPr>
        <w:t>ra pour mémoire</w:t>
      </w:r>
      <w:r w:rsidRPr="00E46643">
        <w:rPr>
          <w:rFonts w:asciiTheme="minorHAnsi" w:hAnsiTheme="minorHAnsi" w:cstheme="minorHAnsi"/>
          <w:sz w:val="22"/>
          <w:szCs w:val="22"/>
        </w:rPr>
        <w:t xml:space="preserve"> le </w:t>
      </w:r>
      <w:r w:rsidR="00A108CB" w:rsidRPr="00E46643">
        <w:rPr>
          <w:rFonts w:asciiTheme="minorHAnsi" w:hAnsiTheme="minorHAnsi" w:cstheme="minorHAnsi"/>
          <w:sz w:val="22"/>
          <w:szCs w:val="22"/>
        </w:rPr>
        <w:t xml:space="preserve">passage </w:t>
      </w:r>
      <w:r w:rsidRPr="00E46643">
        <w:rPr>
          <w:rFonts w:asciiTheme="minorHAnsi" w:hAnsiTheme="minorHAnsi" w:cstheme="minorHAnsi"/>
          <w:sz w:val="22"/>
          <w:szCs w:val="22"/>
        </w:rPr>
        <w:t xml:space="preserve">des bâtiments </w:t>
      </w:r>
      <w:r w:rsidR="00680C13">
        <w:rPr>
          <w:rFonts w:asciiTheme="minorHAnsi" w:hAnsiTheme="minorHAnsi" w:cstheme="minorHAnsi"/>
          <w:sz w:val="22"/>
          <w:szCs w:val="22"/>
        </w:rPr>
        <w:t xml:space="preserve">communaux </w:t>
      </w:r>
      <w:r w:rsidR="006B0C9A">
        <w:rPr>
          <w:rFonts w:asciiTheme="minorHAnsi" w:hAnsiTheme="minorHAnsi" w:cstheme="minorHAnsi"/>
          <w:sz w:val="22"/>
          <w:szCs w:val="22"/>
        </w:rPr>
        <w:t>devant l’éducation et l’assainissement devant l’équipement des m</w:t>
      </w:r>
      <w:r w:rsidRPr="00E46643">
        <w:rPr>
          <w:rFonts w:asciiTheme="minorHAnsi" w:hAnsiTheme="minorHAnsi" w:cstheme="minorHAnsi"/>
          <w:sz w:val="22"/>
          <w:szCs w:val="22"/>
        </w:rPr>
        <w:t>airies.</w:t>
      </w:r>
      <w:r w:rsidR="006B0C9A">
        <w:rPr>
          <w:rFonts w:asciiTheme="minorHAnsi" w:hAnsiTheme="minorHAnsi" w:cstheme="minorHAnsi"/>
          <w:sz w:val="22"/>
          <w:szCs w:val="22"/>
        </w:rPr>
        <w:t xml:space="preserve"> Comme indiqué l’année dernière p</w:t>
      </w:r>
      <w:r w:rsidR="00397051" w:rsidRPr="00E46643">
        <w:rPr>
          <w:rFonts w:asciiTheme="minorHAnsi" w:hAnsiTheme="minorHAnsi" w:cstheme="minorHAnsi"/>
          <w:sz w:val="22"/>
          <w:szCs w:val="22"/>
        </w:rPr>
        <w:t xml:space="preserve">our ce dernier </w:t>
      </w:r>
      <w:r w:rsidR="006B0C9A">
        <w:rPr>
          <w:rFonts w:asciiTheme="minorHAnsi" w:hAnsiTheme="minorHAnsi" w:cstheme="minorHAnsi"/>
          <w:sz w:val="22"/>
          <w:szCs w:val="22"/>
        </w:rPr>
        <w:t xml:space="preserve">secteur, </w:t>
      </w:r>
      <w:r w:rsidR="00397051" w:rsidRPr="00E46643">
        <w:rPr>
          <w:rFonts w:asciiTheme="minorHAnsi" w:hAnsiTheme="minorHAnsi" w:cstheme="minorHAnsi"/>
          <w:sz w:val="22"/>
          <w:szCs w:val="22"/>
        </w:rPr>
        <w:t>on s’aperçoit néanmoins en étudiant l</w:t>
      </w:r>
      <w:r w:rsidR="006B0C9A">
        <w:rPr>
          <w:rFonts w:asciiTheme="minorHAnsi" w:hAnsiTheme="minorHAnsi" w:cstheme="minorHAnsi"/>
          <w:sz w:val="22"/>
          <w:szCs w:val="22"/>
        </w:rPr>
        <w:t>e détail des rapports communaux</w:t>
      </w:r>
      <w:r w:rsidR="00397051" w:rsidRPr="00E46643">
        <w:rPr>
          <w:rFonts w:asciiTheme="minorHAnsi" w:hAnsiTheme="minorHAnsi" w:cstheme="minorHAnsi"/>
          <w:sz w:val="22"/>
          <w:szCs w:val="22"/>
        </w:rPr>
        <w:t xml:space="preserve"> que certain</w:t>
      </w:r>
      <w:r w:rsidR="00680C13">
        <w:rPr>
          <w:rFonts w:asciiTheme="minorHAnsi" w:hAnsiTheme="minorHAnsi" w:cstheme="minorHAnsi"/>
          <w:sz w:val="22"/>
          <w:szCs w:val="22"/>
        </w:rPr>
        <w:t>s</w:t>
      </w:r>
      <w:r w:rsidR="00397051" w:rsidRPr="00E46643">
        <w:rPr>
          <w:rFonts w:asciiTheme="minorHAnsi" w:hAnsiTheme="minorHAnsi" w:cstheme="minorHAnsi"/>
          <w:sz w:val="22"/>
          <w:szCs w:val="22"/>
        </w:rPr>
        <w:t xml:space="preserve"> achats de véhicule ont été classé</w:t>
      </w:r>
      <w:r w:rsidR="00F447FC">
        <w:rPr>
          <w:rFonts w:asciiTheme="minorHAnsi" w:hAnsiTheme="minorHAnsi" w:cstheme="minorHAnsi"/>
          <w:sz w:val="22"/>
          <w:szCs w:val="22"/>
        </w:rPr>
        <w:t>s</w:t>
      </w:r>
      <w:r w:rsidR="00397051" w:rsidRPr="00E46643">
        <w:rPr>
          <w:rFonts w:asciiTheme="minorHAnsi" w:hAnsiTheme="minorHAnsi" w:cstheme="minorHAnsi"/>
          <w:sz w:val="22"/>
          <w:szCs w:val="22"/>
        </w:rPr>
        <w:t xml:space="preserve"> dans le secteur</w:t>
      </w:r>
      <w:r w:rsidR="006B0C9A">
        <w:rPr>
          <w:rFonts w:asciiTheme="minorHAnsi" w:hAnsiTheme="minorHAnsi" w:cstheme="minorHAnsi"/>
          <w:sz w:val="22"/>
          <w:szCs w:val="22"/>
        </w:rPr>
        <w:t xml:space="preserve"> </w:t>
      </w:r>
      <w:r w:rsidR="00680C13">
        <w:rPr>
          <w:rFonts w:asciiTheme="minorHAnsi" w:hAnsiTheme="minorHAnsi" w:cstheme="minorHAnsi"/>
          <w:sz w:val="22"/>
          <w:szCs w:val="22"/>
        </w:rPr>
        <w:t>« </w:t>
      </w:r>
      <w:r w:rsidR="00397051" w:rsidRPr="00E46643">
        <w:rPr>
          <w:rFonts w:asciiTheme="minorHAnsi" w:hAnsiTheme="minorHAnsi" w:cstheme="minorHAnsi"/>
          <w:sz w:val="22"/>
          <w:szCs w:val="22"/>
        </w:rPr>
        <w:t>transport</w:t>
      </w:r>
      <w:r w:rsidR="00680C13">
        <w:rPr>
          <w:rFonts w:asciiTheme="minorHAnsi" w:hAnsiTheme="minorHAnsi" w:cstheme="minorHAnsi"/>
          <w:sz w:val="22"/>
          <w:szCs w:val="22"/>
        </w:rPr>
        <w:t>s »</w:t>
      </w:r>
      <w:r w:rsidR="00397051" w:rsidRPr="00E46643">
        <w:rPr>
          <w:rFonts w:asciiTheme="minorHAnsi" w:hAnsiTheme="minorHAnsi" w:cstheme="minorHAnsi"/>
          <w:sz w:val="22"/>
          <w:szCs w:val="22"/>
        </w:rPr>
        <w:t xml:space="preserve"> alors qu’il s’agit bel e</w:t>
      </w:r>
      <w:r w:rsidR="006B0C9A">
        <w:rPr>
          <w:rFonts w:asciiTheme="minorHAnsi" w:hAnsiTheme="minorHAnsi" w:cstheme="minorHAnsi"/>
          <w:sz w:val="22"/>
          <w:szCs w:val="22"/>
        </w:rPr>
        <w:t>t bien d’un équipement pour la m</w:t>
      </w:r>
      <w:r w:rsidR="00397051" w:rsidRPr="00E46643">
        <w:rPr>
          <w:rFonts w:asciiTheme="minorHAnsi" w:hAnsiTheme="minorHAnsi" w:cstheme="minorHAnsi"/>
          <w:sz w:val="22"/>
          <w:szCs w:val="22"/>
        </w:rPr>
        <w:t>airie</w:t>
      </w:r>
      <w:r w:rsidR="00F447FC">
        <w:rPr>
          <w:rFonts w:asciiTheme="minorHAnsi" w:hAnsiTheme="minorHAnsi" w:cstheme="minorHAnsi"/>
          <w:sz w:val="22"/>
          <w:szCs w:val="22"/>
        </w:rPr>
        <w:t xml:space="preserve"> (par exemple les investissements de la </w:t>
      </w:r>
      <w:proofErr w:type="spellStart"/>
      <w:r w:rsidR="001246CD">
        <w:rPr>
          <w:rFonts w:asciiTheme="minorHAnsi" w:hAnsiTheme="minorHAnsi" w:cstheme="minorHAnsi"/>
          <w:sz w:val="22"/>
          <w:szCs w:val="22"/>
        </w:rPr>
        <w:t>Moughataa</w:t>
      </w:r>
      <w:proofErr w:type="spellEnd"/>
      <w:r w:rsidR="00F447FC">
        <w:rPr>
          <w:rFonts w:asciiTheme="minorHAnsi" w:hAnsiTheme="minorHAnsi" w:cstheme="minorHAnsi"/>
          <w:sz w:val="22"/>
          <w:szCs w:val="22"/>
        </w:rPr>
        <w:t xml:space="preserve"> d’Atar ou d’</w:t>
      </w:r>
      <w:proofErr w:type="spellStart"/>
      <w:r w:rsidR="00F447FC">
        <w:rPr>
          <w:rFonts w:asciiTheme="minorHAnsi" w:hAnsiTheme="minorHAnsi" w:cstheme="minorHAnsi"/>
          <w:sz w:val="22"/>
          <w:szCs w:val="22"/>
        </w:rPr>
        <w:t>Ouad</w:t>
      </w:r>
      <w:proofErr w:type="spellEnd"/>
      <w:r w:rsidR="00F447FC">
        <w:rPr>
          <w:rFonts w:asciiTheme="minorHAnsi" w:hAnsiTheme="minorHAnsi" w:cstheme="minorHAnsi"/>
          <w:sz w:val="22"/>
          <w:szCs w:val="22"/>
        </w:rPr>
        <w:t xml:space="preserve"> Naga …)</w:t>
      </w:r>
      <w:r w:rsidR="00397051" w:rsidRPr="00E46643">
        <w:rPr>
          <w:rFonts w:asciiTheme="minorHAnsi" w:hAnsiTheme="minorHAnsi" w:cstheme="minorHAnsi"/>
          <w:sz w:val="22"/>
          <w:szCs w:val="22"/>
        </w:rPr>
        <w:t xml:space="preserve">. Le secteur équipement Mairie est donc </w:t>
      </w:r>
      <w:r w:rsidR="00680C13">
        <w:rPr>
          <w:rFonts w:asciiTheme="minorHAnsi" w:hAnsiTheme="minorHAnsi" w:cstheme="minorHAnsi"/>
          <w:sz w:val="22"/>
          <w:szCs w:val="22"/>
        </w:rPr>
        <w:t>certainement un peu sous-</w:t>
      </w:r>
      <w:r w:rsidR="00F447FC">
        <w:rPr>
          <w:rFonts w:asciiTheme="minorHAnsi" w:hAnsiTheme="minorHAnsi" w:cstheme="minorHAnsi"/>
          <w:sz w:val="22"/>
          <w:szCs w:val="22"/>
        </w:rPr>
        <w:t>évalué et regagnerait aisément sa 4</w:t>
      </w:r>
      <w:r w:rsidR="00F447FC" w:rsidRPr="00F447FC">
        <w:rPr>
          <w:rFonts w:asciiTheme="minorHAnsi" w:hAnsiTheme="minorHAnsi" w:cstheme="minorHAnsi"/>
          <w:sz w:val="22"/>
          <w:szCs w:val="22"/>
          <w:vertAlign w:val="superscript"/>
        </w:rPr>
        <w:t>ème</w:t>
      </w:r>
      <w:r w:rsidR="00F447FC">
        <w:rPr>
          <w:rFonts w:asciiTheme="minorHAnsi" w:hAnsiTheme="minorHAnsi" w:cstheme="minorHAnsi"/>
          <w:sz w:val="22"/>
          <w:szCs w:val="22"/>
        </w:rPr>
        <w:t xml:space="preserve"> place en cas de retraitement des données.</w:t>
      </w:r>
    </w:p>
    <w:p w:rsidR="00397051" w:rsidRDefault="00397051" w:rsidP="00222208">
      <w:pPr>
        <w:rPr>
          <w:rFonts w:asciiTheme="minorHAnsi" w:hAnsiTheme="minorHAnsi" w:cstheme="minorHAnsi"/>
        </w:rPr>
      </w:pPr>
    </w:p>
    <w:p w:rsidR="00397051" w:rsidRDefault="00A108CB" w:rsidP="003E2E58">
      <w:pPr>
        <w:jc w:val="both"/>
        <w:rPr>
          <w:rFonts w:asciiTheme="minorHAnsi" w:hAnsiTheme="minorHAnsi" w:cstheme="minorHAnsi"/>
          <w:sz w:val="22"/>
          <w:szCs w:val="22"/>
        </w:rPr>
      </w:pPr>
      <w:r w:rsidRPr="00E46643">
        <w:rPr>
          <w:rFonts w:asciiTheme="minorHAnsi" w:hAnsiTheme="minorHAnsi" w:cstheme="minorHAnsi"/>
          <w:sz w:val="22"/>
          <w:szCs w:val="22"/>
        </w:rPr>
        <w:t>On notera enfin que</w:t>
      </w:r>
      <w:r w:rsidR="00F447FC">
        <w:rPr>
          <w:rFonts w:asciiTheme="minorHAnsi" w:hAnsiTheme="minorHAnsi" w:cstheme="minorHAnsi"/>
          <w:sz w:val="22"/>
          <w:szCs w:val="22"/>
        </w:rPr>
        <w:t xml:space="preserve"> </w:t>
      </w:r>
      <w:r w:rsidR="00894126">
        <w:rPr>
          <w:rFonts w:asciiTheme="minorHAnsi" w:hAnsiTheme="minorHAnsi" w:cstheme="minorHAnsi"/>
          <w:sz w:val="22"/>
          <w:szCs w:val="22"/>
        </w:rPr>
        <w:t>les secteurs secondaires </w:t>
      </w:r>
      <w:r w:rsidR="003E2E58" w:rsidRPr="00E46643">
        <w:rPr>
          <w:rFonts w:asciiTheme="minorHAnsi" w:hAnsiTheme="minorHAnsi" w:cstheme="minorHAnsi"/>
          <w:sz w:val="22"/>
          <w:szCs w:val="22"/>
        </w:rPr>
        <w:t xml:space="preserve"> </w:t>
      </w:r>
      <w:r w:rsidR="00894126">
        <w:rPr>
          <w:rFonts w:asciiTheme="minorHAnsi" w:hAnsiTheme="minorHAnsi" w:cstheme="minorHAnsi"/>
          <w:sz w:val="22"/>
          <w:szCs w:val="22"/>
        </w:rPr>
        <w:t>(</w:t>
      </w:r>
      <w:r w:rsidRPr="00E46643">
        <w:rPr>
          <w:rFonts w:asciiTheme="minorHAnsi" w:hAnsiTheme="minorHAnsi" w:cstheme="minorHAnsi"/>
          <w:sz w:val="22"/>
          <w:szCs w:val="22"/>
        </w:rPr>
        <w:t xml:space="preserve">ils représentent ensemble </w:t>
      </w:r>
      <w:r w:rsidR="00F447FC">
        <w:rPr>
          <w:rFonts w:asciiTheme="minorHAnsi" w:hAnsiTheme="minorHAnsi" w:cstheme="minorHAnsi"/>
          <w:sz w:val="22"/>
          <w:szCs w:val="22"/>
        </w:rPr>
        <w:t xml:space="preserve">un peu plus de </w:t>
      </w:r>
      <w:r w:rsidRPr="00E46643">
        <w:rPr>
          <w:rFonts w:asciiTheme="minorHAnsi" w:hAnsiTheme="minorHAnsi" w:cstheme="minorHAnsi"/>
          <w:sz w:val="22"/>
          <w:szCs w:val="22"/>
        </w:rPr>
        <w:t>20% de l’investissement total)</w:t>
      </w:r>
      <w:r w:rsidR="00F447FC">
        <w:rPr>
          <w:rFonts w:asciiTheme="minorHAnsi" w:hAnsiTheme="minorHAnsi" w:cstheme="minorHAnsi"/>
          <w:sz w:val="22"/>
          <w:szCs w:val="22"/>
        </w:rPr>
        <w:t xml:space="preserve"> restent également assez stable</w:t>
      </w:r>
      <w:r w:rsidR="00FF0C51">
        <w:rPr>
          <w:rFonts w:asciiTheme="minorHAnsi" w:hAnsiTheme="minorHAnsi" w:cstheme="minorHAnsi"/>
          <w:sz w:val="22"/>
          <w:szCs w:val="22"/>
        </w:rPr>
        <w:t>s, malgré</w:t>
      </w:r>
      <w:r w:rsidR="00F447FC">
        <w:rPr>
          <w:rFonts w:asciiTheme="minorHAnsi" w:hAnsiTheme="minorHAnsi" w:cstheme="minorHAnsi"/>
          <w:sz w:val="22"/>
          <w:szCs w:val="22"/>
        </w:rPr>
        <w:t xml:space="preserve"> l’apparition du nouveau secteur du tourisme.</w:t>
      </w:r>
    </w:p>
    <w:p w:rsidR="003A442D" w:rsidRDefault="003A442D" w:rsidP="003E2E58">
      <w:pPr>
        <w:jc w:val="both"/>
        <w:rPr>
          <w:rFonts w:asciiTheme="minorHAnsi" w:hAnsiTheme="minorHAnsi" w:cstheme="minorHAnsi"/>
          <w:sz w:val="22"/>
          <w:szCs w:val="22"/>
        </w:rPr>
      </w:pPr>
    </w:p>
    <w:p w:rsidR="003A442D" w:rsidRDefault="003A442D" w:rsidP="003E2E58">
      <w:pPr>
        <w:jc w:val="both"/>
        <w:rPr>
          <w:rFonts w:asciiTheme="minorHAnsi" w:hAnsiTheme="minorHAnsi" w:cstheme="minorHAnsi"/>
          <w:sz w:val="22"/>
          <w:szCs w:val="22"/>
        </w:rPr>
      </w:pPr>
    </w:p>
    <w:p w:rsidR="003A442D" w:rsidRDefault="003A442D" w:rsidP="003E2E58">
      <w:pPr>
        <w:jc w:val="both"/>
        <w:rPr>
          <w:rFonts w:asciiTheme="minorHAnsi" w:hAnsiTheme="minorHAnsi" w:cstheme="minorHAnsi"/>
          <w:sz w:val="22"/>
          <w:szCs w:val="22"/>
        </w:rPr>
      </w:pPr>
    </w:p>
    <w:p w:rsidR="003A442D" w:rsidRPr="00E46643" w:rsidRDefault="003A442D" w:rsidP="003E2E58">
      <w:pPr>
        <w:jc w:val="both"/>
        <w:rPr>
          <w:rFonts w:asciiTheme="minorHAnsi" w:hAnsiTheme="minorHAnsi" w:cstheme="minorHAnsi"/>
          <w:sz w:val="22"/>
          <w:szCs w:val="22"/>
        </w:rPr>
      </w:pPr>
    </w:p>
    <w:p w:rsidR="00397051" w:rsidRPr="00FF0C51" w:rsidRDefault="003E2E58" w:rsidP="00FF0C51">
      <w:pPr>
        <w:pStyle w:val="Paragraphedeliste"/>
        <w:numPr>
          <w:ilvl w:val="0"/>
          <w:numId w:val="14"/>
        </w:numPr>
        <w:rPr>
          <w:rFonts w:asciiTheme="minorHAnsi" w:hAnsiTheme="minorHAnsi" w:cstheme="minorHAnsi"/>
          <w:b/>
          <w:sz w:val="22"/>
          <w:szCs w:val="22"/>
        </w:rPr>
      </w:pPr>
      <w:r w:rsidRPr="00FF0C51">
        <w:rPr>
          <w:rFonts w:asciiTheme="minorHAnsi" w:hAnsiTheme="minorHAnsi" w:cstheme="minorHAnsi"/>
          <w:b/>
          <w:sz w:val="22"/>
          <w:szCs w:val="22"/>
        </w:rPr>
        <w:t>L’inve</w:t>
      </w:r>
      <w:r w:rsidR="009D6EEC" w:rsidRPr="00FF0C51">
        <w:rPr>
          <w:rFonts w:asciiTheme="minorHAnsi" w:hAnsiTheme="minorHAnsi" w:cstheme="minorHAnsi"/>
          <w:b/>
          <w:sz w:val="22"/>
          <w:szCs w:val="22"/>
        </w:rPr>
        <w:t xml:space="preserve">stissement sectoriel par </w:t>
      </w:r>
      <w:r w:rsidR="001246CD" w:rsidRPr="00FF0C51">
        <w:rPr>
          <w:rFonts w:asciiTheme="minorHAnsi" w:hAnsiTheme="minorHAnsi" w:cstheme="minorHAnsi"/>
          <w:b/>
          <w:sz w:val="22"/>
          <w:szCs w:val="22"/>
        </w:rPr>
        <w:t>Wilaya</w:t>
      </w:r>
    </w:p>
    <w:p w:rsidR="00397051" w:rsidRPr="00E46643" w:rsidRDefault="00397051" w:rsidP="00222208">
      <w:pPr>
        <w:rPr>
          <w:rFonts w:asciiTheme="minorHAnsi" w:hAnsiTheme="minorHAnsi" w:cstheme="minorHAnsi"/>
          <w:sz w:val="22"/>
          <w:szCs w:val="22"/>
        </w:rPr>
      </w:pPr>
    </w:p>
    <w:p w:rsidR="00397051" w:rsidRPr="00E46643" w:rsidRDefault="003E2E58" w:rsidP="00857CA2">
      <w:pPr>
        <w:jc w:val="both"/>
        <w:rPr>
          <w:rFonts w:asciiTheme="minorHAnsi" w:hAnsiTheme="minorHAnsi" w:cstheme="minorHAnsi"/>
          <w:sz w:val="22"/>
          <w:szCs w:val="22"/>
        </w:rPr>
      </w:pPr>
      <w:r w:rsidRPr="00E46643">
        <w:rPr>
          <w:rFonts w:asciiTheme="minorHAnsi" w:hAnsiTheme="minorHAnsi" w:cstheme="minorHAnsi"/>
          <w:sz w:val="22"/>
          <w:szCs w:val="22"/>
        </w:rPr>
        <w:t xml:space="preserve">Les cartes suivantes montrent les trois principales priorités de l’investissement dans chacune des 13 </w:t>
      </w:r>
      <w:r w:rsidR="001246CD">
        <w:rPr>
          <w:rFonts w:asciiTheme="minorHAnsi" w:hAnsiTheme="minorHAnsi" w:cstheme="minorHAnsi"/>
          <w:sz w:val="22"/>
          <w:szCs w:val="22"/>
        </w:rPr>
        <w:t>Wilayas</w:t>
      </w:r>
      <w:r w:rsidRPr="00E46643">
        <w:rPr>
          <w:rFonts w:asciiTheme="minorHAnsi" w:hAnsiTheme="minorHAnsi" w:cstheme="minorHAnsi"/>
          <w:sz w:val="22"/>
          <w:szCs w:val="22"/>
        </w:rPr>
        <w:t xml:space="preserve"> du pays. Ces priorités sont déterminées par la part que représente </w:t>
      </w:r>
      <w:r w:rsidR="00653C9D" w:rsidRPr="00E46643">
        <w:rPr>
          <w:rFonts w:asciiTheme="minorHAnsi" w:hAnsiTheme="minorHAnsi" w:cstheme="minorHAnsi"/>
          <w:sz w:val="22"/>
          <w:szCs w:val="22"/>
        </w:rPr>
        <w:t>le montant des investissements dans chaque secteur p</w:t>
      </w:r>
      <w:r w:rsidR="00F447FC">
        <w:rPr>
          <w:rFonts w:asciiTheme="minorHAnsi" w:hAnsiTheme="minorHAnsi" w:cstheme="minorHAnsi"/>
          <w:sz w:val="22"/>
          <w:szCs w:val="22"/>
        </w:rPr>
        <w:t>ar rapport au total engagé</w:t>
      </w:r>
      <w:r w:rsidR="00653C9D" w:rsidRPr="00E46643">
        <w:rPr>
          <w:rFonts w:asciiTheme="minorHAnsi" w:hAnsiTheme="minorHAnsi" w:cstheme="minorHAnsi"/>
          <w:sz w:val="22"/>
          <w:szCs w:val="22"/>
        </w:rPr>
        <w:t>.</w:t>
      </w:r>
    </w:p>
    <w:p w:rsidR="009B17BB" w:rsidRPr="00E46643" w:rsidRDefault="009B17BB" w:rsidP="00857CA2">
      <w:pPr>
        <w:jc w:val="both"/>
        <w:rPr>
          <w:rFonts w:asciiTheme="minorHAnsi" w:hAnsiTheme="minorHAnsi" w:cstheme="minorHAnsi"/>
          <w:sz w:val="22"/>
          <w:szCs w:val="22"/>
        </w:rPr>
      </w:pPr>
    </w:p>
    <w:p w:rsidR="00A84EB7" w:rsidRDefault="003B0B9E" w:rsidP="00A84EB7">
      <w:pPr>
        <w:jc w:val="both"/>
        <w:rPr>
          <w:rFonts w:asciiTheme="minorHAnsi" w:hAnsiTheme="minorHAnsi" w:cstheme="minorHAnsi"/>
          <w:sz w:val="22"/>
          <w:szCs w:val="22"/>
        </w:rPr>
      </w:pPr>
      <w:r>
        <w:rPr>
          <w:rFonts w:asciiTheme="minorHAnsi" w:hAnsiTheme="minorHAnsi" w:cstheme="minorHAnsi"/>
          <w:sz w:val="22"/>
          <w:szCs w:val="22"/>
        </w:rPr>
        <w:t>Le secteur des bâtiments communaux</w:t>
      </w:r>
      <w:r w:rsidR="00A84EB7" w:rsidRPr="00E46643">
        <w:rPr>
          <w:rFonts w:asciiTheme="minorHAnsi" w:hAnsiTheme="minorHAnsi" w:cstheme="minorHAnsi"/>
          <w:sz w:val="22"/>
          <w:szCs w:val="22"/>
        </w:rPr>
        <w:t xml:space="preserve"> (1</w:t>
      </w:r>
      <w:r w:rsidR="00A84EB7" w:rsidRPr="00E46643">
        <w:rPr>
          <w:rFonts w:asciiTheme="minorHAnsi" w:hAnsiTheme="minorHAnsi" w:cstheme="minorHAnsi"/>
          <w:sz w:val="22"/>
          <w:szCs w:val="22"/>
          <w:vertAlign w:val="superscript"/>
        </w:rPr>
        <w:t>er</w:t>
      </w:r>
      <w:r w:rsidR="00A84EB7" w:rsidRPr="00E46643">
        <w:rPr>
          <w:rFonts w:asciiTheme="minorHAnsi" w:hAnsiTheme="minorHAnsi" w:cstheme="minorHAnsi"/>
          <w:sz w:val="22"/>
          <w:szCs w:val="22"/>
        </w:rPr>
        <w:t xml:space="preserve"> rang au niveau national) est situé au 1</w:t>
      </w:r>
      <w:r w:rsidR="00A84EB7" w:rsidRPr="00E46643">
        <w:rPr>
          <w:rFonts w:asciiTheme="minorHAnsi" w:hAnsiTheme="minorHAnsi" w:cstheme="minorHAnsi"/>
          <w:sz w:val="22"/>
          <w:szCs w:val="22"/>
          <w:vertAlign w:val="superscript"/>
        </w:rPr>
        <w:t>er</w:t>
      </w:r>
      <w:r w:rsidR="00A84EB7" w:rsidRPr="00E46643">
        <w:rPr>
          <w:rFonts w:asciiTheme="minorHAnsi" w:hAnsiTheme="minorHAnsi" w:cstheme="minorHAnsi"/>
          <w:sz w:val="22"/>
          <w:szCs w:val="22"/>
        </w:rPr>
        <w:t xml:space="preserve"> rang des i</w:t>
      </w:r>
      <w:r>
        <w:rPr>
          <w:rFonts w:asciiTheme="minorHAnsi" w:hAnsiTheme="minorHAnsi" w:cstheme="minorHAnsi"/>
          <w:sz w:val="22"/>
          <w:szCs w:val="22"/>
        </w:rPr>
        <w:t>nvestissements dans 4</w:t>
      </w:r>
      <w:r w:rsidR="00A84EB7" w:rsidRPr="00E46643">
        <w:rPr>
          <w:rFonts w:asciiTheme="minorHAnsi" w:hAnsiTheme="minorHAnsi" w:cstheme="minorHAnsi"/>
          <w:sz w:val="22"/>
          <w:szCs w:val="22"/>
        </w:rPr>
        <w:t xml:space="preserve"> </w:t>
      </w:r>
      <w:r w:rsidR="001246CD">
        <w:rPr>
          <w:rFonts w:asciiTheme="minorHAnsi" w:hAnsiTheme="minorHAnsi" w:cstheme="minorHAnsi"/>
          <w:sz w:val="22"/>
          <w:szCs w:val="22"/>
        </w:rPr>
        <w:t>Wilayas</w:t>
      </w:r>
      <w:r w:rsidR="00A84EB7" w:rsidRPr="00E46643">
        <w:rPr>
          <w:rFonts w:asciiTheme="minorHAnsi" w:hAnsiTheme="minorHAnsi" w:cstheme="minorHAnsi"/>
          <w:sz w:val="22"/>
          <w:szCs w:val="22"/>
        </w:rPr>
        <w:t xml:space="preserve"> </w:t>
      </w:r>
      <w:r w:rsidR="00D86B1C">
        <w:rPr>
          <w:rFonts w:asciiTheme="minorHAnsi" w:hAnsiTheme="minorHAnsi" w:cstheme="minorHAnsi"/>
          <w:sz w:val="22"/>
          <w:szCs w:val="22"/>
        </w:rPr>
        <w:t>sur 13 (</w:t>
      </w:r>
      <w:r w:rsidR="00D5776D">
        <w:rPr>
          <w:rFonts w:asciiTheme="minorHAnsi" w:hAnsiTheme="minorHAnsi" w:cstheme="minorHAnsi"/>
          <w:sz w:val="22"/>
          <w:szCs w:val="22"/>
        </w:rPr>
        <w:t xml:space="preserve">Nouakchott, Adrar, </w:t>
      </w:r>
      <w:proofErr w:type="spellStart"/>
      <w:r w:rsidR="00D5776D">
        <w:rPr>
          <w:rFonts w:asciiTheme="minorHAnsi" w:hAnsiTheme="minorHAnsi" w:cstheme="minorHAnsi"/>
          <w:sz w:val="22"/>
          <w:szCs w:val="22"/>
        </w:rPr>
        <w:t>Tagant</w:t>
      </w:r>
      <w:proofErr w:type="spellEnd"/>
      <w:r w:rsidR="00D5776D">
        <w:rPr>
          <w:rFonts w:asciiTheme="minorHAnsi" w:hAnsiTheme="minorHAnsi" w:cstheme="minorHAnsi"/>
          <w:sz w:val="22"/>
          <w:szCs w:val="22"/>
        </w:rPr>
        <w:t xml:space="preserve"> et </w:t>
      </w:r>
      <w:proofErr w:type="spellStart"/>
      <w:r w:rsidR="00D5776D">
        <w:rPr>
          <w:rFonts w:asciiTheme="minorHAnsi" w:hAnsiTheme="minorHAnsi" w:cstheme="minorHAnsi"/>
          <w:sz w:val="22"/>
          <w:szCs w:val="22"/>
        </w:rPr>
        <w:t>Brakna</w:t>
      </w:r>
      <w:proofErr w:type="spellEnd"/>
      <w:r w:rsidR="00D86B1C">
        <w:rPr>
          <w:rFonts w:asciiTheme="minorHAnsi" w:hAnsiTheme="minorHAnsi" w:cstheme="minorHAnsi"/>
          <w:sz w:val="22"/>
          <w:szCs w:val="22"/>
        </w:rPr>
        <w:t>)</w:t>
      </w:r>
      <w:r w:rsidR="00D5776D">
        <w:rPr>
          <w:rFonts w:asciiTheme="minorHAnsi" w:hAnsiTheme="minorHAnsi" w:cstheme="minorHAnsi"/>
          <w:sz w:val="22"/>
          <w:szCs w:val="22"/>
        </w:rPr>
        <w:t xml:space="preserve"> avec des investissements représentant entre </w:t>
      </w:r>
      <w:r w:rsidR="004D0387">
        <w:rPr>
          <w:rFonts w:asciiTheme="minorHAnsi" w:hAnsiTheme="minorHAnsi" w:cstheme="minorHAnsi"/>
          <w:sz w:val="22"/>
          <w:szCs w:val="22"/>
        </w:rPr>
        <w:t>2</w:t>
      </w:r>
      <w:r w:rsidR="00D5776D">
        <w:rPr>
          <w:rFonts w:asciiTheme="minorHAnsi" w:hAnsiTheme="minorHAnsi" w:cstheme="minorHAnsi"/>
          <w:sz w:val="22"/>
          <w:szCs w:val="22"/>
        </w:rPr>
        <w:t xml:space="preserve">8% </w:t>
      </w:r>
      <w:r w:rsidR="004D0387">
        <w:rPr>
          <w:rFonts w:asciiTheme="minorHAnsi" w:hAnsiTheme="minorHAnsi" w:cstheme="minorHAnsi"/>
          <w:sz w:val="22"/>
          <w:szCs w:val="22"/>
        </w:rPr>
        <w:t>et 3</w:t>
      </w:r>
      <w:r w:rsidR="00D5776D">
        <w:rPr>
          <w:rFonts w:asciiTheme="minorHAnsi" w:hAnsiTheme="minorHAnsi" w:cstheme="minorHAnsi"/>
          <w:sz w:val="22"/>
          <w:szCs w:val="22"/>
        </w:rPr>
        <w:t xml:space="preserve">8% des crédits engagés en 2012 par les communes de chaque </w:t>
      </w:r>
      <w:r w:rsidR="001246CD">
        <w:rPr>
          <w:rFonts w:asciiTheme="minorHAnsi" w:hAnsiTheme="minorHAnsi" w:cstheme="minorHAnsi"/>
          <w:sz w:val="22"/>
          <w:szCs w:val="22"/>
        </w:rPr>
        <w:t>Wilaya</w:t>
      </w:r>
      <w:r w:rsidR="00680C13">
        <w:rPr>
          <w:rFonts w:asciiTheme="minorHAnsi" w:hAnsiTheme="minorHAnsi" w:cstheme="minorHAnsi"/>
          <w:sz w:val="22"/>
          <w:szCs w:val="22"/>
        </w:rPr>
        <w:t>. On retrouve c</w:t>
      </w:r>
      <w:r w:rsidR="00A84EB7" w:rsidRPr="00E46643">
        <w:rPr>
          <w:rFonts w:asciiTheme="minorHAnsi" w:hAnsiTheme="minorHAnsi" w:cstheme="minorHAnsi"/>
          <w:sz w:val="22"/>
          <w:szCs w:val="22"/>
        </w:rPr>
        <w:t>e secteur au 2</w:t>
      </w:r>
      <w:r w:rsidR="00A84EB7" w:rsidRPr="00E46643">
        <w:rPr>
          <w:rFonts w:asciiTheme="minorHAnsi" w:hAnsiTheme="minorHAnsi" w:cstheme="minorHAnsi"/>
          <w:sz w:val="22"/>
          <w:szCs w:val="22"/>
          <w:vertAlign w:val="superscript"/>
        </w:rPr>
        <w:t>ème</w:t>
      </w:r>
      <w:r w:rsidR="00A84EB7" w:rsidRPr="00E46643">
        <w:rPr>
          <w:rFonts w:asciiTheme="minorHAnsi" w:hAnsiTheme="minorHAnsi" w:cstheme="minorHAnsi"/>
          <w:sz w:val="22"/>
          <w:szCs w:val="22"/>
        </w:rPr>
        <w:t xml:space="preserve"> rang dans 2 </w:t>
      </w:r>
      <w:r w:rsidR="001246CD">
        <w:rPr>
          <w:rFonts w:asciiTheme="minorHAnsi" w:hAnsiTheme="minorHAnsi" w:cstheme="minorHAnsi"/>
          <w:sz w:val="22"/>
          <w:szCs w:val="22"/>
        </w:rPr>
        <w:t>Wilayas</w:t>
      </w:r>
      <w:r w:rsidR="00A84EB7" w:rsidRPr="00E46643">
        <w:rPr>
          <w:rFonts w:asciiTheme="minorHAnsi" w:hAnsiTheme="minorHAnsi" w:cstheme="minorHAnsi"/>
          <w:sz w:val="22"/>
          <w:szCs w:val="22"/>
        </w:rPr>
        <w:t xml:space="preserve"> </w:t>
      </w:r>
      <w:r w:rsidR="001246CD">
        <w:rPr>
          <w:rFonts w:asciiTheme="minorHAnsi" w:hAnsiTheme="minorHAnsi" w:cstheme="minorHAnsi"/>
          <w:sz w:val="22"/>
          <w:szCs w:val="22"/>
        </w:rPr>
        <w:t>(</w:t>
      </w:r>
      <w:proofErr w:type="spellStart"/>
      <w:r w:rsidR="001246CD">
        <w:rPr>
          <w:rFonts w:asciiTheme="minorHAnsi" w:hAnsiTheme="minorHAnsi" w:cstheme="minorHAnsi"/>
          <w:sz w:val="22"/>
          <w:szCs w:val="22"/>
        </w:rPr>
        <w:t>Dakhlet</w:t>
      </w:r>
      <w:proofErr w:type="spellEnd"/>
      <w:r w:rsidR="001246CD">
        <w:rPr>
          <w:rFonts w:asciiTheme="minorHAnsi" w:hAnsiTheme="minorHAnsi" w:cstheme="minorHAnsi"/>
          <w:sz w:val="22"/>
          <w:szCs w:val="22"/>
        </w:rPr>
        <w:t xml:space="preserve">-Nouadhibou, </w:t>
      </w:r>
      <w:proofErr w:type="spellStart"/>
      <w:r w:rsidR="001246CD">
        <w:rPr>
          <w:rFonts w:asciiTheme="minorHAnsi" w:hAnsiTheme="minorHAnsi" w:cstheme="minorHAnsi"/>
          <w:sz w:val="22"/>
          <w:szCs w:val="22"/>
        </w:rPr>
        <w:t>Guidimak</w:t>
      </w:r>
      <w:r w:rsidR="004D0387">
        <w:rPr>
          <w:rFonts w:asciiTheme="minorHAnsi" w:hAnsiTheme="minorHAnsi" w:cstheme="minorHAnsi"/>
          <w:sz w:val="22"/>
          <w:szCs w:val="22"/>
        </w:rPr>
        <w:t>ha</w:t>
      </w:r>
      <w:proofErr w:type="spellEnd"/>
      <w:r w:rsidR="00BF3D32">
        <w:rPr>
          <w:rFonts w:asciiTheme="minorHAnsi" w:hAnsiTheme="minorHAnsi" w:cstheme="minorHAnsi"/>
          <w:sz w:val="22"/>
          <w:szCs w:val="22"/>
        </w:rPr>
        <w:t xml:space="preserve">) </w:t>
      </w:r>
      <w:r w:rsidR="004D0387">
        <w:rPr>
          <w:rFonts w:asciiTheme="minorHAnsi" w:hAnsiTheme="minorHAnsi" w:cstheme="minorHAnsi"/>
          <w:sz w:val="22"/>
          <w:szCs w:val="22"/>
        </w:rPr>
        <w:t xml:space="preserve">entre 21% et 28% des crédits engagés </w:t>
      </w:r>
      <w:r w:rsidR="00A84EB7" w:rsidRPr="00E46643">
        <w:rPr>
          <w:rFonts w:asciiTheme="minorHAnsi" w:hAnsiTheme="minorHAnsi" w:cstheme="minorHAnsi"/>
          <w:sz w:val="22"/>
          <w:szCs w:val="22"/>
        </w:rPr>
        <w:t>et au 3</w:t>
      </w:r>
      <w:r w:rsidR="00A84EB7" w:rsidRPr="00E46643">
        <w:rPr>
          <w:rFonts w:asciiTheme="minorHAnsi" w:hAnsiTheme="minorHAnsi" w:cstheme="minorHAnsi"/>
          <w:sz w:val="22"/>
          <w:szCs w:val="22"/>
          <w:vertAlign w:val="superscript"/>
        </w:rPr>
        <w:t>ème</w:t>
      </w:r>
      <w:r>
        <w:rPr>
          <w:rFonts w:asciiTheme="minorHAnsi" w:hAnsiTheme="minorHAnsi" w:cstheme="minorHAnsi"/>
          <w:sz w:val="22"/>
          <w:szCs w:val="22"/>
        </w:rPr>
        <w:t xml:space="preserve"> dans 4 </w:t>
      </w:r>
      <w:r w:rsidR="001246CD">
        <w:rPr>
          <w:rFonts w:asciiTheme="minorHAnsi" w:hAnsiTheme="minorHAnsi" w:cstheme="minorHAnsi"/>
          <w:sz w:val="22"/>
          <w:szCs w:val="22"/>
        </w:rPr>
        <w:t>Wilayas</w:t>
      </w:r>
      <w:r w:rsidR="00BF3D32">
        <w:rPr>
          <w:rFonts w:asciiTheme="minorHAnsi" w:hAnsiTheme="minorHAnsi" w:cstheme="minorHAnsi"/>
          <w:sz w:val="22"/>
          <w:szCs w:val="22"/>
        </w:rPr>
        <w:t xml:space="preserve"> (</w:t>
      </w:r>
      <w:proofErr w:type="spellStart"/>
      <w:r w:rsidR="004D0387">
        <w:rPr>
          <w:rFonts w:asciiTheme="minorHAnsi" w:hAnsiTheme="minorHAnsi" w:cstheme="minorHAnsi"/>
          <w:sz w:val="22"/>
          <w:szCs w:val="22"/>
        </w:rPr>
        <w:t>Tiris</w:t>
      </w:r>
      <w:proofErr w:type="spellEnd"/>
      <w:r w:rsidR="004D0387">
        <w:rPr>
          <w:rFonts w:asciiTheme="minorHAnsi" w:hAnsiTheme="minorHAnsi" w:cstheme="minorHAnsi"/>
          <w:sz w:val="22"/>
          <w:szCs w:val="22"/>
        </w:rPr>
        <w:t>-</w:t>
      </w:r>
      <w:proofErr w:type="spellStart"/>
      <w:r w:rsidR="004D0387">
        <w:rPr>
          <w:rFonts w:asciiTheme="minorHAnsi" w:hAnsiTheme="minorHAnsi" w:cstheme="minorHAnsi"/>
          <w:sz w:val="22"/>
          <w:szCs w:val="22"/>
        </w:rPr>
        <w:t>Zemmour</w:t>
      </w:r>
      <w:proofErr w:type="spellEnd"/>
      <w:r w:rsidR="00BF3D32">
        <w:rPr>
          <w:rFonts w:asciiTheme="minorHAnsi" w:hAnsiTheme="minorHAnsi" w:cstheme="minorHAnsi"/>
          <w:sz w:val="22"/>
          <w:szCs w:val="22"/>
        </w:rPr>
        <w:t xml:space="preserve">, </w:t>
      </w:r>
      <w:proofErr w:type="spellStart"/>
      <w:r w:rsidR="004D0387">
        <w:rPr>
          <w:rFonts w:asciiTheme="minorHAnsi" w:hAnsiTheme="minorHAnsi" w:cstheme="minorHAnsi"/>
          <w:sz w:val="22"/>
          <w:szCs w:val="22"/>
        </w:rPr>
        <w:t>Assaba</w:t>
      </w:r>
      <w:proofErr w:type="spellEnd"/>
      <w:r w:rsidR="004D0387">
        <w:rPr>
          <w:rFonts w:asciiTheme="minorHAnsi" w:hAnsiTheme="minorHAnsi" w:cstheme="minorHAnsi"/>
          <w:sz w:val="22"/>
          <w:szCs w:val="22"/>
        </w:rPr>
        <w:t>,</w:t>
      </w:r>
      <w:r w:rsidR="00BF3D32">
        <w:rPr>
          <w:rFonts w:asciiTheme="minorHAnsi" w:hAnsiTheme="minorHAnsi" w:cstheme="minorHAnsi"/>
          <w:sz w:val="22"/>
          <w:szCs w:val="22"/>
        </w:rPr>
        <w:t xml:space="preserve"> </w:t>
      </w:r>
      <w:proofErr w:type="spellStart"/>
      <w:r w:rsidR="00BF3D32">
        <w:rPr>
          <w:rFonts w:asciiTheme="minorHAnsi" w:hAnsiTheme="minorHAnsi" w:cstheme="minorHAnsi"/>
          <w:sz w:val="22"/>
          <w:szCs w:val="22"/>
        </w:rPr>
        <w:t>Gorgol</w:t>
      </w:r>
      <w:proofErr w:type="spellEnd"/>
      <w:r w:rsidR="00BF3D32">
        <w:rPr>
          <w:rFonts w:asciiTheme="minorHAnsi" w:hAnsiTheme="minorHAnsi" w:cstheme="minorHAnsi"/>
          <w:sz w:val="22"/>
          <w:szCs w:val="22"/>
        </w:rPr>
        <w:t xml:space="preserve"> </w:t>
      </w:r>
      <w:r w:rsidR="004D0387">
        <w:rPr>
          <w:rFonts w:asciiTheme="minorHAnsi" w:hAnsiTheme="minorHAnsi" w:cstheme="minorHAnsi"/>
          <w:sz w:val="22"/>
          <w:szCs w:val="22"/>
        </w:rPr>
        <w:t>et</w:t>
      </w:r>
      <w:r w:rsidR="00BF3D32">
        <w:rPr>
          <w:rFonts w:asciiTheme="minorHAnsi" w:hAnsiTheme="minorHAnsi" w:cstheme="minorHAnsi"/>
          <w:sz w:val="22"/>
          <w:szCs w:val="22"/>
        </w:rPr>
        <w:t xml:space="preserve"> Trarza</w:t>
      </w:r>
      <w:r w:rsidR="004D0387">
        <w:rPr>
          <w:rFonts w:asciiTheme="minorHAnsi" w:hAnsiTheme="minorHAnsi" w:cstheme="minorHAnsi"/>
          <w:sz w:val="22"/>
          <w:szCs w:val="22"/>
        </w:rPr>
        <w:t>) entre 11% et 17</w:t>
      </w:r>
      <w:r w:rsidR="00BF3D32">
        <w:rPr>
          <w:rFonts w:asciiTheme="minorHAnsi" w:hAnsiTheme="minorHAnsi" w:cstheme="minorHAnsi"/>
          <w:sz w:val="22"/>
          <w:szCs w:val="22"/>
        </w:rPr>
        <w:t>% des crédits engagés</w:t>
      </w:r>
      <w:r>
        <w:rPr>
          <w:rFonts w:asciiTheme="minorHAnsi" w:hAnsiTheme="minorHAnsi" w:cstheme="minorHAnsi"/>
          <w:sz w:val="22"/>
          <w:szCs w:val="22"/>
        </w:rPr>
        <w:t>. Ce sont donc au total 8</w:t>
      </w:r>
      <w:r w:rsidR="00A84EB7" w:rsidRPr="00E46643">
        <w:rPr>
          <w:rFonts w:asciiTheme="minorHAnsi" w:hAnsiTheme="minorHAnsi" w:cstheme="minorHAnsi"/>
          <w:sz w:val="22"/>
          <w:szCs w:val="22"/>
        </w:rPr>
        <w:t xml:space="preserve"> </w:t>
      </w:r>
      <w:r w:rsidR="001246CD">
        <w:rPr>
          <w:rFonts w:asciiTheme="minorHAnsi" w:hAnsiTheme="minorHAnsi" w:cstheme="minorHAnsi"/>
          <w:sz w:val="22"/>
          <w:szCs w:val="22"/>
        </w:rPr>
        <w:t>Wilayas</w:t>
      </w:r>
      <w:r w:rsidR="00A84EB7" w:rsidRPr="00E46643">
        <w:rPr>
          <w:rFonts w:asciiTheme="minorHAnsi" w:hAnsiTheme="minorHAnsi" w:cstheme="minorHAnsi"/>
          <w:sz w:val="22"/>
          <w:szCs w:val="22"/>
        </w:rPr>
        <w:t xml:space="preserve"> sur 13</w:t>
      </w:r>
      <w:r w:rsidR="004D0387">
        <w:rPr>
          <w:rFonts w:asciiTheme="minorHAnsi" w:hAnsiTheme="minorHAnsi" w:cstheme="minorHAnsi"/>
          <w:sz w:val="22"/>
          <w:szCs w:val="22"/>
        </w:rPr>
        <w:t xml:space="preserve"> qui ont massivement privilégié</w:t>
      </w:r>
      <w:r w:rsidR="00A84EB7" w:rsidRPr="00E46643">
        <w:rPr>
          <w:rFonts w:asciiTheme="minorHAnsi" w:hAnsiTheme="minorHAnsi" w:cstheme="minorHAnsi"/>
          <w:sz w:val="22"/>
          <w:szCs w:val="22"/>
        </w:rPr>
        <w:t xml:space="preserve"> les investissement</w:t>
      </w:r>
      <w:r>
        <w:rPr>
          <w:rFonts w:asciiTheme="minorHAnsi" w:hAnsiTheme="minorHAnsi" w:cstheme="minorHAnsi"/>
          <w:sz w:val="22"/>
          <w:szCs w:val="22"/>
        </w:rPr>
        <w:t>s dans le secteur des bâtiments communaux</w:t>
      </w:r>
      <w:r w:rsidR="00A84EB7" w:rsidRPr="00E46643">
        <w:rPr>
          <w:rFonts w:asciiTheme="minorHAnsi" w:hAnsiTheme="minorHAnsi" w:cstheme="minorHAnsi"/>
          <w:sz w:val="22"/>
          <w:szCs w:val="22"/>
        </w:rPr>
        <w:t>.</w:t>
      </w:r>
    </w:p>
    <w:p w:rsidR="00805FB5" w:rsidRDefault="00805FB5" w:rsidP="00A84EB7">
      <w:pPr>
        <w:jc w:val="both"/>
        <w:rPr>
          <w:rFonts w:asciiTheme="minorHAnsi" w:hAnsiTheme="minorHAnsi" w:cstheme="minorHAnsi"/>
          <w:sz w:val="22"/>
          <w:szCs w:val="22"/>
        </w:rPr>
      </w:pPr>
    </w:p>
    <w:p w:rsidR="00A84EB7" w:rsidRDefault="003B0B9E" w:rsidP="00A84EB7">
      <w:pPr>
        <w:jc w:val="both"/>
        <w:rPr>
          <w:rFonts w:asciiTheme="minorHAnsi" w:hAnsiTheme="minorHAnsi" w:cstheme="minorHAnsi"/>
          <w:sz w:val="22"/>
          <w:szCs w:val="22"/>
        </w:rPr>
      </w:pPr>
      <w:r>
        <w:rPr>
          <w:rFonts w:asciiTheme="minorHAnsi" w:hAnsiTheme="minorHAnsi" w:cstheme="minorHAnsi"/>
          <w:sz w:val="22"/>
          <w:szCs w:val="22"/>
        </w:rPr>
        <w:t>Le secteur de l’éducation</w:t>
      </w:r>
      <w:r w:rsidR="00A84EB7" w:rsidRPr="00E46643">
        <w:rPr>
          <w:rFonts w:asciiTheme="minorHAnsi" w:hAnsiTheme="minorHAnsi" w:cstheme="minorHAnsi"/>
          <w:sz w:val="22"/>
          <w:szCs w:val="22"/>
        </w:rPr>
        <w:t xml:space="preserve"> (2</w:t>
      </w:r>
      <w:r w:rsidR="00A84EB7" w:rsidRPr="00E46643">
        <w:rPr>
          <w:rFonts w:asciiTheme="minorHAnsi" w:hAnsiTheme="minorHAnsi" w:cstheme="minorHAnsi"/>
          <w:sz w:val="22"/>
          <w:szCs w:val="22"/>
          <w:vertAlign w:val="superscript"/>
        </w:rPr>
        <w:t>ème</w:t>
      </w:r>
      <w:r w:rsidR="00A84EB7" w:rsidRPr="00E46643">
        <w:rPr>
          <w:rFonts w:asciiTheme="minorHAnsi" w:hAnsiTheme="minorHAnsi" w:cstheme="minorHAnsi"/>
          <w:sz w:val="22"/>
          <w:szCs w:val="22"/>
        </w:rPr>
        <w:t xml:space="preserve"> rang national) se trouve au 1</w:t>
      </w:r>
      <w:r w:rsidR="00A84EB7" w:rsidRPr="00E46643">
        <w:rPr>
          <w:rFonts w:asciiTheme="minorHAnsi" w:hAnsiTheme="minorHAnsi" w:cstheme="minorHAnsi"/>
          <w:sz w:val="22"/>
          <w:szCs w:val="22"/>
          <w:vertAlign w:val="superscript"/>
        </w:rPr>
        <w:t>er</w:t>
      </w:r>
      <w:r w:rsidR="00A84EB7" w:rsidRPr="00E46643">
        <w:rPr>
          <w:rFonts w:asciiTheme="minorHAnsi" w:hAnsiTheme="minorHAnsi" w:cstheme="minorHAnsi"/>
          <w:sz w:val="22"/>
          <w:szCs w:val="22"/>
        </w:rPr>
        <w:t xml:space="preserve"> rang des investissemen</w:t>
      </w:r>
      <w:r w:rsidR="00BF3D32">
        <w:rPr>
          <w:rFonts w:asciiTheme="minorHAnsi" w:hAnsiTheme="minorHAnsi" w:cstheme="minorHAnsi"/>
          <w:sz w:val="22"/>
          <w:szCs w:val="22"/>
        </w:rPr>
        <w:t>ts dan</w:t>
      </w:r>
      <w:r w:rsidR="004D0387">
        <w:rPr>
          <w:rFonts w:asciiTheme="minorHAnsi" w:hAnsiTheme="minorHAnsi" w:cstheme="minorHAnsi"/>
          <w:sz w:val="22"/>
          <w:szCs w:val="22"/>
        </w:rPr>
        <w:t>s 4</w:t>
      </w:r>
      <w:r w:rsidR="00BF3D32">
        <w:rPr>
          <w:rFonts w:asciiTheme="minorHAnsi" w:hAnsiTheme="minorHAnsi" w:cstheme="minorHAnsi"/>
          <w:sz w:val="22"/>
          <w:szCs w:val="22"/>
        </w:rPr>
        <w:t xml:space="preserve"> </w:t>
      </w:r>
      <w:r w:rsidR="001246CD">
        <w:rPr>
          <w:rFonts w:asciiTheme="minorHAnsi" w:hAnsiTheme="minorHAnsi" w:cstheme="minorHAnsi"/>
          <w:sz w:val="22"/>
          <w:szCs w:val="22"/>
        </w:rPr>
        <w:t>Wilayas</w:t>
      </w:r>
      <w:r w:rsidR="00BF3D32">
        <w:rPr>
          <w:rFonts w:asciiTheme="minorHAnsi" w:hAnsiTheme="minorHAnsi" w:cstheme="minorHAnsi"/>
          <w:sz w:val="22"/>
          <w:szCs w:val="22"/>
        </w:rPr>
        <w:t xml:space="preserve"> (</w:t>
      </w:r>
      <w:proofErr w:type="spellStart"/>
      <w:r w:rsidR="001246CD">
        <w:rPr>
          <w:rFonts w:asciiTheme="minorHAnsi" w:hAnsiTheme="minorHAnsi" w:cstheme="minorHAnsi"/>
          <w:sz w:val="22"/>
          <w:szCs w:val="22"/>
        </w:rPr>
        <w:t>Hodh</w:t>
      </w:r>
      <w:proofErr w:type="spellEnd"/>
      <w:r w:rsidR="001246CD">
        <w:rPr>
          <w:rFonts w:asciiTheme="minorHAnsi" w:hAnsiTheme="minorHAnsi" w:cstheme="minorHAnsi"/>
          <w:sz w:val="22"/>
          <w:szCs w:val="22"/>
        </w:rPr>
        <w:t xml:space="preserve"> </w:t>
      </w:r>
      <w:proofErr w:type="spellStart"/>
      <w:r w:rsidR="001246CD">
        <w:rPr>
          <w:rFonts w:asciiTheme="minorHAnsi" w:hAnsiTheme="minorHAnsi" w:cstheme="minorHAnsi"/>
          <w:sz w:val="22"/>
          <w:szCs w:val="22"/>
        </w:rPr>
        <w:t>Echargui</w:t>
      </w:r>
      <w:proofErr w:type="spellEnd"/>
      <w:r w:rsidR="001246CD">
        <w:rPr>
          <w:rFonts w:asciiTheme="minorHAnsi" w:hAnsiTheme="minorHAnsi" w:cstheme="minorHAnsi"/>
          <w:sz w:val="22"/>
          <w:szCs w:val="22"/>
        </w:rPr>
        <w:t xml:space="preserve">, </w:t>
      </w:r>
      <w:proofErr w:type="spellStart"/>
      <w:r w:rsidR="001246CD">
        <w:rPr>
          <w:rFonts w:asciiTheme="minorHAnsi" w:hAnsiTheme="minorHAnsi" w:cstheme="minorHAnsi"/>
          <w:sz w:val="22"/>
          <w:szCs w:val="22"/>
        </w:rPr>
        <w:t>Gorgol</w:t>
      </w:r>
      <w:proofErr w:type="spellEnd"/>
      <w:r w:rsidR="001246CD">
        <w:rPr>
          <w:rFonts w:asciiTheme="minorHAnsi" w:hAnsiTheme="minorHAnsi" w:cstheme="minorHAnsi"/>
          <w:sz w:val="22"/>
          <w:szCs w:val="22"/>
        </w:rPr>
        <w:t xml:space="preserve">, </w:t>
      </w:r>
      <w:proofErr w:type="spellStart"/>
      <w:r w:rsidR="001246CD">
        <w:rPr>
          <w:rFonts w:asciiTheme="minorHAnsi" w:hAnsiTheme="minorHAnsi" w:cstheme="minorHAnsi"/>
          <w:sz w:val="22"/>
          <w:szCs w:val="22"/>
        </w:rPr>
        <w:t>Guidimak</w:t>
      </w:r>
      <w:r w:rsidR="004D0387">
        <w:rPr>
          <w:rFonts w:asciiTheme="minorHAnsi" w:hAnsiTheme="minorHAnsi" w:cstheme="minorHAnsi"/>
          <w:sz w:val="22"/>
          <w:szCs w:val="22"/>
        </w:rPr>
        <w:t>ha</w:t>
      </w:r>
      <w:proofErr w:type="spellEnd"/>
      <w:r w:rsidR="004D0387">
        <w:rPr>
          <w:rFonts w:asciiTheme="minorHAnsi" w:hAnsiTheme="minorHAnsi" w:cstheme="minorHAnsi"/>
          <w:sz w:val="22"/>
          <w:szCs w:val="22"/>
        </w:rPr>
        <w:t xml:space="preserve"> et </w:t>
      </w:r>
      <w:proofErr w:type="spellStart"/>
      <w:r w:rsidR="004D0387">
        <w:rPr>
          <w:rFonts w:asciiTheme="minorHAnsi" w:hAnsiTheme="minorHAnsi" w:cstheme="minorHAnsi"/>
          <w:sz w:val="22"/>
          <w:szCs w:val="22"/>
        </w:rPr>
        <w:t>Inchiri</w:t>
      </w:r>
      <w:proofErr w:type="spellEnd"/>
      <w:r w:rsidR="004D0387">
        <w:rPr>
          <w:rFonts w:asciiTheme="minorHAnsi" w:hAnsiTheme="minorHAnsi" w:cstheme="minorHAnsi"/>
          <w:sz w:val="22"/>
          <w:szCs w:val="22"/>
        </w:rPr>
        <w:t>)</w:t>
      </w:r>
      <w:r w:rsidR="00A84EB7" w:rsidRPr="00E46643">
        <w:rPr>
          <w:rFonts w:asciiTheme="minorHAnsi" w:hAnsiTheme="minorHAnsi" w:cstheme="minorHAnsi"/>
          <w:sz w:val="22"/>
          <w:szCs w:val="22"/>
        </w:rPr>
        <w:t>, au 2</w:t>
      </w:r>
      <w:r w:rsidR="00A84EB7" w:rsidRPr="00E46643">
        <w:rPr>
          <w:rFonts w:asciiTheme="minorHAnsi" w:hAnsiTheme="minorHAnsi" w:cstheme="minorHAnsi"/>
          <w:sz w:val="22"/>
          <w:szCs w:val="22"/>
          <w:vertAlign w:val="superscript"/>
        </w:rPr>
        <w:t>ème</w:t>
      </w:r>
      <w:r w:rsidR="00A84EB7" w:rsidRPr="00E46643">
        <w:rPr>
          <w:rFonts w:asciiTheme="minorHAnsi" w:hAnsiTheme="minorHAnsi" w:cstheme="minorHAnsi"/>
          <w:sz w:val="22"/>
          <w:szCs w:val="22"/>
        </w:rPr>
        <w:t xml:space="preserve"> rang dans 3 </w:t>
      </w:r>
      <w:r w:rsidR="001246CD">
        <w:rPr>
          <w:rFonts w:asciiTheme="minorHAnsi" w:hAnsiTheme="minorHAnsi" w:cstheme="minorHAnsi"/>
          <w:sz w:val="22"/>
          <w:szCs w:val="22"/>
        </w:rPr>
        <w:t>Wilayas</w:t>
      </w:r>
      <w:r w:rsidR="00A84EB7" w:rsidRPr="00E46643">
        <w:rPr>
          <w:rFonts w:asciiTheme="minorHAnsi" w:hAnsiTheme="minorHAnsi" w:cstheme="minorHAnsi"/>
          <w:sz w:val="22"/>
          <w:szCs w:val="22"/>
        </w:rPr>
        <w:t xml:space="preserve"> </w:t>
      </w:r>
      <w:r w:rsidR="004D0387">
        <w:rPr>
          <w:rFonts w:asciiTheme="minorHAnsi" w:hAnsiTheme="minorHAnsi" w:cstheme="minorHAnsi"/>
          <w:sz w:val="22"/>
          <w:szCs w:val="22"/>
        </w:rPr>
        <w:t>(</w:t>
      </w:r>
      <w:proofErr w:type="spellStart"/>
      <w:r w:rsidR="004D0387">
        <w:rPr>
          <w:rFonts w:asciiTheme="minorHAnsi" w:hAnsiTheme="minorHAnsi" w:cstheme="minorHAnsi"/>
          <w:sz w:val="22"/>
          <w:szCs w:val="22"/>
        </w:rPr>
        <w:t>Hodh</w:t>
      </w:r>
      <w:proofErr w:type="spellEnd"/>
      <w:r w:rsidR="004D0387">
        <w:rPr>
          <w:rFonts w:asciiTheme="minorHAnsi" w:hAnsiTheme="minorHAnsi" w:cstheme="minorHAnsi"/>
          <w:sz w:val="22"/>
          <w:szCs w:val="22"/>
        </w:rPr>
        <w:t xml:space="preserve"> El Gharbi, </w:t>
      </w:r>
      <w:proofErr w:type="spellStart"/>
      <w:r w:rsidR="004D0387">
        <w:rPr>
          <w:rFonts w:asciiTheme="minorHAnsi" w:hAnsiTheme="minorHAnsi" w:cstheme="minorHAnsi"/>
          <w:sz w:val="22"/>
          <w:szCs w:val="22"/>
        </w:rPr>
        <w:t>Assaba</w:t>
      </w:r>
      <w:proofErr w:type="spellEnd"/>
      <w:r w:rsidR="004D0387">
        <w:rPr>
          <w:rFonts w:asciiTheme="minorHAnsi" w:hAnsiTheme="minorHAnsi" w:cstheme="minorHAnsi"/>
          <w:sz w:val="22"/>
          <w:szCs w:val="22"/>
        </w:rPr>
        <w:t xml:space="preserve"> et Trarza) </w:t>
      </w:r>
      <w:r w:rsidR="00A84EB7" w:rsidRPr="00E46643">
        <w:rPr>
          <w:rFonts w:asciiTheme="minorHAnsi" w:hAnsiTheme="minorHAnsi" w:cstheme="minorHAnsi"/>
          <w:sz w:val="22"/>
          <w:szCs w:val="22"/>
        </w:rPr>
        <w:t>et au 3</w:t>
      </w:r>
      <w:r w:rsidR="00A84EB7" w:rsidRPr="00E46643">
        <w:rPr>
          <w:rFonts w:asciiTheme="minorHAnsi" w:hAnsiTheme="minorHAnsi" w:cstheme="minorHAnsi"/>
          <w:sz w:val="22"/>
          <w:szCs w:val="22"/>
          <w:vertAlign w:val="superscript"/>
        </w:rPr>
        <w:t>ème</w:t>
      </w:r>
      <w:r w:rsidR="00A84EB7" w:rsidRPr="00E46643">
        <w:rPr>
          <w:rFonts w:asciiTheme="minorHAnsi" w:hAnsiTheme="minorHAnsi" w:cstheme="minorHAnsi"/>
          <w:sz w:val="22"/>
          <w:szCs w:val="22"/>
        </w:rPr>
        <w:t xml:space="preserve"> dans</w:t>
      </w:r>
      <w:r w:rsidR="004D0387">
        <w:rPr>
          <w:rFonts w:asciiTheme="minorHAnsi" w:hAnsiTheme="minorHAnsi" w:cstheme="minorHAnsi"/>
          <w:sz w:val="22"/>
          <w:szCs w:val="22"/>
        </w:rPr>
        <w:t xml:space="preserve"> 1 </w:t>
      </w:r>
      <w:r w:rsidR="001246CD">
        <w:rPr>
          <w:rFonts w:asciiTheme="minorHAnsi" w:hAnsiTheme="minorHAnsi" w:cstheme="minorHAnsi"/>
          <w:sz w:val="22"/>
          <w:szCs w:val="22"/>
        </w:rPr>
        <w:t>Wilaya</w:t>
      </w:r>
      <w:r w:rsidR="004D0387">
        <w:rPr>
          <w:rFonts w:asciiTheme="minorHAnsi" w:hAnsiTheme="minorHAnsi" w:cstheme="minorHAnsi"/>
          <w:sz w:val="22"/>
          <w:szCs w:val="22"/>
        </w:rPr>
        <w:t xml:space="preserve"> (Nouakchott). Au total ce sont donc 8</w:t>
      </w:r>
      <w:r w:rsidR="00A84EB7" w:rsidRPr="00E46643">
        <w:rPr>
          <w:rFonts w:asciiTheme="minorHAnsi" w:hAnsiTheme="minorHAnsi" w:cstheme="minorHAnsi"/>
          <w:sz w:val="22"/>
          <w:szCs w:val="22"/>
        </w:rPr>
        <w:t xml:space="preserve"> </w:t>
      </w:r>
      <w:r w:rsidR="001246CD">
        <w:rPr>
          <w:rFonts w:asciiTheme="minorHAnsi" w:hAnsiTheme="minorHAnsi" w:cstheme="minorHAnsi"/>
          <w:sz w:val="22"/>
          <w:szCs w:val="22"/>
        </w:rPr>
        <w:t>Wilayas</w:t>
      </w:r>
      <w:r w:rsidR="00A84EB7" w:rsidRPr="00E46643">
        <w:rPr>
          <w:rFonts w:asciiTheme="minorHAnsi" w:hAnsiTheme="minorHAnsi" w:cstheme="minorHAnsi"/>
          <w:sz w:val="22"/>
          <w:szCs w:val="22"/>
        </w:rPr>
        <w:t xml:space="preserve"> qui ont massivement investi</w:t>
      </w:r>
      <w:r w:rsidR="001246CD">
        <w:rPr>
          <w:rFonts w:asciiTheme="minorHAnsi" w:hAnsiTheme="minorHAnsi" w:cstheme="minorHAnsi"/>
          <w:sz w:val="22"/>
          <w:szCs w:val="22"/>
        </w:rPr>
        <w:t xml:space="preserve"> dans l</w:t>
      </w:r>
      <w:r w:rsidR="004D0387">
        <w:rPr>
          <w:rFonts w:asciiTheme="minorHAnsi" w:hAnsiTheme="minorHAnsi" w:cstheme="minorHAnsi"/>
          <w:sz w:val="22"/>
          <w:szCs w:val="22"/>
        </w:rPr>
        <w:t>e secteur de l’éducation</w:t>
      </w:r>
      <w:r w:rsidR="00A84EB7" w:rsidRPr="00E46643">
        <w:rPr>
          <w:rFonts w:asciiTheme="minorHAnsi" w:hAnsiTheme="minorHAnsi" w:cstheme="minorHAnsi"/>
          <w:sz w:val="22"/>
          <w:szCs w:val="22"/>
        </w:rPr>
        <w:t xml:space="preserve"> avec des engagements </w:t>
      </w:r>
      <w:r w:rsidR="004D0387">
        <w:rPr>
          <w:rFonts w:asciiTheme="minorHAnsi" w:hAnsiTheme="minorHAnsi" w:cstheme="minorHAnsi"/>
          <w:sz w:val="22"/>
          <w:szCs w:val="22"/>
        </w:rPr>
        <w:t>financiers représentant entre 11% et 39% des crédits FRD engagés</w:t>
      </w:r>
      <w:r w:rsidR="00A84EB7" w:rsidRPr="00E46643">
        <w:rPr>
          <w:rFonts w:asciiTheme="minorHAnsi" w:hAnsiTheme="minorHAnsi" w:cstheme="minorHAnsi"/>
          <w:sz w:val="22"/>
          <w:szCs w:val="22"/>
        </w:rPr>
        <w:t>.</w:t>
      </w:r>
    </w:p>
    <w:p w:rsidR="00805FB5" w:rsidRDefault="00805FB5" w:rsidP="00A84EB7">
      <w:pPr>
        <w:jc w:val="both"/>
        <w:rPr>
          <w:rFonts w:asciiTheme="minorHAnsi" w:hAnsiTheme="minorHAnsi" w:cstheme="minorHAnsi"/>
          <w:sz w:val="22"/>
          <w:szCs w:val="22"/>
        </w:rPr>
      </w:pPr>
    </w:p>
    <w:p w:rsidR="00FB11AA" w:rsidRDefault="00A84EB7" w:rsidP="00A84EB7">
      <w:pPr>
        <w:jc w:val="both"/>
        <w:rPr>
          <w:rFonts w:asciiTheme="minorHAnsi" w:hAnsiTheme="minorHAnsi" w:cstheme="minorHAnsi"/>
          <w:sz w:val="22"/>
          <w:szCs w:val="22"/>
        </w:rPr>
      </w:pPr>
      <w:r w:rsidRPr="00E46643">
        <w:rPr>
          <w:rFonts w:asciiTheme="minorHAnsi" w:hAnsiTheme="minorHAnsi" w:cstheme="minorHAnsi"/>
          <w:sz w:val="22"/>
          <w:szCs w:val="22"/>
        </w:rPr>
        <w:t>Enfin le</w:t>
      </w:r>
      <w:r w:rsidR="004D0387">
        <w:rPr>
          <w:rFonts w:asciiTheme="minorHAnsi" w:hAnsiTheme="minorHAnsi" w:cstheme="minorHAnsi"/>
          <w:sz w:val="22"/>
          <w:szCs w:val="22"/>
        </w:rPr>
        <w:t xml:space="preserve"> secteur de l’hydraulique</w:t>
      </w:r>
      <w:r w:rsidRPr="00E46643">
        <w:rPr>
          <w:rFonts w:asciiTheme="minorHAnsi" w:hAnsiTheme="minorHAnsi" w:cstheme="minorHAnsi"/>
          <w:sz w:val="22"/>
          <w:szCs w:val="22"/>
        </w:rPr>
        <w:t xml:space="preserve"> (3</w:t>
      </w:r>
      <w:r w:rsidRPr="00E46643">
        <w:rPr>
          <w:rFonts w:asciiTheme="minorHAnsi" w:hAnsiTheme="minorHAnsi" w:cstheme="minorHAnsi"/>
          <w:sz w:val="22"/>
          <w:szCs w:val="22"/>
          <w:vertAlign w:val="superscript"/>
        </w:rPr>
        <w:t>ème</w:t>
      </w:r>
      <w:r w:rsidRPr="00E46643">
        <w:rPr>
          <w:rFonts w:asciiTheme="minorHAnsi" w:hAnsiTheme="minorHAnsi" w:cstheme="minorHAnsi"/>
          <w:sz w:val="22"/>
          <w:szCs w:val="22"/>
        </w:rPr>
        <w:t xml:space="preserve"> rang au niveau national) est situé au 1</w:t>
      </w:r>
      <w:r w:rsidRPr="00E46643">
        <w:rPr>
          <w:rFonts w:asciiTheme="minorHAnsi" w:hAnsiTheme="minorHAnsi" w:cstheme="minorHAnsi"/>
          <w:sz w:val="22"/>
          <w:szCs w:val="22"/>
          <w:vertAlign w:val="superscript"/>
        </w:rPr>
        <w:t>er</w:t>
      </w:r>
      <w:r w:rsidRPr="00E46643">
        <w:rPr>
          <w:rFonts w:asciiTheme="minorHAnsi" w:hAnsiTheme="minorHAnsi" w:cstheme="minorHAnsi"/>
          <w:sz w:val="22"/>
          <w:szCs w:val="22"/>
        </w:rPr>
        <w:t xml:space="preserve"> rang des</w:t>
      </w:r>
      <w:r w:rsidR="004D0387">
        <w:rPr>
          <w:rFonts w:asciiTheme="minorHAnsi" w:hAnsiTheme="minorHAnsi" w:cstheme="minorHAnsi"/>
          <w:sz w:val="22"/>
          <w:szCs w:val="22"/>
        </w:rPr>
        <w:t xml:space="preserve"> priorités d’investissement de 3</w:t>
      </w:r>
      <w:r w:rsidRPr="00E46643">
        <w:rPr>
          <w:rFonts w:asciiTheme="minorHAnsi" w:hAnsiTheme="minorHAnsi" w:cstheme="minorHAnsi"/>
          <w:sz w:val="22"/>
          <w:szCs w:val="22"/>
        </w:rPr>
        <w:t xml:space="preserve"> </w:t>
      </w:r>
      <w:r w:rsidR="001246CD">
        <w:rPr>
          <w:rFonts w:asciiTheme="minorHAnsi" w:hAnsiTheme="minorHAnsi" w:cstheme="minorHAnsi"/>
          <w:sz w:val="22"/>
          <w:szCs w:val="22"/>
        </w:rPr>
        <w:t>Wilayas</w:t>
      </w:r>
      <w:r w:rsidR="004D0387">
        <w:rPr>
          <w:rFonts w:asciiTheme="minorHAnsi" w:hAnsiTheme="minorHAnsi" w:cstheme="minorHAnsi"/>
          <w:sz w:val="22"/>
          <w:szCs w:val="22"/>
        </w:rPr>
        <w:t xml:space="preserve"> (</w:t>
      </w:r>
      <w:proofErr w:type="spellStart"/>
      <w:r w:rsidR="004D0387">
        <w:rPr>
          <w:rFonts w:asciiTheme="minorHAnsi" w:hAnsiTheme="minorHAnsi" w:cstheme="minorHAnsi"/>
          <w:sz w:val="22"/>
          <w:szCs w:val="22"/>
        </w:rPr>
        <w:t>Hodh</w:t>
      </w:r>
      <w:proofErr w:type="spellEnd"/>
      <w:r w:rsidR="004D0387">
        <w:rPr>
          <w:rFonts w:asciiTheme="minorHAnsi" w:hAnsiTheme="minorHAnsi" w:cstheme="minorHAnsi"/>
          <w:sz w:val="22"/>
          <w:szCs w:val="22"/>
        </w:rPr>
        <w:t xml:space="preserve"> El Gharbi, </w:t>
      </w:r>
      <w:proofErr w:type="spellStart"/>
      <w:r w:rsidR="004D0387">
        <w:rPr>
          <w:rFonts w:asciiTheme="minorHAnsi" w:hAnsiTheme="minorHAnsi" w:cstheme="minorHAnsi"/>
          <w:sz w:val="22"/>
          <w:szCs w:val="22"/>
        </w:rPr>
        <w:t>Assaba</w:t>
      </w:r>
      <w:proofErr w:type="spellEnd"/>
      <w:r w:rsidR="004D0387">
        <w:rPr>
          <w:rFonts w:asciiTheme="minorHAnsi" w:hAnsiTheme="minorHAnsi" w:cstheme="minorHAnsi"/>
          <w:sz w:val="22"/>
          <w:szCs w:val="22"/>
        </w:rPr>
        <w:t xml:space="preserve"> et Trarza)</w:t>
      </w:r>
      <w:r w:rsidRPr="00E46643">
        <w:rPr>
          <w:rFonts w:asciiTheme="minorHAnsi" w:hAnsiTheme="minorHAnsi" w:cstheme="minorHAnsi"/>
          <w:sz w:val="22"/>
          <w:szCs w:val="22"/>
        </w:rPr>
        <w:t>, au 2</w:t>
      </w:r>
      <w:r w:rsidRPr="00E46643">
        <w:rPr>
          <w:rFonts w:asciiTheme="minorHAnsi" w:hAnsiTheme="minorHAnsi" w:cstheme="minorHAnsi"/>
          <w:sz w:val="22"/>
          <w:szCs w:val="22"/>
          <w:vertAlign w:val="superscript"/>
        </w:rPr>
        <w:t>ème</w:t>
      </w:r>
      <w:r w:rsidR="004D0387">
        <w:rPr>
          <w:rFonts w:asciiTheme="minorHAnsi" w:hAnsiTheme="minorHAnsi" w:cstheme="minorHAnsi"/>
          <w:sz w:val="22"/>
          <w:szCs w:val="22"/>
        </w:rPr>
        <w:t xml:space="preserve"> rang pour 4</w:t>
      </w:r>
      <w:r w:rsidRPr="00E46643">
        <w:rPr>
          <w:rFonts w:asciiTheme="minorHAnsi" w:hAnsiTheme="minorHAnsi" w:cstheme="minorHAnsi"/>
          <w:sz w:val="22"/>
          <w:szCs w:val="22"/>
        </w:rPr>
        <w:t xml:space="preserve"> </w:t>
      </w:r>
      <w:r w:rsidR="001246CD">
        <w:rPr>
          <w:rFonts w:asciiTheme="minorHAnsi" w:hAnsiTheme="minorHAnsi" w:cstheme="minorHAnsi"/>
          <w:sz w:val="22"/>
          <w:szCs w:val="22"/>
        </w:rPr>
        <w:t>Wilayas</w:t>
      </w:r>
      <w:r w:rsidRPr="00E46643">
        <w:rPr>
          <w:rFonts w:asciiTheme="minorHAnsi" w:hAnsiTheme="minorHAnsi" w:cstheme="minorHAnsi"/>
          <w:sz w:val="22"/>
          <w:szCs w:val="22"/>
        </w:rPr>
        <w:t xml:space="preserve"> </w:t>
      </w:r>
      <w:r w:rsidR="004D0387">
        <w:rPr>
          <w:rFonts w:asciiTheme="minorHAnsi" w:hAnsiTheme="minorHAnsi" w:cstheme="minorHAnsi"/>
          <w:sz w:val="22"/>
          <w:szCs w:val="22"/>
        </w:rPr>
        <w:t>(</w:t>
      </w:r>
      <w:proofErr w:type="spellStart"/>
      <w:r w:rsidR="004D0387">
        <w:rPr>
          <w:rFonts w:asciiTheme="minorHAnsi" w:hAnsiTheme="minorHAnsi" w:cstheme="minorHAnsi"/>
          <w:sz w:val="22"/>
          <w:szCs w:val="22"/>
        </w:rPr>
        <w:t>Hodh</w:t>
      </w:r>
      <w:proofErr w:type="spellEnd"/>
      <w:r w:rsidR="004D0387">
        <w:rPr>
          <w:rFonts w:asciiTheme="minorHAnsi" w:hAnsiTheme="minorHAnsi" w:cstheme="minorHAnsi"/>
          <w:sz w:val="22"/>
          <w:szCs w:val="22"/>
        </w:rPr>
        <w:t xml:space="preserve"> </w:t>
      </w:r>
      <w:proofErr w:type="spellStart"/>
      <w:r w:rsidR="004D0387">
        <w:rPr>
          <w:rFonts w:asciiTheme="minorHAnsi" w:hAnsiTheme="minorHAnsi" w:cstheme="minorHAnsi"/>
          <w:sz w:val="22"/>
          <w:szCs w:val="22"/>
        </w:rPr>
        <w:t>Echarghi</w:t>
      </w:r>
      <w:proofErr w:type="spellEnd"/>
      <w:r w:rsidR="004D0387">
        <w:rPr>
          <w:rFonts w:asciiTheme="minorHAnsi" w:hAnsiTheme="minorHAnsi" w:cstheme="minorHAnsi"/>
          <w:sz w:val="22"/>
          <w:szCs w:val="22"/>
        </w:rPr>
        <w:t xml:space="preserve">, </w:t>
      </w:r>
      <w:proofErr w:type="spellStart"/>
      <w:r w:rsidR="004D0387">
        <w:rPr>
          <w:rFonts w:asciiTheme="minorHAnsi" w:hAnsiTheme="minorHAnsi" w:cstheme="minorHAnsi"/>
          <w:sz w:val="22"/>
          <w:szCs w:val="22"/>
        </w:rPr>
        <w:t>Gorgol</w:t>
      </w:r>
      <w:proofErr w:type="spellEnd"/>
      <w:r w:rsidR="004D0387">
        <w:rPr>
          <w:rFonts w:asciiTheme="minorHAnsi" w:hAnsiTheme="minorHAnsi" w:cstheme="minorHAnsi"/>
          <w:sz w:val="22"/>
          <w:szCs w:val="22"/>
        </w:rPr>
        <w:t xml:space="preserve">, </w:t>
      </w:r>
      <w:proofErr w:type="spellStart"/>
      <w:r w:rsidR="004D0387">
        <w:rPr>
          <w:rFonts w:asciiTheme="minorHAnsi" w:hAnsiTheme="minorHAnsi" w:cstheme="minorHAnsi"/>
          <w:sz w:val="22"/>
          <w:szCs w:val="22"/>
        </w:rPr>
        <w:t>Brakna</w:t>
      </w:r>
      <w:proofErr w:type="spellEnd"/>
      <w:r w:rsidR="004D0387">
        <w:rPr>
          <w:rFonts w:asciiTheme="minorHAnsi" w:hAnsiTheme="minorHAnsi" w:cstheme="minorHAnsi"/>
          <w:sz w:val="22"/>
          <w:szCs w:val="22"/>
        </w:rPr>
        <w:t xml:space="preserve"> et </w:t>
      </w:r>
      <w:proofErr w:type="spellStart"/>
      <w:r w:rsidR="004D0387">
        <w:rPr>
          <w:rFonts w:asciiTheme="minorHAnsi" w:hAnsiTheme="minorHAnsi" w:cstheme="minorHAnsi"/>
          <w:sz w:val="22"/>
          <w:szCs w:val="22"/>
        </w:rPr>
        <w:t>Tagant</w:t>
      </w:r>
      <w:proofErr w:type="spellEnd"/>
      <w:r w:rsidR="004D0387">
        <w:rPr>
          <w:rFonts w:asciiTheme="minorHAnsi" w:hAnsiTheme="minorHAnsi" w:cstheme="minorHAnsi"/>
          <w:sz w:val="22"/>
          <w:szCs w:val="22"/>
        </w:rPr>
        <w:t xml:space="preserve">) </w:t>
      </w:r>
      <w:r w:rsidRPr="00E46643">
        <w:rPr>
          <w:rFonts w:asciiTheme="minorHAnsi" w:hAnsiTheme="minorHAnsi" w:cstheme="minorHAnsi"/>
          <w:sz w:val="22"/>
          <w:szCs w:val="22"/>
        </w:rPr>
        <w:t>et au 3</w:t>
      </w:r>
      <w:r w:rsidRPr="00E46643">
        <w:rPr>
          <w:rFonts w:asciiTheme="minorHAnsi" w:hAnsiTheme="minorHAnsi" w:cstheme="minorHAnsi"/>
          <w:sz w:val="22"/>
          <w:szCs w:val="22"/>
          <w:vertAlign w:val="superscript"/>
        </w:rPr>
        <w:t>ème</w:t>
      </w:r>
      <w:r w:rsidR="001246CD">
        <w:rPr>
          <w:rFonts w:asciiTheme="minorHAnsi" w:hAnsiTheme="minorHAnsi" w:cstheme="minorHAnsi"/>
          <w:sz w:val="22"/>
          <w:szCs w:val="22"/>
        </w:rPr>
        <w:t xml:space="preserve"> rang pour 1 Wilaya (</w:t>
      </w:r>
      <w:proofErr w:type="spellStart"/>
      <w:r w:rsidR="001246CD">
        <w:rPr>
          <w:rFonts w:asciiTheme="minorHAnsi" w:hAnsiTheme="minorHAnsi" w:cstheme="minorHAnsi"/>
          <w:sz w:val="22"/>
          <w:szCs w:val="22"/>
        </w:rPr>
        <w:t>Guidimak</w:t>
      </w:r>
      <w:r w:rsidR="004D0387">
        <w:rPr>
          <w:rFonts w:asciiTheme="minorHAnsi" w:hAnsiTheme="minorHAnsi" w:cstheme="minorHAnsi"/>
          <w:sz w:val="22"/>
          <w:szCs w:val="22"/>
        </w:rPr>
        <w:t>ha</w:t>
      </w:r>
      <w:proofErr w:type="spellEnd"/>
      <w:r w:rsidR="004D0387">
        <w:rPr>
          <w:rFonts w:asciiTheme="minorHAnsi" w:hAnsiTheme="minorHAnsi" w:cstheme="minorHAnsi"/>
          <w:sz w:val="22"/>
          <w:szCs w:val="22"/>
        </w:rPr>
        <w:t>). 8</w:t>
      </w:r>
      <w:r w:rsidRPr="00E46643">
        <w:rPr>
          <w:rFonts w:asciiTheme="minorHAnsi" w:hAnsiTheme="minorHAnsi" w:cstheme="minorHAnsi"/>
          <w:sz w:val="22"/>
          <w:szCs w:val="22"/>
        </w:rPr>
        <w:t xml:space="preserve"> </w:t>
      </w:r>
      <w:r w:rsidR="001246CD">
        <w:rPr>
          <w:rFonts w:asciiTheme="minorHAnsi" w:hAnsiTheme="minorHAnsi" w:cstheme="minorHAnsi"/>
          <w:sz w:val="22"/>
          <w:szCs w:val="22"/>
        </w:rPr>
        <w:t>Wilayas</w:t>
      </w:r>
      <w:r w:rsidRPr="00E46643">
        <w:rPr>
          <w:rFonts w:asciiTheme="minorHAnsi" w:hAnsiTheme="minorHAnsi" w:cstheme="minorHAnsi"/>
          <w:sz w:val="22"/>
          <w:szCs w:val="22"/>
        </w:rPr>
        <w:t xml:space="preserve"> consacrent donc une part non négligeable de leur FRD à des investissements dans le secteur</w:t>
      </w:r>
      <w:r w:rsidR="004D0387">
        <w:rPr>
          <w:rFonts w:asciiTheme="minorHAnsi" w:hAnsiTheme="minorHAnsi" w:cstheme="minorHAnsi"/>
          <w:sz w:val="22"/>
          <w:szCs w:val="22"/>
        </w:rPr>
        <w:t xml:space="preserve"> de l’hydraulique</w:t>
      </w:r>
      <w:r w:rsidRPr="00E46643">
        <w:rPr>
          <w:rFonts w:asciiTheme="minorHAnsi" w:hAnsiTheme="minorHAnsi" w:cstheme="minorHAnsi"/>
          <w:sz w:val="22"/>
          <w:szCs w:val="22"/>
        </w:rPr>
        <w:t>.</w:t>
      </w:r>
    </w:p>
    <w:p w:rsidR="00805FB5" w:rsidRDefault="00805FB5" w:rsidP="00BF3D32">
      <w:pPr>
        <w:jc w:val="both"/>
        <w:rPr>
          <w:rFonts w:asciiTheme="minorHAnsi" w:hAnsiTheme="minorHAnsi" w:cstheme="minorHAnsi"/>
          <w:sz w:val="22"/>
          <w:szCs w:val="22"/>
        </w:rPr>
      </w:pPr>
    </w:p>
    <w:p w:rsidR="00BF3D32" w:rsidRDefault="00BF3D32" w:rsidP="00BF3D32">
      <w:pPr>
        <w:jc w:val="both"/>
        <w:rPr>
          <w:rFonts w:asciiTheme="minorHAnsi" w:hAnsiTheme="minorHAnsi" w:cstheme="minorHAnsi"/>
          <w:sz w:val="22"/>
          <w:szCs w:val="22"/>
        </w:rPr>
      </w:pPr>
      <w:r>
        <w:rPr>
          <w:rFonts w:asciiTheme="minorHAnsi" w:hAnsiTheme="minorHAnsi" w:cstheme="minorHAnsi"/>
          <w:sz w:val="22"/>
          <w:szCs w:val="22"/>
        </w:rPr>
        <w:t>Les investissements répertoriés au premier rang de pr</w:t>
      </w:r>
      <w:r w:rsidR="004D1E7A">
        <w:rPr>
          <w:rFonts w:asciiTheme="minorHAnsi" w:hAnsiTheme="minorHAnsi" w:cstheme="minorHAnsi"/>
          <w:sz w:val="22"/>
          <w:szCs w:val="22"/>
        </w:rPr>
        <w:t>iorité constituent au minimum 24% des crédits FRD engagés</w:t>
      </w:r>
      <w:r>
        <w:rPr>
          <w:rFonts w:asciiTheme="minorHAnsi" w:hAnsiTheme="minorHAnsi" w:cstheme="minorHAnsi"/>
          <w:sz w:val="22"/>
          <w:szCs w:val="22"/>
        </w:rPr>
        <w:t>, il</w:t>
      </w:r>
      <w:r w:rsidR="004D1E7A">
        <w:rPr>
          <w:rFonts w:asciiTheme="minorHAnsi" w:hAnsiTheme="minorHAnsi" w:cstheme="minorHAnsi"/>
          <w:sz w:val="22"/>
          <w:szCs w:val="22"/>
        </w:rPr>
        <w:t>s peuvent représenter jusqu’à 59</w:t>
      </w:r>
      <w:r>
        <w:rPr>
          <w:rFonts w:asciiTheme="minorHAnsi" w:hAnsiTheme="minorHAnsi" w:cstheme="minorHAnsi"/>
          <w:sz w:val="22"/>
          <w:szCs w:val="22"/>
        </w:rPr>
        <w:t>% de ces crédits.</w:t>
      </w:r>
    </w:p>
    <w:p w:rsidR="00BF3D32" w:rsidRPr="004D5442" w:rsidRDefault="00BF3D32" w:rsidP="00BF3D32">
      <w:pPr>
        <w:jc w:val="both"/>
        <w:rPr>
          <w:rFonts w:asciiTheme="minorHAnsi" w:hAnsiTheme="minorHAnsi" w:cstheme="minorHAnsi"/>
          <w:sz w:val="22"/>
          <w:szCs w:val="22"/>
        </w:rPr>
      </w:pPr>
      <w:r w:rsidRPr="004D5442">
        <w:rPr>
          <w:rFonts w:asciiTheme="minorHAnsi" w:hAnsiTheme="minorHAnsi" w:cstheme="minorHAnsi"/>
          <w:sz w:val="22"/>
          <w:szCs w:val="22"/>
        </w:rPr>
        <w:t>Au niveau du rang n°1 des priorités d’investissement</w:t>
      </w:r>
      <w:r w:rsidR="004D1E7A">
        <w:rPr>
          <w:rFonts w:asciiTheme="minorHAnsi" w:hAnsiTheme="minorHAnsi" w:cstheme="minorHAnsi"/>
          <w:sz w:val="22"/>
          <w:szCs w:val="22"/>
        </w:rPr>
        <w:t xml:space="preserve"> 2012, deux</w:t>
      </w:r>
      <w:r w:rsidRPr="004D5442">
        <w:rPr>
          <w:rFonts w:asciiTheme="minorHAnsi" w:hAnsiTheme="minorHAnsi" w:cstheme="minorHAnsi"/>
          <w:sz w:val="22"/>
          <w:szCs w:val="22"/>
        </w:rPr>
        <w:t xml:space="preserve"> </w:t>
      </w:r>
      <w:r w:rsidR="001246CD">
        <w:rPr>
          <w:rFonts w:asciiTheme="minorHAnsi" w:hAnsiTheme="minorHAnsi" w:cstheme="minorHAnsi"/>
          <w:sz w:val="22"/>
          <w:szCs w:val="22"/>
        </w:rPr>
        <w:t>Wilayas</w:t>
      </w:r>
      <w:r w:rsidRPr="004D5442">
        <w:rPr>
          <w:rFonts w:asciiTheme="minorHAnsi" w:hAnsiTheme="minorHAnsi" w:cstheme="minorHAnsi"/>
          <w:sz w:val="22"/>
          <w:szCs w:val="22"/>
        </w:rPr>
        <w:t xml:space="preserve"> se distinguent des autres</w:t>
      </w:r>
      <w:r w:rsidR="004D1E7A">
        <w:rPr>
          <w:rFonts w:asciiTheme="minorHAnsi" w:hAnsiTheme="minorHAnsi" w:cstheme="minorHAnsi"/>
          <w:sz w:val="22"/>
          <w:szCs w:val="22"/>
        </w:rPr>
        <w:t xml:space="preserve"> avec un investissement dans le secteur</w:t>
      </w:r>
      <w:r w:rsidRPr="004D5442">
        <w:rPr>
          <w:rFonts w:asciiTheme="minorHAnsi" w:hAnsiTheme="minorHAnsi" w:cstheme="minorHAnsi"/>
          <w:sz w:val="22"/>
          <w:szCs w:val="22"/>
        </w:rPr>
        <w:t xml:space="preserve"> de l’assainissement (</w:t>
      </w:r>
      <w:proofErr w:type="spellStart"/>
      <w:r w:rsidRPr="004D5442">
        <w:rPr>
          <w:rFonts w:asciiTheme="minorHAnsi" w:hAnsiTheme="minorHAnsi" w:cstheme="minorHAnsi"/>
          <w:sz w:val="22"/>
          <w:szCs w:val="22"/>
        </w:rPr>
        <w:t>Dakhlet</w:t>
      </w:r>
      <w:proofErr w:type="spellEnd"/>
      <w:r w:rsidRPr="004D5442">
        <w:rPr>
          <w:rFonts w:asciiTheme="minorHAnsi" w:hAnsiTheme="minorHAnsi" w:cstheme="minorHAnsi"/>
          <w:sz w:val="22"/>
          <w:szCs w:val="22"/>
        </w:rPr>
        <w:t xml:space="preserve">-NDB, </w:t>
      </w:r>
      <w:proofErr w:type="spellStart"/>
      <w:r w:rsidRPr="004D5442">
        <w:rPr>
          <w:rFonts w:asciiTheme="minorHAnsi" w:hAnsiTheme="minorHAnsi" w:cstheme="minorHAnsi"/>
          <w:sz w:val="22"/>
          <w:szCs w:val="22"/>
        </w:rPr>
        <w:t>Tiris</w:t>
      </w:r>
      <w:proofErr w:type="spellEnd"/>
      <w:r w:rsidRPr="004D5442">
        <w:rPr>
          <w:rFonts w:asciiTheme="minorHAnsi" w:hAnsiTheme="minorHAnsi" w:cstheme="minorHAnsi"/>
          <w:sz w:val="22"/>
          <w:szCs w:val="22"/>
        </w:rPr>
        <w:t>-</w:t>
      </w:r>
      <w:proofErr w:type="spellStart"/>
      <w:r w:rsidRPr="004D5442">
        <w:rPr>
          <w:rFonts w:asciiTheme="minorHAnsi" w:hAnsiTheme="minorHAnsi" w:cstheme="minorHAnsi"/>
          <w:sz w:val="22"/>
          <w:szCs w:val="22"/>
        </w:rPr>
        <w:t>Zemmour</w:t>
      </w:r>
      <w:proofErr w:type="spellEnd"/>
      <w:r w:rsidR="004D1E7A">
        <w:rPr>
          <w:rFonts w:asciiTheme="minorHAnsi" w:hAnsiTheme="minorHAnsi" w:cstheme="minorHAnsi"/>
          <w:sz w:val="22"/>
          <w:szCs w:val="22"/>
        </w:rPr>
        <w:t xml:space="preserve">), normalement au 4ème rang </w:t>
      </w:r>
      <w:r w:rsidRPr="004D5442">
        <w:rPr>
          <w:rFonts w:asciiTheme="minorHAnsi" w:hAnsiTheme="minorHAnsi" w:cstheme="minorHAnsi"/>
          <w:sz w:val="22"/>
          <w:szCs w:val="22"/>
        </w:rPr>
        <w:t>des priorités d’investissement.</w:t>
      </w:r>
    </w:p>
    <w:p w:rsidR="000D7AED" w:rsidRDefault="000D7AED" w:rsidP="00222208">
      <w:pPr>
        <w:rPr>
          <w:rFonts w:asciiTheme="minorHAnsi" w:hAnsiTheme="minorHAnsi" w:cstheme="minorHAnsi"/>
          <w:sz w:val="22"/>
          <w:szCs w:val="22"/>
        </w:rPr>
      </w:pPr>
    </w:p>
    <w:p w:rsidR="000D7AED" w:rsidRDefault="00542441" w:rsidP="00222208">
      <w:pPr>
        <w:rPr>
          <w:rFonts w:asciiTheme="minorHAnsi" w:hAnsiTheme="minorHAnsi" w:cstheme="minorHAnsi"/>
          <w:sz w:val="22"/>
          <w:szCs w:val="22"/>
        </w:rPr>
      </w:pPr>
      <w:r>
        <w:rPr>
          <w:rFonts w:asciiTheme="minorHAnsi" w:hAnsiTheme="minorHAnsi" w:cstheme="minorHAnsi"/>
          <w:noProof/>
          <w:sz w:val="22"/>
          <w:szCs w:val="22"/>
        </w:rPr>
        <w:drawing>
          <wp:inline distT="0" distB="0" distL="0" distR="0">
            <wp:extent cx="6640093" cy="9067800"/>
            <wp:effectExtent l="19050" t="0" r="8357" b="0"/>
            <wp:docPr id="4" name="Image 8" descr="G:\FRD\Cartes FRD\Carte 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FRD\Cartes FRD\Carte 3-1.jpg"/>
                    <pic:cNvPicPr>
                      <a:picLocks noChangeAspect="1" noChangeArrowheads="1"/>
                    </pic:cNvPicPr>
                  </pic:nvPicPr>
                  <pic:blipFill>
                    <a:blip r:embed="rId18" cstate="print"/>
                    <a:srcRect/>
                    <a:stretch>
                      <a:fillRect/>
                    </a:stretch>
                  </pic:blipFill>
                  <pic:spPr bwMode="auto">
                    <a:xfrm>
                      <a:off x="0" y="0"/>
                      <a:ext cx="6640093" cy="9067800"/>
                    </a:xfrm>
                    <a:prstGeom prst="rect">
                      <a:avLst/>
                    </a:prstGeom>
                    <a:noFill/>
                    <a:ln w="9525">
                      <a:noFill/>
                      <a:miter lim="800000"/>
                      <a:headEnd/>
                      <a:tailEnd/>
                    </a:ln>
                  </pic:spPr>
                </pic:pic>
              </a:graphicData>
            </a:graphic>
          </wp:inline>
        </w:drawing>
      </w:r>
    </w:p>
    <w:p w:rsidR="003A442D" w:rsidRDefault="003A442D" w:rsidP="004D1E7A">
      <w:pPr>
        <w:jc w:val="both"/>
        <w:rPr>
          <w:rFonts w:asciiTheme="minorHAnsi" w:hAnsiTheme="minorHAnsi" w:cstheme="minorHAnsi"/>
          <w:sz w:val="22"/>
          <w:szCs w:val="22"/>
        </w:rPr>
      </w:pPr>
    </w:p>
    <w:p w:rsidR="004D1E7A" w:rsidRDefault="004D1E7A" w:rsidP="004D1E7A">
      <w:pPr>
        <w:jc w:val="both"/>
        <w:rPr>
          <w:rFonts w:asciiTheme="minorHAnsi" w:hAnsiTheme="minorHAnsi" w:cstheme="minorHAnsi"/>
          <w:sz w:val="22"/>
          <w:szCs w:val="22"/>
        </w:rPr>
      </w:pPr>
      <w:r>
        <w:rPr>
          <w:rFonts w:asciiTheme="minorHAnsi" w:hAnsiTheme="minorHAnsi" w:cstheme="minorHAnsi"/>
          <w:sz w:val="22"/>
          <w:szCs w:val="22"/>
        </w:rPr>
        <w:t>Les investissements répertoriés au second rang de priorité constituent au minimum 12</w:t>
      </w:r>
      <w:r w:rsidR="006F4530">
        <w:rPr>
          <w:rFonts w:asciiTheme="minorHAnsi" w:hAnsiTheme="minorHAnsi" w:cstheme="minorHAnsi"/>
          <w:sz w:val="22"/>
          <w:szCs w:val="22"/>
        </w:rPr>
        <w:t>% des crédits FRD engagés</w:t>
      </w:r>
      <w:r>
        <w:rPr>
          <w:rFonts w:asciiTheme="minorHAnsi" w:hAnsiTheme="minorHAnsi" w:cstheme="minorHAnsi"/>
          <w:sz w:val="22"/>
          <w:szCs w:val="22"/>
        </w:rPr>
        <w:t>, ils peuvent représenter jusqu’à 33% de ces crédits.</w:t>
      </w:r>
    </w:p>
    <w:p w:rsidR="004D1E7A" w:rsidRDefault="004D1E7A" w:rsidP="004D1E7A">
      <w:pPr>
        <w:jc w:val="both"/>
        <w:rPr>
          <w:rFonts w:asciiTheme="minorHAnsi" w:hAnsiTheme="minorHAnsi" w:cstheme="minorHAnsi"/>
          <w:sz w:val="22"/>
          <w:szCs w:val="22"/>
        </w:rPr>
      </w:pPr>
    </w:p>
    <w:p w:rsidR="004D1E7A" w:rsidRPr="004D5442" w:rsidRDefault="004D1E7A" w:rsidP="004D1E7A">
      <w:pPr>
        <w:jc w:val="both"/>
        <w:rPr>
          <w:rFonts w:asciiTheme="minorHAnsi" w:hAnsiTheme="minorHAnsi" w:cstheme="minorHAnsi"/>
          <w:sz w:val="22"/>
          <w:szCs w:val="22"/>
        </w:rPr>
      </w:pPr>
      <w:r w:rsidRPr="004D5442">
        <w:rPr>
          <w:rFonts w:asciiTheme="minorHAnsi" w:hAnsiTheme="minorHAnsi" w:cstheme="minorHAnsi"/>
          <w:sz w:val="22"/>
          <w:szCs w:val="22"/>
        </w:rPr>
        <w:t>Au niveau du rang n°</w:t>
      </w:r>
      <w:r>
        <w:rPr>
          <w:rFonts w:asciiTheme="minorHAnsi" w:hAnsiTheme="minorHAnsi" w:cstheme="minorHAnsi"/>
          <w:sz w:val="22"/>
          <w:szCs w:val="22"/>
        </w:rPr>
        <w:t>2</w:t>
      </w:r>
      <w:r w:rsidRPr="004D5442">
        <w:rPr>
          <w:rFonts w:asciiTheme="minorHAnsi" w:hAnsiTheme="minorHAnsi" w:cstheme="minorHAnsi"/>
          <w:sz w:val="22"/>
          <w:szCs w:val="22"/>
        </w:rPr>
        <w:t xml:space="preserve"> des prio</w:t>
      </w:r>
      <w:r>
        <w:rPr>
          <w:rFonts w:asciiTheme="minorHAnsi" w:hAnsiTheme="minorHAnsi" w:cstheme="minorHAnsi"/>
          <w:sz w:val="22"/>
          <w:szCs w:val="22"/>
        </w:rPr>
        <w:t>rités d’investissement 2012</w:t>
      </w:r>
      <w:r w:rsidRPr="004D5442">
        <w:rPr>
          <w:rFonts w:asciiTheme="minorHAnsi" w:hAnsiTheme="minorHAnsi" w:cstheme="minorHAnsi"/>
          <w:sz w:val="22"/>
          <w:szCs w:val="22"/>
        </w:rPr>
        <w:t xml:space="preserve">, trois </w:t>
      </w:r>
      <w:r w:rsidR="001246CD">
        <w:rPr>
          <w:rFonts w:asciiTheme="minorHAnsi" w:hAnsiTheme="minorHAnsi" w:cstheme="minorHAnsi"/>
          <w:sz w:val="22"/>
          <w:szCs w:val="22"/>
        </w:rPr>
        <w:t>Wilayas</w:t>
      </w:r>
      <w:r w:rsidRPr="004D5442">
        <w:rPr>
          <w:rFonts w:asciiTheme="minorHAnsi" w:hAnsiTheme="minorHAnsi" w:cstheme="minorHAnsi"/>
          <w:sz w:val="22"/>
          <w:szCs w:val="22"/>
        </w:rPr>
        <w:t xml:space="preserve"> se distinguent des autres avec un investissement dans les secteurs de l’assainissement (</w:t>
      </w:r>
      <w:r>
        <w:rPr>
          <w:rFonts w:asciiTheme="minorHAnsi" w:hAnsiTheme="minorHAnsi" w:cstheme="minorHAnsi"/>
          <w:sz w:val="22"/>
          <w:szCs w:val="22"/>
        </w:rPr>
        <w:t>Nouakchott</w:t>
      </w:r>
      <w:r w:rsidR="006F4530">
        <w:rPr>
          <w:rFonts w:asciiTheme="minorHAnsi" w:hAnsiTheme="minorHAnsi" w:cstheme="minorHAnsi"/>
          <w:sz w:val="22"/>
          <w:szCs w:val="22"/>
        </w:rPr>
        <w:t xml:space="preserve"> et </w:t>
      </w:r>
      <w:proofErr w:type="spellStart"/>
      <w:r w:rsidR="006F4530">
        <w:rPr>
          <w:rFonts w:asciiTheme="minorHAnsi" w:hAnsiTheme="minorHAnsi" w:cstheme="minorHAnsi"/>
          <w:sz w:val="22"/>
          <w:szCs w:val="22"/>
        </w:rPr>
        <w:t>Inchiri</w:t>
      </w:r>
      <w:proofErr w:type="spellEnd"/>
      <w:r w:rsidRPr="004D5442">
        <w:rPr>
          <w:rFonts w:asciiTheme="minorHAnsi" w:hAnsiTheme="minorHAnsi" w:cstheme="minorHAnsi"/>
          <w:sz w:val="22"/>
          <w:szCs w:val="22"/>
        </w:rPr>
        <w:t>)</w:t>
      </w:r>
      <w:r>
        <w:rPr>
          <w:rFonts w:asciiTheme="minorHAnsi" w:hAnsiTheme="minorHAnsi" w:cstheme="minorHAnsi"/>
          <w:sz w:val="22"/>
          <w:szCs w:val="22"/>
        </w:rPr>
        <w:t xml:space="preserve">, </w:t>
      </w:r>
      <w:r w:rsidR="006F4530">
        <w:rPr>
          <w:rFonts w:asciiTheme="minorHAnsi" w:hAnsiTheme="minorHAnsi" w:cstheme="minorHAnsi"/>
          <w:sz w:val="22"/>
          <w:szCs w:val="22"/>
        </w:rPr>
        <w:t>de l’entretien et maintenance (</w:t>
      </w:r>
      <w:proofErr w:type="spellStart"/>
      <w:r w:rsidR="006F4530">
        <w:rPr>
          <w:rFonts w:asciiTheme="minorHAnsi" w:hAnsiTheme="minorHAnsi" w:cstheme="minorHAnsi"/>
          <w:sz w:val="22"/>
          <w:szCs w:val="22"/>
        </w:rPr>
        <w:t>T</w:t>
      </w:r>
      <w:r>
        <w:rPr>
          <w:rFonts w:asciiTheme="minorHAnsi" w:hAnsiTheme="minorHAnsi" w:cstheme="minorHAnsi"/>
          <w:sz w:val="22"/>
          <w:szCs w:val="22"/>
        </w:rPr>
        <w:t>iris</w:t>
      </w:r>
      <w:proofErr w:type="spellEnd"/>
      <w:r>
        <w:rPr>
          <w:rFonts w:asciiTheme="minorHAnsi" w:hAnsiTheme="minorHAnsi" w:cstheme="minorHAnsi"/>
          <w:sz w:val="22"/>
          <w:szCs w:val="22"/>
        </w:rPr>
        <w:t>-</w:t>
      </w:r>
      <w:proofErr w:type="spellStart"/>
      <w:r>
        <w:rPr>
          <w:rFonts w:asciiTheme="minorHAnsi" w:hAnsiTheme="minorHAnsi" w:cstheme="minorHAnsi"/>
          <w:sz w:val="22"/>
          <w:szCs w:val="22"/>
        </w:rPr>
        <w:t>Zemmour</w:t>
      </w:r>
      <w:proofErr w:type="spellEnd"/>
      <w:r>
        <w:rPr>
          <w:rFonts w:asciiTheme="minorHAnsi" w:hAnsiTheme="minorHAnsi" w:cstheme="minorHAnsi"/>
          <w:sz w:val="22"/>
          <w:szCs w:val="22"/>
        </w:rPr>
        <w:t>).</w:t>
      </w:r>
      <w:r w:rsidRPr="004D5442">
        <w:rPr>
          <w:rFonts w:asciiTheme="minorHAnsi" w:hAnsiTheme="minorHAnsi" w:cstheme="minorHAnsi"/>
          <w:sz w:val="22"/>
          <w:szCs w:val="22"/>
        </w:rPr>
        <w:t xml:space="preserve"> Ces secteurs  au niveau national ne se trouvent qu’aux </w:t>
      </w:r>
      <w:r w:rsidR="006F4530">
        <w:rPr>
          <w:rFonts w:asciiTheme="minorHAnsi" w:hAnsiTheme="minorHAnsi" w:cstheme="minorHAnsi"/>
          <w:sz w:val="22"/>
          <w:szCs w:val="22"/>
        </w:rPr>
        <w:t>4</w:t>
      </w:r>
      <w:r w:rsidRPr="004D5442">
        <w:rPr>
          <w:rFonts w:asciiTheme="minorHAnsi" w:hAnsiTheme="minorHAnsi" w:cstheme="minorHAnsi"/>
          <w:sz w:val="22"/>
          <w:szCs w:val="22"/>
          <w:vertAlign w:val="superscript"/>
        </w:rPr>
        <w:t>ème</w:t>
      </w:r>
      <w:r>
        <w:rPr>
          <w:rFonts w:asciiTheme="minorHAnsi" w:hAnsiTheme="minorHAnsi" w:cstheme="minorHAnsi"/>
          <w:sz w:val="22"/>
          <w:szCs w:val="22"/>
        </w:rPr>
        <w:t xml:space="preserve"> </w:t>
      </w:r>
      <w:r w:rsidR="006F4530">
        <w:rPr>
          <w:rFonts w:asciiTheme="minorHAnsi" w:hAnsiTheme="minorHAnsi" w:cstheme="minorHAnsi"/>
          <w:sz w:val="22"/>
          <w:szCs w:val="22"/>
        </w:rPr>
        <w:t>et 11</w:t>
      </w:r>
      <w:r w:rsidRPr="00DF705F">
        <w:rPr>
          <w:rFonts w:asciiTheme="minorHAnsi" w:hAnsiTheme="minorHAnsi" w:cstheme="minorHAnsi"/>
          <w:sz w:val="22"/>
          <w:szCs w:val="22"/>
          <w:vertAlign w:val="superscript"/>
        </w:rPr>
        <w:t>ème</w:t>
      </w:r>
      <w:r>
        <w:rPr>
          <w:rFonts w:asciiTheme="minorHAnsi" w:hAnsiTheme="minorHAnsi" w:cstheme="minorHAnsi"/>
          <w:sz w:val="22"/>
          <w:szCs w:val="22"/>
        </w:rPr>
        <w:t xml:space="preserve"> </w:t>
      </w:r>
      <w:r w:rsidRPr="004D5442">
        <w:rPr>
          <w:rFonts w:asciiTheme="minorHAnsi" w:hAnsiTheme="minorHAnsi" w:cstheme="minorHAnsi"/>
          <w:sz w:val="22"/>
          <w:szCs w:val="22"/>
        </w:rPr>
        <w:t>rangs des priorités d’investissement.</w:t>
      </w:r>
    </w:p>
    <w:p w:rsidR="004D1E7A" w:rsidRDefault="004D1E7A" w:rsidP="00222208">
      <w:pPr>
        <w:rPr>
          <w:rFonts w:asciiTheme="minorHAnsi" w:hAnsiTheme="minorHAnsi" w:cstheme="minorHAnsi"/>
        </w:rPr>
      </w:pPr>
    </w:p>
    <w:p w:rsidR="003A442D" w:rsidRDefault="003A442D" w:rsidP="00222208">
      <w:pPr>
        <w:rPr>
          <w:rFonts w:asciiTheme="minorHAnsi" w:hAnsiTheme="minorHAnsi" w:cstheme="minorHAnsi"/>
        </w:rPr>
      </w:pPr>
    </w:p>
    <w:p w:rsidR="003A442D" w:rsidRDefault="003A442D" w:rsidP="00222208">
      <w:pPr>
        <w:rPr>
          <w:rFonts w:asciiTheme="minorHAnsi" w:hAnsiTheme="minorHAnsi" w:cstheme="minorHAnsi"/>
        </w:rPr>
      </w:pPr>
    </w:p>
    <w:p w:rsidR="00B54625" w:rsidRDefault="00D5776D" w:rsidP="00222208">
      <w:pPr>
        <w:rPr>
          <w:rFonts w:asciiTheme="minorHAnsi" w:hAnsiTheme="minorHAnsi" w:cstheme="minorHAnsi"/>
        </w:rPr>
      </w:pPr>
      <w:r w:rsidRPr="00D5776D">
        <w:rPr>
          <w:rFonts w:asciiTheme="minorHAnsi" w:hAnsiTheme="minorHAnsi" w:cstheme="minorHAnsi"/>
          <w:noProof/>
        </w:rPr>
        <w:drawing>
          <wp:inline distT="0" distB="0" distL="0" distR="0">
            <wp:extent cx="6645910" cy="7458075"/>
            <wp:effectExtent l="19050" t="0" r="2540" b="0"/>
            <wp:docPr id="217" name="Image 9" descr="G:\FRD\Cartes FRD\Carte 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FRD\Cartes FRD\Carte 4-2.jpg"/>
                    <pic:cNvPicPr>
                      <a:picLocks noChangeAspect="1" noChangeArrowheads="1"/>
                    </pic:cNvPicPr>
                  </pic:nvPicPr>
                  <pic:blipFill>
                    <a:blip r:embed="rId19" cstate="print"/>
                    <a:srcRect/>
                    <a:stretch>
                      <a:fillRect/>
                    </a:stretch>
                  </pic:blipFill>
                  <pic:spPr bwMode="auto">
                    <a:xfrm>
                      <a:off x="0" y="0"/>
                      <a:ext cx="6645910" cy="7458075"/>
                    </a:xfrm>
                    <a:prstGeom prst="rect">
                      <a:avLst/>
                    </a:prstGeom>
                    <a:noFill/>
                    <a:ln w="9525">
                      <a:noFill/>
                      <a:miter lim="800000"/>
                      <a:headEnd/>
                      <a:tailEnd/>
                    </a:ln>
                  </pic:spPr>
                </pic:pic>
              </a:graphicData>
            </a:graphic>
          </wp:inline>
        </w:drawing>
      </w:r>
    </w:p>
    <w:p w:rsidR="00805FB5" w:rsidRDefault="00805FB5" w:rsidP="00805FB5">
      <w:pPr>
        <w:jc w:val="both"/>
        <w:rPr>
          <w:rFonts w:asciiTheme="minorHAnsi" w:hAnsiTheme="minorHAnsi" w:cstheme="minorHAnsi"/>
          <w:sz w:val="22"/>
          <w:szCs w:val="22"/>
        </w:rPr>
      </w:pPr>
    </w:p>
    <w:p w:rsidR="00805FB5" w:rsidRDefault="00805FB5" w:rsidP="00805FB5">
      <w:pPr>
        <w:jc w:val="both"/>
        <w:rPr>
          <w:rFonts w:asciiTheme="minorHAnsi" w:hAnsiTheme="minorHAnsi" w:cstheme="minorHAnsi"/>
          <w:sz w:val="22"/>
          <w:szCs w:val="22"/>
        </w:rPr>
      </w:pPr>
      <w:r>
        <w:rPr>
          <w:rFonts w:asciiTheme="minorHAnsi" w:hAnsiTheme="minorHAnsi" w:cstheme="minorHAnsi"/>
          <w:sz w:val="22"/>
          <w:szCs w:val="22"/>
        </w:rPr>
        <w:t>Les investissements répertoriés au troisième rang de prio</w:t>
      </w:r>
      <w:r w:rsidR="006F4530">
        <w:rPr>
          <w:rFonts w:asciiTheme="minorHAnsi" w:hAnsiTheme="minorHAnsi" w:cstheme="minorHAnsi"/>
          <w:sz w:val="22"/>
          <w:szCs w:val="22"/>
        </w:rPr>
        <w:t>rité constituent au minimum 9% des crédits FRD engagés</w:t>
      </w:r>
      <w:r>
        <w:rPr>
          <w:rFonts w:asciiTheme="minorHAnsi" w:hAnsiTheme="minorHAnsi" w:cstheme="minorHAnsi"/>
          <w:sz w:val="22"/>
          <w:szCs w:val="22"/>
        </w:rPr>
        <w:t>, ils peuvent représenter jus</w:t>
      </w:r>
      <w:r w:rsidR="006F4530">
        <w:rPr>
          <w:rFonts w:asciiTheme="minorHAnsi" w:hAnsiTheme="minorHAnsi" w:cstheme="minorHAnsi"/>
          <w:sz w:val="22"/>
          <w:szCs w:val="22"/>
        </w:rPr>
        <w:t>qu’à 24</w:t>
      </w:r>
      <w:r>
        <w:rPr>
          <w:rFonts w:asciiTheme="minorHAnsi" w:hAnsiTheme="minorHAnsi" w:cstheme="minorHAnsi"/>
          <w:sz w:val="22"/>
          <w:szCs w:val="22"/>
        </w:rPr>
        <w:t>% de ces crédits.</w:t>
      </w:r>
    </w:p>
    <w:p w:rsidR="00805FB5" w:rsidRDefault="00805FB5" w:rsidP="00805FB5">
      <w:pPr>
        <w:jc w:val="both"/>
        <w:rPr>
          <w:rFonts w:asciiTheme="minorHAnsi" w:hAnsiTheme="minorHAnsi" w:cstheme="minorHAnsi"/>
          <w:sz w:val="22"/>
          <w:szCs w:val="22"/>
        </w:rPr>
      </w:pPr>
    </w:p>
    <w:p w:rsidR="005817A9" w:rsidRDefault="00805FB5" w:rsidP="00805FB5">
      <w:pPr>
        <w:jc w:val="both"/>
        <w:rPr>
          <w:rFonts w:asciiTheme="minorHAnsi" w:hAnsiTheme="minorHAnsi" w:cstheme="minorHAnsi"/>
          <w:sz w:val="22"/>
          <w:szCs w:val="22"/>
        </w:rPr>
      </w:pPr>
      <w:r w:rsidRPr="004D5442">
        <w:rPr>
          <w:rFonts w:asciiTheme="minorHAnsi" w:hAnsiTheme="minorHAnsi" w:cstheme="minorHAnsi"/>
          <w:sz w:val="22"/>
          <w:szCs w:val="22"/>
        </w:rPr>
        <w:t>Au niveau du rang n°</w:t>
      </w:r>
      <w:r>
        <w:rPr>
          <w:rFonts w:asciiTheme="minorHAnsi" w:hAnsiTheme="minorHAnsi" w:cstheme="minorHAnsi"/>
          <w:sz w:val="22"/>
          <w:szCs w:val="22"/>
        </w:rPr>
        <w:t>3</w:t>
      </w:r>
      <w:r w:rsidRPr="004D5442">
        <w:rPr>
          <w:rFonts w:asciiTheme="minorHAnsi" w:hAnsiTheme="minorHAnsi" w:cstheme="minorHAnsi"/>
          <w:sz w:val="22"/>
          <w:szCs w:val="22"/>
        </w:rPr>
        <w:t xml:space="preserve"> des</w:t>
      </w:r>
      <w:r w:rsidR="006F4530">
        <w:rPr>
          <w:rFonts w:asciiTheme="minorHAnsi" w:hAnsiTheme="minorHAnsi" w:cstheme="minorHAnsi"/>
          <w:sz w:val="22"/>
          <w:szCs w:val="22"/>
        </w:rPr>
        <w:t xml:space="preserve"> priorités d’investissement 2012, sept</w:t>
      </w:r>
      <w:r w:rsidRPr="004D5442">
        <w:rPr>
          <w:rFonts w:asciiTheme="minorHAnsi" w:hAnsiTheme="minorHAnsi" w:cstheme="minorHAnsi"/>
          <w:sz w:val="22"/>
          <w:szCs w:val="22"/>
        </w:rPr>
        <w:t xml:space="preserve"> </w:t>
      </w:r>
      <w:r w:rsidR="001246CD">
        <w:rPr>
          <w:rFonts w:asciiTheme="minorHAnsi" w:hAnsiTheme="minorHAnsi" w:cstheme="minorHAnsi"/>
          <w:sz w:val="22"/>
          <w:szCs w:val="22"/>
        </w:rPr>
        <w:t>Wilayas</w:t>
      </w:r>
      <w:r w:rsidR="006F4530">
        <w:rPr>
          <w:rFonts w:asciiTheme="minorHAnsi" w:hAnsiTheme="minorHAnsi" w:cstheme="minorHAnsi"/>
          <w:sz w:val="22"/>
          <w:szCs w:val="22"/>
        </w:rPr>
        <w:t xml:space="preserve"> se distinguent</w:t>
      </w:r>
      <w:r w:rsidR="005817A9">
        <w:rPr>
          <w:rFonts w:asciiTheme="minorHAnsi" w:hAnsiTheme="minorHAnsi" w:cstheme="minorHAnsi"/>
          <w:sz w:val="22"/>
          <w:szCs w:val="22"/>
        </w:rPr>
        <w:t> :</w:t>
      </w:r>
    </w:p>
    <w:p w:rsidR="005817A9" w:rsidRDefault="006F4530" w:rsidP="002F04D1">
      <w:pPr>
        <w:pStyle w:val="Paragraphedeliste"/>
        <w:numPr>
          <w:ilvl w:val="0"/>
          <w:numId w:val="11"/>
        </w:numPr>
        <w:jc w:val="both"/>
        <w:rPr>
          <w:rFonts w:asciiTheme="minorHAnsi" w:hAnsiTheme="minorHAnsi" w:cstheme="minorHAnsi"/>
          <w:sz w:val="22"/>
          <w:szCs w:val="22"/>
        </w:rPr>
      </w:pPr>
      <w:r w:rsidRPr="005817A9">
        <w:rPr>
          <w:rFonts w:asciiTheme="minorHAnsi" w:hAnsiTheme="minorHAnsi" w:cstheme="minorHAnsi"/>
          <w:sz w:val="22"/>
          <w:szCs w:val="22"/>
        </w:rPr>
        <w:t>par</w:t>
      </w:r>
      <w:r w:rsidR="005817A9">
        <w:rPr>
          <w:rFonts w:asciiTheme="minorHAnsi" w:hAnsiTheme="minorHAnsi" w:cstheme="minorHAnsi"/>
          <w:sz w:val="22"/>
          <w:szCs w:val="22"/>
        </w:rPr>
        <w:t xml:space="preserve"> un investissement dans le secteur</w:t>
      </w:r>
      <w:r w:rsidR="00805FB5" w:rsidRPr="005817A9">
        <w:rPr>
          <w:rFonts w:asciiTheme="minorHAnsi" w:hAnsiTheme="minorHAnsi" w:cstheme="minorHAnsi"/>
          <w:sz w:val="22"/>
          <w:szCs w:val="22"/>
        </w:rPr>
        <w:t xml:space="preserve"> </w:t>
      </w:r>
      <w:r w:rsidRPr="005817A9">
        <w:rPr>
          <w:rFonts w:asciiTheme="minorHAnsi" w:hAnsiTheme="minorHAnsi" w:cstheme="minorHAnsi"/>
          <w:sz w:val="22"/>
          <w:szCs w:val="22"/>
        </w:rPr>
        <w:t>de la santé</w:t>
      </w:r>
      <w:r w:rsidR="005817A9" w:rsidRPr="005817A9">
        <w:rPr>
          <w:rFonts w:asciiTheme="minorHAnsi" w:hAnsiTheme="minorHAnsi" w:cstheme="minorHAnsi"/>
          <w:sz w:val="22"/>
          <w:szCs w:val="22"/>
        </w:rPr>
        <w:t xml:space="preserve"> (7</w:t>
      </w:r>
      <w:r w:rsidR="005817A9" w:rsidRPr="005817A9">
        <w:rPr>
          <w:rFonts w:asciiTheme="minorHAnsi" w:hAnsiTheme="minorHAnsi" w:cstheme="minorHAnsi"/>
          <w:sz w:val="22"/>
          <w:szCs w:val="22"/>
          <w:vertAlign w:val="superscript"/>
        </w:rPr>
        <w:t>ème</w:t>
      </w:r>
      <w:r w:rsidR="005817A9" w:rsidRPr="005817A9">
        <w:rPr>
          <w:rFonts w:asciiTheme="minorHAnsi" w:hAnsiTheme="minorHAnsi" w:cstheme="minorHAnsi"/>
          <w:sz w:val="22"/>
          <w:szCs w:val="22"/>
        </w:rPr>
        <w:t xml:space="preserve"> rang au niveau national)</w:t>
      </w:r>
      <w:r w:rsidR="005817A9">
        <w:rPr>
          <w:rFonts w:asciiTheme="minorHAnsi" w:hAnsiTheme="minorHAnsi" w:cstheme="minorHAnsi"/>
          <w:sz w:val="22"/>
          <w:szCs w:val="22"/>
        </w:rPr>
        <w:t xml:space="preserve">. Il s’agit des </w:t>
      </w:r>
      <w:r w:rsidR="001246CD">
        <w:rPr>
          <w:rFonts w:asciiTheme="minorHAnsi" w:hAnsiTheme="minorHAnsi" w:cstheme="minorHAnsi"/>
          <w:sz w:val="22"/>
          <w:szCs w:val="22"/>
        </w:rPr>
        <w:t>Wilayas</w:t>
      </w:r>
      <w:r w:rsidR="005817A9">
        <w:rPr>
          <w:rFonts w:asciiTheme="minorHAnsi" w:hAnsiTheme="minorHAnsi" w:cstheme="minorHAnsi"/>
          <w:sz w:val="22"/>
          <w:szCs w:val="22"/>
        </w:rPr>
        <w:t xml:space="preserve"> de l’</w:t>
      </w:r>
      <w:proofErr w:type="spellStart"/>
      <w:r w:rsidR="005817A9">
        <w:rPr>
          <w:rFonts w:asciiTheme="minorHAnsi" w:hAnsiTheme="minorHAnsi" w:cstheme="minorHAnsi"/>
          <w:sz w:val="22"/>
          <w:szCs w:val="22"/>
        </w:rPr>
        <w:t>Inchiri</w:t>
      </w:r>
      <w:proofErr w:type="spellEnd"/>
      <w:r w:rsidR="005817A9">
        <w:rPr>
          <w:rFonts w:asciiTheme="minorHAnsi" w:hAnsiTheme="minorHAnsi" w:cstheme="minorHAnsi"/>
          <w:sz w:val="22"/>
          <w:szCs w:val="22"/>
        </w:rPr>
        <w:t xml:space="preserve"> et du </w:t>
      </w:r>
      <w:proofErr w:type="spellStart"/>
      <w:r w:rsidR="005817A9">
        <w:rPr>
          <w:rFonts w:asciiTheme="minorHAnsi" w:hAnsiTheme="minorHAnsi" w:cstheme="minorHAnsi"/>
          <w:sz w:val="22"/>
          <w:szCs w:val="22"/>
        </w:rPr>
        <w:t>Hodh</w:t>
      </w:r>
      <w:proofErr w:type="spellEnd"/>
      <w:r w:rsidR="005817A9">
        <w:rPr>
          <w:rFonts w:asciiTheme="minorHAnsi" w:hAnsiTheme="minorHAnsi" w:cstheme="minorHAnsi"/>
          <w:sz w:val="22"/>
          <w:szCs w:val="22"/>
        </w:rPr>
        <w:t xml:space="preserve"> </w:t>
      </w:r>
      <w:proofErr w:type="spellStart"/>
      <w:r w:rsidR="005817A9">
        <w:rPr>
          <w:rFonts w:asciiTheme="minorHAnsi" w:hAnsiTheme="minorHAnsi" w:cstheme="minorHAnsi"/>
          <w:sz w:val="22"/>
          <w:szCs w:val="22"/>
        </w:rPr>
        <w:t>Echargui</w:t>
      </w:r>
      <w:proofErr w:type="spellEnd"/>
      <w:r w:rsidR="005817A9">
        <w:rPr>
          <w:rFonts w:asciiTheme="minorHAnsi" w:hAnsiTheme="minorHAnsi" w:cstheme="minorHAnsi"/>
          <w:sz w:val="22"/>
          <w:szCs w:val="22"/>
        </w:rPr>
        <w:t>.</w:t>
      </w:r>
    </w:p>
    <w:p w:rsidR="005817A9" w:rsidRDefault="005817A9" w:rsidP="002F04D1">
      <w:pPr>
        <w:pStyle w:val="Paragraphedeliste"/>
        <w:numPr>
          <w:ilvl w:val="0"/>
          <w:numId w:val="11"/>
        </w:numPr>
        <w:jc w:val="both"/>
        <w:rPr>
          <w:rFonts w:asciiTheme="minorHAnsi" w:hAnsiTheme="minorHAnsi" w:cstheme="minorHAnsi"/>
          <w:sz w:val="22"/>
          <w:szCs w:val="22"/>
        </w:rPr>
      </w:pPr>
      <w:r w:rsidRPr="005817A9">
        <w:rPr>
          <w:rFonts w:asciiTheme="minorHAnsi" w:hAnsiTheme="minorHAnsi" w:cstheme="minorHAnsi"/>
          <w:sz w:val="22"/>
          <w:szCs w:val="22"/>
        </w:rPr>
        <w:t>par</w:t>
      </w:r>
      <w:r>
        <w:rPr>
          <w:rFonts w:asciiTheme="minorHAnsi" w:hAnsiTheme="minorHAnsi" w:cstheme="minorHAnsi"/>
          <w:sz w:val="22"/>
          <w:szCs w:val="22"/>
        </w:rPr>
        <w:t xml:space="preserve"> un investissement dans le secteur</w:t>
      </w:r>
      <w:r w:rsidRPr="005817A9">
        <w:rPr>
          <w:rFonts w:asciiTheme="minorHAnsi" w:hAnsiTheme="minorHAnsi" w:cstheme="minorHAnsi"/>
          <w:sz w:val="22"/>
          <w:szCs w:val="22"/>
        </w:rPr>
        <w:t xml:space="preserve"> </w:t>
      </w:r>
      <w:r>
        <w:rPr>
          <w:rFonts w:asciiTheme="minorHAnsi" w:hAnsiTheme="minorHAnsi" w:cstheme="minorHAnsi"/>
          <w:sz w:val="22"/>
          <w:szCs w:val="22"/>
        </w:rPr>
        <w:t xml:space="preserve">de l’assainissement </w:t>
      </w:r>
      <w:r w:rsidRPr="005817A9">
        <w:rPr>
          <w:rFonts w:asciiTheme="minorHAnsi" w:hAnsiTheme="minorHAnsi" w:cstheme="minorHAnsi"/>
          <w:sz w:val="22"/>
          <w:szCs w:val="22"/>
        </w:rPr>
        <w:t>(</w:t>
      </w:r>
      <w:r>
        <w:rPr>
          <w:rFonts w:asciiTheme="minorHAnsi" w:hAnsiTheme="minorHAnsi" w:cstheme="minorHAnsi"/>
          <w:sz w:val="22"/>
          <w:szCs w:val="22"/>
        </w:rPr>
        <w:t>4</w:t>
      </w:r>
      <w:r w:rsidRPr="005817A9">
        <w:rPr>
          <w:rFonts w:asciiTheme="minorHAnsi" w:hAnsiTheme="minorHAnsi" w:cstheme="minorHAnsi"/>
          <w:sz w:val="22"/>
          <w:szCs w:val="22"/>
          <w:vertAlign w:val="superscript"/>
        </w:rPr>
        <w:t>ème</w:t>
      </w:r>
      <w:r w:rsidRPr="005817A9">
        <w:rPr>
          <w:rFonts w:asciiTheme="minorHAnsi" w:hAnsiTheme="minorHAnsi" w:cstheme="minorHAnsi"/>
          <w:sz w:val="22"/>
          <w:szCs w:val="22"/>
        </w:rPr>
        <w:t xml:space="preserve"> rang au niveau national)</w:t>
      </w:r>
      <w:r>
        <w:rPr>
          <w:rFonts w:asciiTheme="minorHAnsi" w:hAnsiTheme="minorHAnsi" w:cstheme="minorHAnsi"/>
          <w:sz w:val="22"/>
          <w:szCs w:val="22"/>
        </w:rPr>
        <w:t xml:space="preserve"> : la </w:t>
      </w:r>
      <w:r w:rsidR="001246CD">
        <w:rPr>
          <w:rFonts w:asciiTheme="minorHAnsi" w:hAnsiTheme="minorHAnsi" w:cstheme="minorHAnsi"/>
          <w:sz w:val="22"/>
          <w:szCs w:val="22"/>
        </w:rPr>
        <w:t>Wilaya</w:t>
      </w:r>
      <w:r>
        <w:rPr>
          <w:rFonts w:asciiTheme="minorHAnsi" w:hAnsiTheme="minorHAnsi" w:cstheme="minorHAnsi"/>
          <w:sz w:val="22"/>
          <w:szCs w:val="22"/>
        </w:rPr>
        <w:t xml:space="preserve"> du </w:t>
      </w:r>
      <w:proofErr w:type="spellStart"/>
      <w:r>
        <w:rPr>
          <w:rFonts w:asciiTheme="minorHAnsi" w:hAnsiTheme="minorHAnsi" w:cstheme="minorHAnsi"/>
          <w:sz w:val="22"/>
          <w:szCs w:val="22"/>
        </w:rPr>
        <w:t>Tagant</w:t>
      </w:r>
      <w:proofErr w:type="spellEnd"/>
      <w:r>
        <w:rPr>
          <w:rFonts w:asciiTheme="minorHAnsi" w:hAnsiTheme="minorHAnsi" w:cstheme="minorHAnsi"/>
          <w:sz w:val="22"/>
          <w:szCs w:val="22"/>
        </w:rPr>
        <w:t>.</w:t>
      </w:r>
    </w:p>
    <w:p w:rsidR="005817A9" w:rsidRDefault="005817A9" w:rsidP="002F04D1">
      <w:pPr>
        <w:pStyle w:val="Paragraphedeliste"/>
        <w:numPr>
          <w:ilvl w:val="0"/>
          <w:numId w:val="11"/>
        </w:numPr>
        <w:jc w:val="both"/>
        <w:rPr>
          <w:rFonts w:asciiTheme="minorHAnsi" w:hAnsiTheme="minorHAnsi" w:cstheme="minorHAnsi"/>
          <w:sz w:val="22"/>
          <w:szCs w:val="22"/>
        </w:rPr>
      </w:pPr>
      <w:r w:rsidRPr="005817A9">
        <w:rPr>
          <w:rFonts w:asciiTheme="minorHAnsi" w:hAnsiTheme="minorHAnsi" w:cstheme="minorHAnsi"/>
          <w:sz w:val="22"/>
          <w:szCs w:val="22"/>
        </w:rPr>
        <w:t>par</w:t>
      </w:r>
      <w:r>
        <w:rPr>
          <w:rFonts w:asciiTheme="minorHAnsi" w:hAnsiTheme="minorHAnsi" w:cstheme="minorHAnsi"/>
          <w:sz w:val="22"/>
          <w:szCs w:val="22"/>
        </w:rPr>
        <w:t xml:space="preserve"> un investissement dans le secteur</w:t>
      </w:r>
      <w:r w:rsidRPr="005817A9">
        <w:rPr>
          <w:rFonts w:asciiTheme="minorHAnsi" w:hAnsiTheme="minorHAnsi" w:cstheme="minorHAnsi"/>
          <w:sz w:val="22"/>
          <w:szCs w:val="22"/>
        </w:rPr>
        <w:t xml:space="preserve"> </w:t>
      </w:r>
      <w:r>
        <w:rPr>
          <w:rFonts w:asciiTheme="minorHAnsi" w:hAnsiTheme="minorHAnsi" w:cstheme="minorHAnsi"/>
          <w:sz w:val="22"/>
          <w:szCs w:val="22"/>
        </w:rPr>
        <w:t xml:space="preserve">de l’équipement des mairies </w:t>
      </w:r>
      <w:r w:rsidRPr="005817A9">
        <w:rPr>
          <w:rFonts w:asciiTheme="minorHAnsi" w:hAnsiTheme="minorHAnsi" w:cstheme="minorHAnsi"/>
          <w:sz w:val="22"/>
          <w:szCs w:val="22"/>
        </w:rPr>
        <w:t>(</w:t>
      </w:r>
      <w:r>
        <w:rPr>
          <w:rFonts w:asciiTheme="minorHAnsi" w:hAnsiTheme="minorHAnsi" w:cstheme="minorHAnsi"/>
          <w:sz w:val="22"/>
          <w:szCs w:val="22"/>
        </w:rPr>
        <w:t>5</w:t>
      </w:r>
      <w:r w:rsidRPr="005817A9">
        <w:rPr>
          <w:rFonts w:asciiTheme="minorHAnsi" w:hAnsiTheme="minorHAnsi" w:cstheme="minorHAnsi"/>
          <w:sz w:val="22"/>
          <w:szCs w:val="22"/>
          <w:vertAlign w:val="superscript"/>
        </w:rPr>
        <w:t>ème</w:t>
      </w:r>
      <w:r w:rsidRPr="005817A9">
        <w:rPr>
          <w:rFonts w:asciiTheme="minorHAnsi" w:hAnsiTheme="minorHAnsi" w:cstheme="minorHAnsi"/>
          <w:sz w:val="22"/>
          <w:szCs w:val="22"/>
        </w:rPr>
        <w:t xml:space="preserve"> rang au niveau national)</w:t>
      </w:r>
      <w:r w:rsidR="001246CD">
        <w:rPr>
          <w:rFonts w:asciiTheme="minorHAnsi" w:hAnsiTheme="minorHAnsi" w:cstheme="minorHAnsi"/>
          <w:sz w:val="22"/>
          <w:szCs w:val="22"/>
        </w:rPr>
        <w:t xml:space="preserve"> : la Wilaya du </w:t>
      </w:r>
      <w:proofErr w:type="spellStart"/>
      <w:r>
        <w:rPr>
          <w:rFonts w:asciiTheme="minorHAnsi" w:hAnsiTheme="minorHAnsi" w:cstheme="minorHAnsi"/>
          <w:sz w:val="22"/>
          <w:szCs w:val="22"/>
        </w:rPr>
        <w:t>Hodh</w:t>
      </w:r>
      <w:proofErr w:type="spellEnd"/>
      <w:r>
        <w:rPr>
          <w:rFonts w:asciiTheme="minorHAnsi" w:hAnsiTheme="minorHAnsi" w:cstheme="minorHAnsi"/>
          <w:sz w:val="22"/>
          <w:szCs w:val="22"/>
        </w:rPr>
        <w:t xml:space="preserve"> El Gharbi.</w:t>
      </w:r>
    </w:p>
    <w:p w:rsidR="005817A9" w:rsidRDefault="005817A9" w:rsidP="002F04D1">
      <w:pPr>
        <w:pStyle w:val="Paragraphedeliste"/>
        <w:numPr>
          <w:ilvl w:val="0"/>
          <w:numId w:val="11"/>
        </w:numPr>
        <w:jc w:val="both"/>
        <w:rPr>
          <w:rFonts w:asciiTheme="minorHAnsi" w:hAnsiTheme="minorHAnsi" w:cstheme="minorHAnsi"/>
          <w:sz w:val="22"/>
          <w:szCs w:val="22"/>
        </w:rPr>
      </w:pPr>
      <w:r w:rsidRPr="005817A9">
        <w:rPr>
          <w:rFonts w:asciiTheme="minorHAnsi" w:hAnsiTheme="minorHAnsi" w:cstheme="minorHAnsi"/>
          <w:sz w:val="22"/>
          <w:szCs w:val="22"/>
        </w:rPr>
        <w:t>par</w:t>
      </w:r>
      <w:r>
        <w:rPr>
          <w:rFonts w:asciiTheme="minorHAnsi" w:hAnsiTheme="minorHAnsi" w:cstheme="minorHAnsi"/>
          <w:sz w:val="22"/>
          <w:szCs w:val="22"/>
        </w:rPr>
        <w:t xml:space="preserve"> un investissement dans le secteur</w:t>
      </w:r>
      <w:r w:rsidRPr="005817A9">
        <w:rPr>
          <w:rFonts w:asciiTheme="minorHAnsi" w:hAnsiTheme="minorHAnsi" w:cstheme="minorHAnsi"/>
          <w:sz w:val="22"/>
          <w:szCs w:val="22"/>
        </w:rPr>
        <w:t xml:space="preserve"> </w:t>
      </w:r>
      <w:proofErr w:type="spellStart"/>
      <w:r>
        <w:rPr>
          <w:rFonts w:asciiTheme="minorHAnsi" w:hAnsiTheme="minorHAnsi" w:cstheme="minorHAnsi"/>
          <w:sz w:val="22"/>
          <w:szCs w:val="22"/>
        </w:rPr>
        <w:t>socio-culturel</w:t>
      </w:r>
      <w:proofErr w:type="spellEnd"/>
      <w:r>
        <w:rPr>
          <w:rFonts w:asciiTheme="minorHAnsi" w:hAnsiTheme="minorHAnsi" w:cstheme="minorHAnsi"/>
          <w:sz w:val="22"/>
          <w:szCs w:val="22"/>
        </w:rPr>
        <w:t xml:space="preserve"> </w:t>
      </w:r>
      <w:r w:rsidRPr="005817A9">
        <w:rPr>
          <w:rFonts w:asciiTheme="minorHAnsi" w:hAnsiTheme="minorHAnsi" w:cstheme="minorHAnsi"/>
          <w:sz w:val="22"/>
          <w:szCs w:val="22"/>
        </w:rPr>
        <w:t>(</w:t>
      </w:r>
      <w:r>
        <w:rPr>
          <w:rFonts w:asciiTheme="minorHAnsi" w:hAnsiTheme="minorHAnsi" w:cstheme="minorHAnsi"/>
          <w:sz w:val="22"/>
          <w:szCs w:val="22"/>
        </w:rPr>
        <w:t>6</w:t>
      </w:r>
      <w:r w:rsidRPr="005817A9">
        <w:rPr>
          <w:rFonts w:asciiTheme="minorHAnsi" w:hAnsiTheme="minorHAnsi" w:cstheme="minorHAnsi"/>
          <w:sz w:val="22"/>
          <w:szCs w:val="22"/>
          <w:vertAlign w:val="superscript"/>
        </w:rPr>
        <w:t>ème</w:t>
      </w:r>
      <w:r w:rsidRPr="005817A9">
        <w:rPr>
          <w:rFonts w:asciiTheme="minorHAnsi" w:hAnsiTheme="minorHAnsi" w:cstheme="minorHAnsi"/>
          <w:sz w:val="22"/>
          <w:szCs w:val="22"/>
        </w:rPr>
        <w:t xml:space="preserve"> rang au niveau national)</w:t>
      </w:r>
      <w:r>
        <w:rPr>
          <w:rFonts w:asciiTheme="minorHAnsi" w:hAnsiTheme="minorHAnsi" w:cstheme="minorHAnsi"/>
          <w:sz w:val="22"/>
          <w:szCs w:val="22"/>
        </w:rPr>
        <w:t xml:space="preserve"> : la </w:t>
      </w:r>
      <w:r w:rsidR="001246CD">
        <w:rPr>
          <w:rFonts w:asciiTheme="minorHAnsi" w:hAnsiTheme="minorHAnsi" w:cstheme="minorHAnsi"/>
          <w:sz w:val="22"/>
          <w:szCs w:val="22"/>
        </w:rPr>
        <w:t>Wilaya</w:t>
      </w:r>
      <w:r>
        <w:rPr>
          <w:rFonts w:asciiTheme="minorHAnsi" w:hAnsiTheme="minorHAnsi" w:cstheme="minorHAnsi"/>
          <w:sz w:val="22"/>
          <w:szCs w:val="22"/>
        </w:rPr>
        <w:t xml:space="preserve"> du </w:t>
      </w:r>
      <w:proofErr w:type="spellStart"/>
      <w:r>
        <w:rPr>
          <w:rFonts w:asciiTheme="minorHAnsi" w:hAnsiTheme="minorHAnsi" w:cstheme="minorHAnsi"/>
          <w:sz w:val="22"/>
          <w:szCs w:val="22"/>
        </w:rPr>
        <w:t>Brakna</w:t>
      </w:r>
      <w:proofErr w:type="spellEnd"/>
      <w:r>
        <w:rPr>
          <w:rFonts w:asciiTheme="minorHAnsi" w:hAnsiTheme="minorHAnsi" w:cstheme="minorHAnsi"/>
          <w:sz w:val="22"/>
          <w:szCs w:val="22"/>
        </w:rPr>
        <w:t>.</w:t>
      </w:r>
    </w:p>
    <w:p w:rsidR="008D09F2" w:rsidRDefault="008D09F2" w:rsidP="002F04D1">
      <w:pPr>
        <w:pStyle w:val="Paragraphedeliste"/>
        <w:numPr>
          <w:ilvl w:val="0"/>
          <w:numId w:val="11"/>
        </w:numPr>
        <w:jc w:val="both"/>
        <w:rPr>
          <w:rFonts w:asciiTheme="minorHAnsi" w:hAnsiTheme="minorHAnsi" w:cstheme="minorHAnsi"/>
          <w:sz w:val="22"/>
          <w:szCs w:val="22"/>
        </w:rPr>
      </w:pPr>
      <w:r w:rsidRPr="005817A9">
        <w:rPr>
          <w:rFonts w:asciiTheme="minorHAnsi" w:hAnsiTheme="minorHAnsi" w:cstheme="minorHAnsi"/>
          <w:sz w:val="22"/>
          <w:szCs w:val="22"/>
        </w:rPr>
        <w:t>par</w:t>
      </w:r>
      <w:r>
        <w:rPr>
          <w:rFonts w:asciiTheme="minorHAnsi" w:hAnsiTheme="minorHAnsi" w:cstheme="minorHAnsi"/>
          <w:sz w:val="22"/>
          <w:szCs w:val="22"/>
        </w:rPr>
        <w:t xml:space="preserve"> un investissement dans le secteur</w:t>
      </w:r>
      <w:r w:rsidRPr="005817A9">
        <w:rPr>
          <w:rFonts w:asciiTheme="minorHAnsi" w:hAnsiTheme="minorHAnsi" w:cstheme="minorHAnsi"/>
          <w:sz w:val="22"/>
          <w:szCs w:val="22"/>
        </w:rPr>
        <w:t xml:space="preserve"> </w:t>
      </w:r>
      <w:r>
        <w:rPr>
          <w:rFonts w:asciiTheme="minorHAnsi" w:hAnsiTheme="minorHAnsi" w:cstheme="minorHAnsi"/>
          <w:sz w:val="22"/>
          <w:szCs w:val="22"/>
        </w:rPr>
        <w:t xml:space="preserve">des transports </w:t>
      </w:r>
      <w:r w:rsidRPr="005817A9">
        <w:rPr>
          <w:rFonts w:asciiTheme="minorHAnsi" w:hAnsiTheme="minorHAnsi" w:cstheme="minorHAnsi"/>
          <w:sz w:val="22"/>
          <w:szCs w:val="22"/>
        </w:rPr>
        <w:t>(</w:t>
      </w:r>
      <w:r>
        <w:rPr>
          <w:rFonts w:asciiTheme="minorHAnsi" w:hAnsiTheme="minorHAnsi" w:cstheme="minorHAnsi"/>
          <w:sz w:val="22"/>
          <w:szCs w:val="22"/>
        </w:rPr>
        <w:t>10</w:t>
      </w:r>
      <w:r w:rsidRPr="005817A9">
        <w:rPr>
          <w:rFonts w:asciiTheme="minorHAnsi" w:hAnsiTheme="minorHAnsi" w:cstheme="minorHAnsi"/>
          <w:sz w:val="22"/>
          <w:szCs w:val="22"/>
          <w:vertAlign w:val="superscript"/>
        </w:rPr>
        <w:t>ème</w:t>
      </w:r>
      <w:r w:rsidRPr="005817A9">
        <w:rPr>
          <w:rFonts w:asciiTheme="minorHAnsi" w:hAnsiTheme="minorHAnsi" w:cstheme="minorHAnsi"/>
          <w:sz w:val="22"/>
          <w:szCs w:val="22"/>
        </w:rPr>
        <w:t xml:space="preserve"> rang au niveau national)</w:t>
      </w:r>
      <w:r>
        <w:rPr>
          <w:rFonts w:asciiTheme="minorHAnsi" w:hAnsiTheme="minorHAnsi" w:cstheme="minorHAnsi"/>
          <w:sz w:val="22"/>
          <w:szCs w:val="22"/>
        </w:rPr>
        <w:t xml:space="preserve"> : la </w:t>
      </w:r>
      <w:r w:rsidR="001246CD">
        <w:rPr>
          <w:rFonts w:asciiTheme="minorHAnsi" w:hAnsiTheme="minorHAnsi" w:cstheme="minorHAnsi"/>
          <w:sz w:val="22"/>
          <w:szCs w:val="22"/>
        </w:rPr>
        <w:t>Wilaya</w:t>
      </w:r>
      <w:r>
        <w:rPr>
          <w:rFonts w:asciiTheme="minorHAnsi" w:hAnsiTheme="minorHAnsi" w:cstheme="minorHAnsi"/>
          <w:sz w:val="22"/>
          <w:szCs w:val="22"/>
        </w:rPr>
        <w:t xml:space="preserve"> de l’Adrar.</w:t>
      </w:r>
    </w:p>
    <w:p w:rsidR="008D09F2" w:rsidRDefault="008D09F2" w:rsidP="002F04D1">
      <w:pPr>
        <w:pStyle w:val="Paragraphedeliste"/>
        <w:numPr>
          <w:ilvl w:val="0"/>
          <w:numId w:val="11"/>
        </w:numPr>
        <w:jc w:val="both"/>
        <w:rPr>
          <w:rFonts w:asciiTheme="minorHAnsi" w:hAnsiTheme="minorHAnsi" w:cstheme="minorHAnsi"/>
          <w:sz w:val="22"/>
          <w:szCs w:val="22"/>
        </w:rPr>
      </w:pPr>
      <w:r w:rsidRPr="005817A9">
        <w:rPr>
          <w:rFonts w:asciiTheme="minorHAnsi" w:hAnsiTheme="minorHAnsi" w:cstheme="minorHAnsi"/>
          <w:sz w:val="22"/>
          <w:szCs w:val="22"/>
        </w:rPr>
        <w:t>par</w:t>
      </w:r>
      <w:r>
        <w:rPr>
          <w:rFonts w:asciiTheme="minorHAnsi" w:hAnsiTheme="minorHAnsi" w:cstheme="minorHAnsi"/>
          <w:sz w:val="22"/>
          <w:szCs w:val="22"/>
        </w:rPr>
        <w:t xml:space="preserve"> un investissement dans le secteur</w:t>
      </w:r>
      <w:r w:rsidRPr="005817A9">
        <w:rPr>
          <w:rFonts w:asciiTheme="minorHAnsi" w:hAnsiTheme="minorHAnsi" w:cstheme="minorHAnsi"/>
          <w:sz w:val="22"/>
          <w:szCs w:val="22"/>
        </w:rPr>
        <w:t xml:space="preserve"> </w:t>
      </w:r>
      <w:r>
        <w:rPr>
          <w:rFonts w:asciiTheme="minorHAnsi" w:hAnsiTheme="minorHAnsi" w:cstheme="minorHAnsi"/>
          <w:sz w:val="22"/>
          <w:szCs w:val="22"/>
        </w:rPr>
        <w:t xml:space="preserve">de l’entretien et maintenance </w:t>
      </w:r>
      <w:r w:rsidRPr="005817A9">
        <w:rPr>
          <w:rFonts w:asciiTheme="minorHAnsi" w:hAnsiTheme="minorHAnsi" w:cstheme="minorHAnsi"/>
          <w:sz w:val="22"/>
          <w:szCs w:val="22"/>
        </w:rPr>
        <w:t>(</w:t>
      </w:r>
      <w:r>
        <w:rPr>
          <w:rFonts w:asciiTheme="minorHAnsi" w:hAnsiTheme="minorHAnsi" w:cstheme="minorHAnsi"/>
          <w:sz w:val="22"/>
          <w:szCs w:val="22"/>
        </w:rPr>
        <w:t>11</w:t>
      </w:r>
      <w:r w:rsidRPr="005817A9">
        <w:rPr>
          <w:rFonts w:asciiTheme="minorHAnsi" w:hAnsiTheme="minorHAnsi" w:cstheme="minorHAnsi"/>
          <w:sz w:val="22"/>
          <w:szCs w:val="22"/>
          <w:vertAlign w:val="superscript"/>
        </w:rPr>
        <w:t>ème</w:t>
      </w:r>
      <w:r w:rsidRPr="005817A9">
        <w:rPr>
          <w:rFonts w:asciiTheme="minorHAnsi" w:hAnsiTheme="minorHAnsi" w:cstheme="minorHAnsi"/>
          <w:sz w:val="22"/>
          <w:szCs w:val="22"/>
        </w:rPr>
        <w:t xml:space="preserve"> rang au niveau national)</w:t>
      </w:r>
      <w:r>
        <w:rPr>
          <w:rFonts w:asciiTheme="minorHAnsi" w:hAnsiTheme="minorHAnsi" w:cstheme="minorHAnsi"/>
          <w:sz w:val="22"/>
          <w:szCs w:val="22"/>
        </w:rPr>
        <w:t xml:space="preserve"> : la </w:t>
      </w:r>
      <w:r w:rsidR="001246CD">
        <w:rPr>
          <w:rFonts w:asciiTheme="minorHAnsi" w:hAnsiTheme="minorHAnsi" w:cstheme="minorHAnsi"/>
          <w:sz w:val="22"/>
          <w:szCs w:val="22"/>
        </w:rPr>
        <w:t>Wilaya</w:t>
      </w:r>
      <w:r>
        <w:rPr>
          <w:rFonts w:asciiTheme="minorHAnsi" w:hAnsiTheme="minorHAnsi" w:cstheme="minorHAnsi"/>
          <w:sz w:val="22"/>
          <w:szCs w:val="22"/>
        </w:rPr>
        <w:t xml:space="preserve"> du </w:t>
      </w:r>
      <w:proofErr w:type="spellStart"/>
      <w:r>
        <w:rPr>
          <w:rFonts w:asciiTheme="minorHAnsi" w:hAnsiTheme="minorHAnsi" w:cstheme="minorHAnsi"/>
          <w:sz w:val="22"/>
          <w:szCs w:val="22"/>
        </w:rPr>
        <w:t>Dakhlet</w:t>
      </w:r>
      <w:proofErr w:type="spellEnd"/>
      <w:r>
        <w:rPr>
          <w:rFonts w:asciiTheme="minorHAnsi" w:hAnsiTheme="minorHAnsi" w:cstheme="minorHAnsi"/>
          <w:sz w:val="22"/>
          <w:szCs w:val="22"/>
        </w:rPr>
        <w:t>-Nouadhibou.</w:t>
      </w:r>
    </w:p>
    <w:p w:rsidR="003A442D" w:rsidRPr="003A442D" w:rsidRDefault="003A442D" w:rsidP="003A442D">
      <w:pPr>
        <w:ind w:left="360"/>
        <w:jc w:val="both"/>
        <w:rPr>
          <w:rFonts w:asciiTheme="minorHAnsi" w:hAnsiTheme="minorHAnsi" w:cstheme="minorHAnsi"/>
          <w:sz w:val="22"/>
          <w:szCs w:val="22"/>
        </w:rPr>
      </w:pPr>
    </w:p>
    <w:p w:rsidR="00B54625" w:rsidRDefault="00542441" w:rsidP="00222208">
      <w:pPr>
        <w:rPr>
          <w:rFonts w:asciiTheme="minorHAnsi" w:hAnsiTheme="minorHAnsi" w:cstheme="minorHAnsi"/>
        </w:rPr>
      </w:pPr>
      <w:r>
        <w:rPr>
          <w:rFonts w:asciiTheme="minorHAnsi" w:hAnsiTheme="minorHAnsi" w:cstheme="minorHAnsi"/>
          <w:noProof/>
        </w:rPr>
        <w:drawing>
          <wp:inline distT="0" distB="0" distL="0" distR="0">
            <wp:extent cx="6640093" cy="6438900"/>
            <wp:effectExtent l="19050" t="0" r="8357" b="0"/>
            <wp:docPr id="12" name="Image 10" descr="G:\FRD\Cartes FRD\Carte 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FRD\Cartes FRD\Carte 5-1.jpg"/>
                    <pic:cNvPicPr>
                      <a:picLocks noChangeAspect="1" noChangeArrowheads="1"/>
                    </pic:cNvPicPr>
                  </pic:nvPicPr>
                  <pic:blipFill>
                    <a:blip r:embed="rId20" cstate="print"/>
                    <a:srcRect/>
                    <a:stretch>
                      <a:fillRect/>
                    </a:stretch>
                  </pic:blipFill>
                  <pic:spPr bwMode="auto">
                    <a:xfrm>
                      <a:off x="0" y="0"/>
                      <a:ext cx="6645910" cy="6444540"/>
                    </a:xfrm>
                    <a:prstGeom prst="rect">
                      <a:avLst/>
                    </a:prstGeom>
                    <a:noFill/>
                    <a:ln w="9525">
                      <a:noFill/>
                      <a:miter lim="800000"/>
                      <a:headEnd/>
                      <a:tailEnd/>
                    </a:ln>
                  </pic:spPr>
                </pic:pic>
              </a:graphicData>
            </a:graphic>
          </wp:inline>
        </w:drawing>
      </w:r>
    </w:p>
    <w:p w:rsidR="00805FB5" w:rsidRDefault="00805FB5">
      <w:pPr>
        <w:spacing w:after="200" w:line="276" w:lineRule="auto"/>
        <w:rPr>
          <w:rFonts w:asciiTheme="minorHAnsi" w:hAnsiTheme="minorHAnsi" w:cstheme="minorHAnsi"/>
        </w:rPr>
      </w:pPr>
      <w:r>
        <w:rPr>
          <w:rFonts w:asciiTheme="minorHAnsi" w:hAnsiTheme="minorHAnsi" w:cstheme="minorHAnsi"/>
        </w:rPr>
        <w:br w:type="page"/>
      </w:r>
    </w:p>
    <w:p w:rsidR="00FF6525" w:rsidRPr="00FF0C51" w:rsidRDefault="00FF6525" w:rsidP="00FF0C51">
      <w:pPr>
        <w:pStyle w:val="Paragraphedeliste"/>
        <w:numPr>
          <w:ilvl w:val="0"/>
          <w:numId w:val="1"/>
        </w:numPr>
        <w:rPr>
          <w:rFonts w:asciiTheme="minorHAnsi" w:hAnsiTheme="minorHAnsi" w:cstheme="minorHAnsi"/>
          <w:b/>
        </w:rPr>
      </w:pPr>
      <w:r w:rsidRPr="00FF0C51">
        <w:rPr>
          <w:rFonts w:asciiTheme="minorHAnsi" w:hAnsiTheme="minorHAnsi" w:cstheme="minorHAnsi"/>
          <w:b/>
        </w:rPr>
        <w:t>Dispersion/parcellisation de l’investissement communal</w:t>
      </w:r>
    </w:p>
    <w:p w:rsidR="00653C9D" w:rsidRPr="00FF6525" w:rsidRDefault="00653C9D" w:rsidP="00222208">
      <w:pPr>
        <w:rPr>
          <w:rFonts w:asciiTheme="minorHAnsi" w:hAnsiTheme="minorHAnsi" w:cstheme="minorHAnsi"/>
          <w:sz w:val="22"/>
          <w:szCs w:val="22"/>
        </w:rPr>
      </w:pPr>
    </w:p>
    <w:p w:rsidR="00407E5E" w:rsidRDefault="00407E5E" w:rsidP="00D815C6">
      <w:pPr>
        <w:jc w:val="both"/>
        <w:rPr>
          <w:rFonts w:asciiTheme="minorHAnsi" w:hAnsiTheme="minorHAnsi" w:cstheme="minorHAnsi"/>
          <w:sz w:val="22"/>
          <w:szCs w:val="22"/>
        </w:rPr>
      </w:pPr>
      <w:r>
        <w:rPr>
          <w:rFonts w:asciiTheme="minorHAnsi" w:hAnsiTheme="minorHAnsi" w:cstheme="minorHAnsi"/>
          <w:sz w:val="22"/>
          <w:szCs w:val="22"/>
        </w:rPr>
        <w:t xml:space="preserve">Le calcul du </w:t>
      </w:r>
      <w:r w:rsidRPr="00D815C6">
        <w:rPr>
          <w:rFonts w:asciiTheme="minorHAnsi" w:hAnsiTheme="minorHAnsi" w:cstheme="minorHAnsi"/>
          <w:b/>
          <w:sz w:val="22"/>
          <w:szCs w:val="22"/>
        </w:rPr>
        <w:t>montant moyen de l’investissement par projet</w:t>
      </w:r>
      <w:r>
        <w:rPr>
          <w:rFonts w:asciiTheme="minorHAnsi" w:hAnsiTheme="minorHAnsi" w:cstheme="minorHAnsi"/>
          <w:sz w:val="22"/>
          <w:szCs w:val="22"/>
        </w:rPr>
        <w:t xml:space="preserve"> permet d’établir un indicateur de dispersion ou de parcellisation de l’investissement communal. Plus l’investissement est parcellisé, donc le montant moyen de l’investissement par projet est faible, plus l’investissement communal </w:t>
      </w:r>
      <w:r w:rsidR="00D815C6">
        <w:rPr>
          <w:rFonts w:asciiTheme="minorHAnsi" w:hAnsiTheme="minorHAnsi" w:cstheme="minorHAnsi"/>
          <w:sz w:val="22"/>
          <w:szCs w:val="22"/>
        </w:rPr>
        <w:t>a</w:t>
      </w:r>
      <w:r>
        <w:rPr>
          <w:rFonts w:asciiTheme="minorHAnsi" w:hAnsiTheme="minorHAnsi" w:cstheme="minorHAnsi"/>
          <w:sz w:val="22"/>
          <w:szCs w:val="22"/>
        </w:rPr>
        <w:t xml:space="preserve"> probablement peu d’impact sur le développement local et l’amélioration de l’accès </w:t>
      </w:r>
      <w:r w:rsidR="00894126">
        <w:rPr>
          <w:rFonts w:asciiTheme="minorHAnsi" w:hAnsiTheme="minorHAnsi" w:cstheme="minorHAnsi"/>
          <w:sz w:val="22"/>
          <w:szCs w:val="22"/>
        </w:rPr>
        <w:t>aux</w:t>
      </w:r>
      <w:r>
        <w:rPr>
          <w:rFonts w:asciiTheme="minorHAnsi" w:hAnsiTheme="minorHAnsi" w:cstheme="minorHAnsi"/>
          <w:sz w:val="22"/>
          <w:szCs w:val="22"/>
        </w:rPr>
        <w:t xml:space="preserve"> s</w:t>
      </w:r>
      <w:r w:rsidR="001246CD">
        <w:rPr>
          <w:rFonts w:asciiTheme="minorHAnsi" w:hAnsiTheme="minorHAnsi" w:cstheme="minorHAnsi"/>
          <w:sz w:val="22"/>
          <w:szCs w:val="22"/>
        </w:rPr>
        <w:t>ervices de base des populations</w:t>
      </w:r>
      <w:r>
        <w:rPr>
          <w:rFonts w:asciiTheme="minorHAnsi" w:hAnsiTheme="minorHAnsi" w:cstheme="minorHAnsi"/>
          <w:sz w:val="22"/>
          <w:szCs w:val="22"/>
        </w:rPr>
        <w:t>.</w:t>
      </w:r>
    </w:p>
    <w:p w:rsidR="00407E5E" w:rsidRDefault="00407E5E" w:rsidP="00D815C6">
      <w:pPr>
        <w:jc w:val="both"/>
        <w:rPr>
          <w:rFonts w:asciiTheme="minorHAnsi" w:hAnsiTheme="minorHAnsi" w:cstheme="minorHAnsi"/>
          <w:sz w:val="22"/>
          <w:szCs w:val="22"/>
        </w:rPr>
      </w:pPr>
    </w:p>
    <w:p w:rsidR="00407E5E" w:rsidRPr="00FF6525" w:rsidRDefault="00407E5E" w:rsidP="00D815C6">
      <w:pPr>
        <w:jc w:val="both"/>
        <w:rPr>
          <w:rFonts w:asciiTheme="minorHAnsi" w:hAnsiTheme="minorHAnsi" w:cstheme="minorHAnsi"/>
          <w:sz w:val="22"/>
          <w:szCs w:val="22"/>
        </w:rPr>
      </w:pPr>
      <w:r>
        <w:rPr>
          <w:rFonts w:asciiTheme="minorHAnsi" w:hAnsiTheme="minorHAnsi" w:cstheme="minorHAnsi"/>
          <w:sz w:val="22"/>
          <w:szCs w:val="22"/>
        </w:rPr>
        <w:t>Cet indicateur est calculé par le rapport entre le montant des cr</w:t>
      </w:r>
      <w:r w:rsidR="008D09F2">
        <w:rPr>
          <w:rFonts w:asciiTheme="minorHAnsi" w:hAnsiTheme="minorHAnsi" w:cstheme="minorHAnsi"/>
          <w:sz w:val="22"/>
          <w:szCs w:val="22"/>
        </w:rPr>
        <w:t xml:space="preserve">édits FRD engagés et le nombre </w:t>
      </w:r>
      <w:r>
        <w:rPr>
          <w:rFonts w:asciiTheme="minorHAnsi" w:hAnsiTheme="minorHAnsi" w:cstheme="minorHAnsi"/>
          <w:sz w:val="22"/>
          <w:szCs w:val="22"/>
        </w:rPr>
        <w:t>de projet</w:t>
      </w:r>
      <w:r w:rsidR="008D09F2">
        <w:rPr>
          <w:rFonts w:asciiTheme="minorHAnsi" w:hAnsiTheme="minorHAnsi" w:cstheme="minorHAnsi"/>
          <w:sz w:val="22"/>
          <w:szCs w:val="22"/>
        </w:rPr>
        <w:t>s</w:t>
      </w:r>
      <w:r w:rsidR="0005418C">
        <w:rPr>
          <w:rFonts w:asciiTheme="minorHAnsi" w:hAnsiTheme="minorHAnsi" w:cstheme="minorHAnsi"/>
          <w:sz w:val="22"/>
          <w:szCs w:val="22"/>
        </w:rPr>
        <w:t xml:space="preserve"> mis en </w:t>
      </w:r>
      <w:proofErr w:type="spellStart"/>
      <w:r w:rsidR="0005418C">
        <w:rPr>
          <w:rFonts w:asciiTheme="minorHAnsi" w:hAnsiTheme="minorHAnsi" w:cstheme="minorHAnsi"/>
          <w:sz w:val="22"/>
          <w:szCs w:val="22"/>
        </w:rPr>
        <w:t>oeuvre</w:t>
      </w:r>
      <w:proofErr w:type="spellEnd"/>
      <w:r>
        <w:rPr>
          <w:rFonts w:asciiTheme="minorHAnsi" w:hAnsiTheme="minorHAnsi" w:cstheme="minorHAnsi"/>
          <w:sz w:val="22"/>
          <w:szCs w:val="22"/>
        </w:rPr>
        <w:t xml:space="preserve">. On </w:t>
      </w:r>
      <w:r w:rsidR="00D815C6">
        <w:rPr>
          <w:rFonts w:asciiTheme="minorHAnsi" w:hAnsiTheme="minorHAnsi" w:cstheme="minorHAnsi"/>
          <w:sz w:val="22"/>
          <w:szCs w:val="22"/>
        </w:rPr>
        <w:t>peut ainsi calculer</w:t>
      </w:r>
      <w:r>
        <w:rPr>
          <w:rFonts w:asciiTheme="minorHAnsi" w:hAnsiTheme="minorHAnsi" w:cstheme="minorHAnsi"/>
          <w:sz w:val="22"/>
          <w:szCs w:val="22"/>
        </w:rPr>
        <w:t xml:space="preserve"> un montant moyen de l’investissement par projet au niveau du pays (national), de la </w:t>
      </w:r>
      <w:r w:rsidR="001246CD">
        <w:rPr>
          <w:rFonts w:asciiTheme="minorHAnsi" w:hAnsiTheme="minorHAnsi" w:cstheme="minorHAnsi"/>
          <w:sz w:val="22"/>
          <w:szCs w:val="22"/>
        </w:rPr>
        <w:t>Wilaya</w:t>
      </w:r>
      <w:r>
        <w:rPr>
          <w:rFonts w:asciiTheme="minorHAnsi" w:hAnsiTheme="minorHAnsi" w:cstheme="minorHAnsi"/>
          <w:sz w:val="22"/>
          <w:szCs w:val="22"/>
        </w:rPr>
        <w:t xml:space="preserve"> </w:t>
      </w:r>
      <w:r w:rsidR="008D09F2">
        <w:rPr>
          <w:rFonts w:asciiTheme="minorHAnsi" w:hAnsiTheme="minorHAnsi" w:cstheme="minorHAnsi"/>
          <w:sz w:val="22"/>
          <w:szCs w:val="22"/>
        </w:rPr>
        <w:t xml:space="preserve">(régional) </w:t>
      </w:r>
      <w:r>
        <w:rPr>
          <w:rFonts w:asciiTheme="minorHAnsi" w:hAnsiTheme="minorHAnsi" w:cstheme="minorHAnsi"/>
          <w:sz w:val="22"/>
          <w:szCs w:val="22"/>
        </w:rPr>
        <w:t xml:space="preserve">et de la </w:t>
      </w:r>
      <w:proofErr w:type="spellStart"/>
      <w:r w:rsidR="001246CD">
        <w:rPr>
          <w:rFonts w:asciiTheme="minorHAnsi" w:hAnsiTheme="minorHAnsi" w:cstheme="minorHAnsi"/>
          <w:sz w:val="22"/>
          <w:szCs w:val="22"/>
        </w:rPr>
        <w:t>Moughataa</w:t>
      </w:r>
      <w:proofErr w:type="spellEnd"/>
      <w:r w:rsidR="001246CD">
        <w:rPr>
          <w:rFonts w:asciiTheme="minorHAnsi" w:hAnsiTheme="minorHAnsi" w:cstheme="minorHAnsi"/>
          <w:sz w:val="22"/>
          <w:szCs w:val="22"/>
        </w:rPr>
        <w:t>, mais également au niveau de la commune comme c’est le cas dans le cadre du présent rapport</w:t>
      </w:r>
      <w:r>
        <w:rPr>
          <w:rFonts w:asciiTheme="minorHAnsi" w:hAnsiTheme="minorHAnsi" w:cstheme="minorHAnsi"/>
          <w:sz w:val="22"/>
          <w:szCs w:val="22"/>
        </w:rPr>
        <w:t>.</w:t>
      </w:r>
    </w:p>
    <w:p w:rsidR="00653C9D" w:rsidRPr="00FF6525" w:rsidRDefault="00653C9D" w:rsidP="00222208">
      <w:pPr>
        <w:rPr>
          <w:rFonts w:asciiTheme="minorHAnsi" w:hAnsiTheme="minorHAnsi" w:cstheme="minorHAnsi"/>
          <w:sz w:val="22"/>
          <w:szCs w:val="22"/>
        </w:rPr>
      </w:pPr>
    </w:p>
    <w:p w:rsidR="00653C9D" w:rsidRPr="009B1470" w:rsidRDefault="00D815C6" w:rsidP="002F04D1">
      <w:pPr>
        <w:pStyle w:val="Paragraphedeliste"/>
        <w:numPr>
          <w:ilvl w:val="0"/>
          <w:numId w:val="4"/>
        </w:numPr>
        <w:rPr>
          <w:rFonts w:asciiTheme="minorHAnsi" w:hAnsiTheme="minorHAnsi" w:cstheme="minorHAnsi"/>
          <w:b/>
          <w:sz w:val="22"/>
          <w:szCs w:val="22"/>
        </w:rPr>
      </w:pPr>
      <w:r w:rsidRPr="009B1470">
        <w:rPr>
          <w:rFonts w:asciiTheme="minorHAnsi" w:hAnsiTheme="minorHAnsi" w:cstheme="minorHAnsi"/>
          <w:b/>
          <w:sz w:val="22"/>
          <w:szCs w:val="22"/>
        </w:rPr>
        <w:t xml:space="preserve">Montant moyen de </w:t>
      </w:r>
      <w:r w:rsidR="0005418C">
        <w:rPr>
          <w:rFonts w:asciiTheme="minorHAnsi" w:hAnsiTheme="minorHAnsi" w:cstheme="minorHAnsi"/>
          <w:b/>
          <w:sz w:val="22"/>
          <w:szCs w:val="22"/>
        </w:rPr>
        <w:t>l’investissement par projet 2012</w:t>
      </w:r>
    </w:p>
    <w:p w:rsidR="00653C9D" w:rsidRPr="00FF6525" w:rsidRDefault="00653C9D" w:rsidP="00222208">
      <w:pPr>
        <w:rPr>
          <w:rFonts w:asciiTheme="minorHAnsi" w:hAnsiTheme="minorHAnsi" w:cstheme="minorHAnsi"/>
          <w:sz w:val="22"/>
          <w:szCs w:val="22"/>
        </w:rPr>
      </w:pPr>
    </w:p>
    <w:p w:rsidR="009915A5" w:rsidRDefault="00CD53FB" w:rsidP="00E026AF">
      <w:pPr>
        <w:jc w:val="both"/>
        <w:rPr>
          <w:rFonts w:asciiTheme="minorHAnsi" w:hAnsiTheme="minorHAnsi" w:cstheme="minorHAnsi"/>
          <w:sz w:val="22"/>
          <w:szCs w:val="22"/>
        </w:rPr>
      </w:pPr>
      <w:r>
        <w:rPr>
          <w:rFonts w:asciiTheme="minorHAnsi" w:hAnsiTheme="minorHAnsi" w:cstheme="minorHAnsi"/>
          <w:sz w:val="22"/>
          <w:szCs w:val="22"/>
        </w:rPr>
        <w:t xml:space="preserve">Le montant moyen de l’investissement par projet </w:t>
      </w:r>
      <w:r w:rsidR="001246CD">
        <w:rPr>
          <w:rFonts w:asciiTheme="minorHAnsi" w:hAnsiTheme="minorHAnsi" w:cstheme="minorHAnsi"/>
          <w:sz w:val="22"/>
          <w:szCs w:val="22"/>
        </w:rPr>
        <w:t>est au niveau national pour 2012</w:t>
      </w:r>
      <w:r>
        <w:rPr>
          <w:rFonts w:asciiTheme="minorHAnsi" w:hAnsiTheme="minorHAnsi" w:cstheme="minorHAnsi"/>
          <w:sz w:val="22"/>
          <w:szCs w:val="22"/>
        </w:rPr>
        <w:t xml:space="preserve"> de </w:t>
      </w:r>
      <w:r w:rsidR="0005418C">
        <w:rPr>
          <w:rFonts w:asciiTheme="minorHAnsi" w:hAnsiTheme="minorHAnsi" w:cstheme="minorHAnsi"/>
          <w:b/>
          <w:sz w:val="22"/>
          <w:szCs w:val="22"/>
        </w:rPr>
        <w:t>1 245 534</w:t>
      </w:r>
      <w:r w:rsidRPr="00CD53FB">
        <w:rPr>
          <w:rFonts w:asciiTheme="minorHAnsi" w:hAnsiTheme="minorHAnsi" w:cstheme="minorHAnsi"/>
          <w:b/>
          <w:sz w:val="22"/>
          <w:szCs w:val="22"/>
        </w:rPr>
        <w:t xml:space="preserve"> </w:t>
      </w:r>
      <w:proofErr w:type="gramStart"/>
      <w:r w:rsidR="004871EA">
        <w:rPr>
          <w:rFonts w:asciiTheme="minorHAnsi" w:hAnsiTheme="minorHAnsi" w:cstheme="minorHAnsi"/>
          <w:b/>
          <w:sz w:val="22"/>
          <w:szCs w:val="22"/>
        </w:rPr>
        <w:t>ouguiya</w:t>
      </w:r>
      <w:proofErr w:type="gramEnd"/>
      <w:r>
        <w:rPr>
          <w:rFonts w:asciiTheme="minorHAnsi" w:hAnsiTheme="minorHAnsi" w:cstheme="minorHAnsi"/>
          <w:sz w:val="22"/>
          <w:szCs w:val="22"/>
        </w:rPr>
        <w:t xml:space="preserve"> soit </w:t>
      </w:r>
      <w:r w:rsidR="00894126">
        <w:rPr>
          <w:rFonts w:asciiTheme="minorHAnsi" w:hAnsiTheme="minorHAnsi" w:cstheme="minorHAnsi"/>
          <w:sz w:val="22"/>
          <w:szCs w:val="22"/>
        </w:rPr>
        <w:t>une</w:t>
      </w:r>
      <w:r w:rsidR="0005418C">
        <w:rPr>
          <w:rFonts w:asciiTheme="minorHAnsi" w:hAnsiTheme="minorHAnsi" w:cstheme="minorHAnsi"/>
          <w:sz w:val="22"/>
          <w:szCs w:val="22"/>
        </w:rPr>
        <w:t xml:space="preserve"> augmentation de 13,80% par rapport à 2011</w:t>
      </w:r>
      <w:r>
        <w:rPr>
          <w:rFonts w:asciiTheme="minorHAnsi" w:hAnsiTheme="minorHAnsi" w:cstheme="minorHAnsi"/>
          <w:sz w:val="22"/>
          <w:szCs w:val="22"/>
        </w:rPr>
        <w:t xml:space="preserve">. </w:t>
      </w:r>
    </w:p>
    <w:p w:rsidR="009915A5" w:rsidRDefault="009915A5" w:rsidP="00E026AF">
      <w:pPr>
        <w:jc w:val="both"/>
        <w:rPr>
          <w:rFonts w:asciiTheme="minorHAnsi" w:hAnsiTheme="minorHAnsi" w:cstheme="minorHAnsi"/>
          <w:sz w:val="22"/>
          <w:szCs w:val="22"/>
        </w:rPr>
      </w:pPr>
    </w:p>
    <w:p w:rsidR="00007C14" w:rsidRDefault="00007C14" w:rsidP="00E026AF">
      <w:pPr>
        <w:jc w:val="both"/>
        <w:rPr>
          <w:rFonts w:asciiTheme="minorHAnsi" w:hAnsiTheme="minorHAnsi" w:cstheme="minorHAnsi"/>
          <w:sz w:val="22"/>
          <w:szCs w:val="22"/>
        </w:rPr>
      </w:pPr>
      <w:r w:rsidRPr="00007C14">
        <w:rPr>
          <w:noProof/>
          <w:szCs w:val="22"/>
        </w:rPr>
        <w:drawing>
          <wp:inline distT="0" distB="0" distL="0" distR="0">
            <wp:extent cx="6619875" cy="1381125"/>
            <wp:effectExtent l="19050" t="0" r="9525" b="0"/>
            <wp:docPr id="222"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 cstate="print"/>
                    <a:srcRect/>
                    <a:stretch>
                      <a:fillRect/>
                    </a:stretch>
                  </pic:blipFill>
                  <pic:spPr bwMode="auto">
                    <a:xfrm>
                      <a:off x="0" y="0"/>
                      <a:ext cx="6619875" cy="1381125"/>
                    </a:xfrm>
                    <a:prstGeom prst="rect">
                      <a:avLst/>
                    </a:prstGeom>
                    <a:noFill/>
                    <a:ln w="9525">
                      <a:noFill/>
                      <a:miter lim="800000"/>
                      <a:headEnd/>
                      <a:tailEnd/>
                    </a:ln>
                  </pic:spPr>
                </pic:pic>
              </a:graphicData>
            </a:graphic>
          </wp:inline>
        </w:drawing>
      </w:r>
    </w:p>
    <w:p w:rsidR="00007C14" w:rsidRDefault="00007C14" w:rsidP="00E026AF">
      <w:pPr>
        <w:jc w:val="both"/>
        <w:rPr>
          <w:rFonts w:asciiTheme="minorHAnsi" w:hAnsiTheme="minorHAnsi" w:cstheme="minorHAnsi"/>
          <w:sz w:val="22"/>
          <w:szCs w:val="22"/>
        </w:rPr>
      </w:pPr>
    </w:p>
    <w:p w:rsidR="00E026AF" w:rsidRDefault="0005418C" w:rsidP="003F3789">
      <w:pPr>
        <w:jc w:val="both"/>
        <w:rPr>
          <w:rFonts w:asciiTheme="minorHAnsi" w:hAnsiTheme="minorHAnsi" w:cstheme="minorHAnsi"/>
          <w:sz w:val="22"/>
          <w:szCs w:val="22"/>
        </w:rPr>
      </w:pPr>
      <w:r>
        <w:rPr>
          <w:rFonts w:asciiTheme="minorHAnsi" w:hAnsiTheme="minorHAnsi" w:cstheme="minorHAnsi"/>
          <w:sz w:val="22"/>
          <w:szCs w:val="22"/>
        </w:rPr>
        <w:t>Il fait</w:t>
      </w:r>
      <w:r w:rsidR="00E026AF">
        <w:rPr>
          <w:rFonts w:asciiTheme="minorHAnsi" w:hAnsiTheme="minorHAnsi" w:cstheme="minorHAnsi"/>
          <w:sz w:val="22"/>
          <w:szCs w:val="22"/>
        </w:rPr>
        <w:t xml:space="preserve"> suite à une augmentatio</w:t>
      </w:r>
      <w:r>
        <w:rPr>
          <w:rFonts w:asciiTheme="minorHAnsi" w:hAnsiTheme="minorHAnsi" w:cstheme="minorHAnsi"/>
          <w:sz w:val="22"/>
          <w:szCs w:val="22"/>
        </w:rPr>
        <w:t>n de 4,98 % entre 2010 et 2011 et de 13,82% entre 2009 et 2010, ce qui correspond à une évolution cumulée entre 2009 et 2012</w:t>
      </w:r>
      <w:r w:rsidR="009915A5">
        <w:rPr>
          <w:rFonts w:asciiTheme="minorHAnsi" w:hAnsiTheme="minorHAnsi" w:cstheme="minorHAnsi"/>
          <w:sz w:val="22"/>
          <w:szCs w:val="22"/>
        </w:rPr>
        <w:t xml:space="preserve"> de p</w:t>
      </w:r>
      <w:r>
        <w:rPr>
          <w:rFonts w:asciiTheme="minorHAnsi" w:hAnsiTheme="minorHAnsi" w:cstheme="minorHAnsi"/>
          <w:sz w:val="22"/>
          <w:szCs w:val="22"/>
        </w:rPr>
        <w:t>ratiquement 35,97</w:t>
      </w:r>
      <w:r w:rsidR="009915A5">
        <w:rPr>
          <w:rFonts w:asciiTheme="minorHAnsi" w:hAnsiTheme="minorHAnsi" w:cstheme="minorHAnsi"/>
          <w:sz w:val="22"/>
          <w:szCs w:val="22"/>
        </w:rPr>
        <w:t>%. Il s’agit donc d’une croissance non négligeable qui pourrait traduire une certaine tendance à la limitation de la dispersion de l’investissement.</w:t>
      </w:r>
    </w:p>
    <w:p w:rsidR="00E026AF" w:rsidRDefault="00E026AF" w:rsidP="003F3789">
      <w:pPr>
        <w:jc w:val="both"/>
        <w:rPr>
          <w:rFonts w:asciiTheme="minorHAnsi" w:hAnsiTheme="minorHAnsi" w:cstheme="minorHAnsi"/>
          <w:sz w:val="22"/>
          <w:szCs w:val="22"/>
        </w:rPr>
      </w:pPr>
    </w:p>
    <w:p w:rsidR="00653C9D" w:rsidRPr="00755067" w:rsidRDefault="009915A5" w:rsidP="003F3789">
      <w:pPr>
        <w:jc w:val="both"/>
        <w:rPr>
          <w:rFonts w:asciiTheme="minorHAnsi" w:hAnsiTheme="minorHAnsi" w:cstheme="minorHAnsi"/>
          <w:sz w:val="22"/>
          <w:szCs w:val="22"/>
        </w:rPr>
      </w:pPr>
      <w:r>
        <w:rPr>
          <w:rFonts w:asciiTheme="minorHAnsi" w:hAnsiTheme="minorHAnsi" w:cstheme="minorHAnsi"/>
          <w:sz w:val="22"/>
          <w:szCs w:val="22"/>
        </w:rPr>
        <w:t>Pourtant</w:t>
      </w:r>
      <w:r w:rsidR="00755067">
        <w:rPr>
          <w:rFonts w:asciiTheme="minorHAnsi" w:hAnsiTheme="minorHAnsi" w:cstheme="minorHAnsi"/>
          <w:sz w:val="22"/>
          <w:szCs w:val="22"/>
        </w:rPr>
        <w:t xml:space="preserve">, malgré l’augmentation significative des crédits FRD équipement en 2012, </w:t>
      </w:r>
      <w:r>
        <w:rPr>
          <w:rFonts w:asciiTheme="minorHAnsi" w:hAnsiTheme="minorHAnsi" w:cstheme="minorHAnsi"/>
          <w:sz w:val="22"/>
          <w:szCs w:val="22"/>
        </w:rPr>
        <w:t xml:space="preserve">ce montant moyen de l’investissement par projet </w:t>
      </w:r>
      <w:r w:rsidR="00CD53FB">
        <w:rPr>
          <w:rFonts w:asciiTheme="minorHAnsi" w:hAnsiTheme="minorHAnsi" w:cstheme="minorHAnsi"/>
          <w:sz w:val="22"/>
          <w:szCs w:val="22"/>
        </w:rPr>
        <w:t xml:space="preserve">reste en valeur absolue </w:t>
      </w:r>
      <w:r w:rsidR="00CD53FB" w:rsidRPr="00894126">
        <w:rPr>
          <w:rFonts w:asciiTheme="minorHAnsi" w:hAnsiTheme="minorHAnsi" w:cstheme="minorHAnsi"/>
          <w:b/>
          <w:sz w:val="22"/>
          <w:szCs w:val="22"/>
        </w:rPr>
        <w:t>très faible et est significatif d’u</w:t>
      </w:r>
      <w:r w:rsidR="00D54D61">
        <w:rPr>
          <w:rFonts w:asciiTheme="minorHAnsi" w:hAnsiTheme="minorHAnsi" w:cstheme="minorHAnsi"/>
          <w:b/>
          <w:sz w:val="22"/>
          <w:szCs w:val="22"/>
        </w:rPr>
        <w:t>ne parcellisation</w:t>
      </w:r>
      <w:r w:rsidR="00CD53FB" w:rsidRPr="00894126">
        <w:rPr>
          <w:rFonts w:asciiTheme="minorHAnsi" w:hAnsiTheme="minorHAnsi" w:cstheme="minorHAnsi"/>
          <w:b/>
          <w:sz w:val="22"/>
          <w:szCs w:val="22"/>
        </w:rPr>
        <w:t xml:space="preserve"> </w:t>
      </w:r>
      <w:r w:rsidR="00CF66BF" w:rsidRPr="00894126">
        <w:rPr>
          <w:rFonts w:asciiTheme="minorHAnsi" w:hAnsiTheme="minorHAnsi" w:cstheme="minorHAnsi"/>
          <w:b/>
          <w:sz w:val="22"/>
          <w:szCs w:val="22"/>
        </w:rPr>
        <w:t xml:space="preserve">forte et </w:t>
      </w:r>
      <w:r w:rsidR="00CD53FB" w:rsidRPr="00894126">
        <w:rPr>
          <w:rFonts w:asciiTheme="minorHAnsi" w:hAnsiTheme="minorHAnsi" w:cstheme="minorHAnsi"/>
          <w:b/>
          <w:sz w:val="22"/>
          <w:szCs w:val="22"/>
        </w:rPr>
        <w:t>plutôt généralisée de l’investissement communal</w:t>
      </w:r>
      <w:r w:rsidR="00D54D61">
        <w:rPr>
          <w:rFonts w:asciiTheme="minorHAnsi" w:hAnsiTheme="minorHAnsi" w:cstheme="minorHAnsi"/>
          <w:b/>
          <w:sz w:val="22"/>
          <w:szCs w:val="22"/>
        </w:rPr>
        <w:t>,</w:t>
      </w:r>
      <w:r w:rsidR="00755067">
        <w:rPr>
          <w:rFonts w:asciiTheme="minorHAnsi" w:hAnsiTheme="minorHAnsi" w:cstheme="minorHAnsi"/>
          <w:b/>
          <w:sz w:val="22"/>
          <w:szCs w:val="22"/>
        </w:rPr>
        <w:t xml:space="preserve"> </w:t>
      </w:r>
      <w:r w:rsidR="00755067" w:rsidRPr="00755067">
        <w:rPr>
          <w:rFonts w:asciiTheme="minorHAnsi" w:hAnsiTheme="minorHAnsi" w:cstheme="minorHAnsi"/>
          <w:sz w:val="22"/>
          <w:szCs w:val="22"/>
        </w:rPr>
        <w:t>caractéris</w:t>
      </w:r>
      <w:r w:rsidR="00D54D61">
        <w:rPr>
          <w:rFonts w:asciiTheme="minorHAnsi" w:hAnsiTheme="minorHAnsi" w:cstheme="minorHAnsi"/>
          <w:sz w:val="22"/>
          <w:szCs w:val="22"/>
        </w:rPr>
        <w:t>é</w:t>
      </w:r>
      <w:r w:rsidR="00755067" w:rsidRPr="00755067">
        <w:rPr>
          <w:rFonts w:asciiTheme="minorHAnsi" w:hAnsiTheme="minorHAnsi" w:cstheme="minorHAnsi"/>
          <w:sz w:val="22"/>
          <w:szCs w:val="22"/>
        </w:rPr>
        <w:t xml:space="preserve">e </w:t>
      </w:r>
      <w:r w:rsidR="00D54D61">
        <w:rPr>
          <w:rFonts w:asciiTheme="minorHAnsi" w:hAnsiTheme="minorHAnsi" w:cstheme="minorHAnsi"/>
          <w:sz w:val="22"/>
          <w:szCs w:val="22"/>
        </w:rPr>
        <w:t xml:space="preserve">en outre </w:t>
      </w:r>
      <w:r w:rsidR="00755067" w:rsidRPr="00755067">
        <w:rPr>
          <w:rFonts w:asciiTheme="minorHAnsi" w:hAnsiTheme="minorHAnsi" w:cstheme="minorHAnsi"/>
          <w:sz w:val="22"/>
          <w:szCs w:val="22"/>
        </w:rPr>
        <w:t>par des disparités importantes entre les bénéficiaires.</w:t>
      </w:r>
    </w:p>
    <w:p w:rsidR="008B5FB0" w:rsidRDefault="008B5FB0" w:rsidP="00222208">
      <w:pPr>
        <w:rPr>
          <w:rFonts w:asciiTheme="minorHAnsi" w:hAnsiTheme="minorHAnsi" w:cstheme="minorHAnsi"/>
        </w:rPr>
      </w:pPr>
    </w:p>
    <w:p w:rsidR="000B4CFF" w:rsidRPr="009B1470" w:rsidRDefault="00D54D61" w:rsidP="002F04D1">
      <w:pPr>
        <w:pStyle w:val="Paragraphedeliste"/>
        <w:numPr>
          <w:ilvl w:val="0"/>
          <w:numId w:val="4"/>
        </w:numPr>
        <w:rPr>
          <w:rFonts w:asciiTheme="minorHAnsi" w:hAnsiTheme="minorHAnsi" w:cstheme="minorHAnsi"/>
          <w:b/>
          <w:sz w:val="22"/>
          <w:szCs w:val="22"/>
        </w:rPr>
      </w:pPr>
      <w:r>
        <w:rPr>
          <w:rFonts w:asciiTheme="minorHAnsi" w:hAnsiTheme="minorHAnsi" w:cstheme="minorHAnsi"/>
          <w:b/>
          <w:sz w:val="22"/>
          <w:szCs w:val="22"/>
        </w:rPr>
        <w:t>É</w:t>
      </w:r>
      <w:r w:rsidR="000B4CFF" w:rsidRPr="009B1470">
        <w:rPr>
          <w:rFonts w:asciiTheme="minorHAnsi" w:hAnsiTheme="minorHAnsi" w:cstheme="minorHAnsi"/>
          <w:b/>
          <w:sz w:val="22"/>
          <w:szCs w:val="22"/>
        </w:rPr>
        <w:t>volution du Montant Moyen de l’Investissement par pro</w:t>
      </w:r>
      <w:r w:rsidR="00601E87">
        <w:rPr>
          <w:rFonts w:asciiTheme="minorHAnsi" w:hAnsiTheme="minorHAnsi" w:cstheme="minorHAnsi"/>
          <w:b/>
          <w:sz w:val="22"/>
          <w:szCs w:val="22"/>
        </w:rPr>
        <w:t xml:space="preserve">jet selon les </w:t>
      </w:r>
      <w:r w:rsidR="001246CD">
        <w:rPr>
          <w:rFonts w:asciiTheme="minorHAnsi" w:hAnsiTheme="minorHAnsi" w:cstheme="minorHAnsi"/>
          <w:b/>
          <w:sz w:val="22"/>
          <w:szCs w:val="22"/>
        </w:rPr>
        <w:t>Wilayas</w:t>
      </w:r>
      <w:r w:rsidR="00601E87">
        <w:rPr>
          <w:rFonts w:asciiTheme="minorHAnsi" w:hAnsiTheme="minorHAnsi" w:cstheme="minorHAnsi"/>
          <w:b/>
          <w:sz w:val="22"/>
          <w:szCs w:val="22"/>
        </w:rPr>
        <w:t xml:space="preserve"> entre 2010 et 2012</w:t>
      </w:r>
    </w:p>
    <w:p w:rsidR="008B5FB0" w:rsidRPr="003F3789" w:rsidRDefault="008B5FB0" w:rsidP="00222208">
      <w:pPr>
        <w:rPr>
          <w:rFonts w:asciiTheme="minorHAnsi" w:hAnsiTheme="minorHAnsi" w:cstheme="minorHAnsi"/>
          <w:sz w:val="22"/>
          <w:szCs w:val="22"/>
        </w:rPr>
      </w:pPr>
    </w:p>
    <w:p w:rsidR="008B5FB0" w:rsidRPr="003F3789" w:rsidRDefault="00D54D61" w:rsidP="00222208">
      <w:pPr>
        <w:rPr>
          <w:rFonts w:asciiTheme="minorHAnsi" w:hAnsiTheme="minorHAnsi" w:cstheme="minorHAnsi"/>
          <w:sz w:val="22"/>
          <w:szCs w:val="22"/>
        </w:rPr>
      </w:pPr>
      <w:r w:rsidRPr="00D54D61">
        <w:rPr>
          <w:noProof/>
          <w:szCs w:val="22"/>
        </w:rPr>
        <w:drawing>
          <wp:inline distT="0" distB="0" distL="0" distR="0">
            <wp:extent cx="6645910" cy="2950136"/>
            <wp:effectExtent l="19050" t="0" r="2540" b="0"/>
            <wp:docPr id="223"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2" cstate="print"/>
                    <a:srcRect/>
                    <a:stretch>
                      <a:fillRect/>
                    </a:stretch>
                  </pic:blipFill>
                  <pic:spPr bwMode="auto">
                    <a:xfrm>
                      <a:off x="0" y="0"/>
                      <a:ext cx="6645910" cy="2950136"/>
                    </a:xfrm>
                    <a:prstGeom prst="rect">
                      <a:avLst/>
                    </a:prstGeom>
                    <a:noFill/>
                    <a:ln w="9525">
                      <a:noFill/>
                      <a:miter lim="800000"/>
                      <a:headEnd/>
                      <a:tailEnd/>
                    </a:ln>
                  </pic:spPr>
                </pic:pic>
              </a:graphicData>
            </a:graphic>
          </wp:inline>
        </w:drawing>
      </w:r>
    </w:p>
    <w:p w:rsidR="00815216" w:rsidRDefault="00815216" w:rsidP="008347F2">
      <w:pPr>
        <w:jc w:val="both"/>
        <w:rPr>
          <w:rFonts w:asciiTheme="minorHAnsi" w:hAnsiTheme="minorHAnsi" w:cstheme="minorHAnsi"/>
          <w:sz w:val="22"/>
          <w:szCs w:val="22"/>
        </w:rPr>
      </w:pPr>
    </w:p>
    <w:p w:rsidR="008B5FB0" w:rsidRDefault="00601E87" w:rsidP="008347F2">
      <w:pPr>
        <w:jc w:val="both"/>
        <w:rPr>
          <w:rFonts w:asciiTheme="minorHAnsi" w:hAnsiTheme="minorHAnsi" w:cstheme="minorHAnsi"/>
          <w:sz w:val="22"/>
          <w:szCs w:val="22"/>
        </w:rPr>
      </w:pPr>
      <w:r>
        <w:rPr>
          <w:rFonts w:asciiTheme="minorHAnsi" w:hAnsiTheme="minorHAnsi" w:cstheme="minorHAnsi"/>
          <w:sz w:val="22"/>
          <w:szCs w:val="22"/>
        </w:rPr>
        <w:t xml:space="preserve">Comme indiqué plus haut, de fortes disparités persistent entre les différentes </w:t>
      </w:r>
      <w:r w:rsidR="001246CD">
        <w:rPr>
          <w:rFonts w:asciiTheme="minorHAnsi" w:hAnsiTheme="minorHAnsi" w:cstheme="minorHAnsi"/>
          <w:sz w:val="22"/>
          <w:szCs w:val="22"/>
        </w:rPr>
        <w:t>Wilayas</w:t>
      </w:r>
      <w:r>
        <w:rPr>
          <w:rFonts w:asciiTheme="minorHAnsi" w:hAnsiTheme="minorHAnsi" w:cstheme="minorHAnsi"/>
          <w:sz w:val="22"/>
          <w:szCs w:val="22"/>
        </w:rPr>
        <w:t>. Mais en même temps, o</w:t>
      </w:r>
      <w:r w:rsidR="008347F2">
        <w:rPr>
          <w:rFonts w:asciiTheme="minorHAnsi" w:hAnsiTheme="minorHAnsi" w:cstheme="minorHAnsi"/>
          <w:sz w:val="22"/>
          <w:szCs w:val="22"/>
        </w:rPr>
        <w:t>n con</w:t>
      </w:r>
      <w:r w:rsidR="00D54D61">
        <w:rPr>
          <w:rFonts w:asciiTheme="minorHAnsi" w:hAnsiTheme="minorHAnsi" w:cstheme="minorHAnsi"/>
          <w:sz w:val="22"/>
          <w:szCs w:val="22"/>
        </w:rPr>
        <w:t xml:space="preserve">state à partir du graphique </w:t>
      </w:r>
      <w:r w:rsidR="00815216">
        <w:rPr>
          <w:rFonts w:asciiTheme="minorHAnsi" w:hAnsiTheme="minorHAnsi" w:cstheme="minorHAnsi"/>
          <w:sz w:val="22"/>
          <w:szCs w:val="22"/>
        </w:rPr>
        <w:t>ci-dessus</w:t>
      </w:r>
      <w:r w:rsidR="008347F2">
        <w:rPr>
          <w:rFonts w:asciiTheme="minorHAnsi" w:hAnsiTheme="minorHAnsi" w:cstheme="minorHAnsi"/>
          <w:sz w:val="22"/>
          <w:szCs w:val="22"/>
        </w:rPr>
        <w:t xml:space="preserve"> une certaine constance du niveau</w:t>
      </w:r>
      <w:r w:rsidR="00D37E24">
        <w:rPr>
          <w:rFonts w:asciiTheme="minorHAnsi" w:hAnsiTheme="minorHAnsi" w:cstheme="minorHAnsi"/>
          <w:sz w:val="22"/>
          <w:szCs w:val="22"/>
        </w:rPr>
        <w:t>, malheureusement bas,</w:t>
      </w:r>
      <w:r w:rsidR="008347F2">
        <w:rPr>
          <w:rFonts w:asciiTheme="minorHAnsi" w:hAnsiTheme="minorHAnsi" w:cstheme="minorHAnsi"/>
          <w:sz w:val="22"/>
          <w:szCs w:val="22"/>
        </w:rPr>
        <w:t xml:space="preserve"> du montant moyen de l’investissement par projet d’une année sur l’autre pour une majorité de </w:t>
      </w:r>
      <w:r w:rsidR="001246CD">
        <w:rPr>
          <w:rFonts w:asciiTheme="minorHAnsi" w:hAnsiTheme="minorHAnsi" w:cstheme="minorHAnsi"/>
          <w:sz w:val="22"/>
          <w:szCs w:val="22"/>
        </w:rPr>
        <w:t>Wilayas</w:t>
      </w:r>
      <w:r w:rsidR="008347F2">
        <w:rPr>
          <w:rFonts w:asciiTheme="minorHAnsi" w:hAnsiTheme="minorHAnsi" w:cstheme="minorHAnsi"/>
          <w:sz w:val="22"/>
          <w:szCs w:val="22"/>
        </w:rPr>
        <w:t>.</w:t>
      </w:r>
    </w:p>
    <w:p w:rsidR="00815216" w:rsidRDefault="008347F2" w:rsidP="008347F2">
      <w:pPr>
        <w:jc w:val="both"/>
        <w:rPr>
          <w:rFonts w:asciiTheme="minorHAnsi" w:hAnsiTheme="minorHAnsi" w:cstheme="minorHAnsi"/>
          <w:sz w:val="22"/>
          <w:szCs w:val="22"/>
        </w:rPr>
      </w:pPr>
      <w:r>
        <w:rPr>
          <w:rFonts w:asciiTheme="minorHAnsi" w:hAnsiTheme="minorHAnsi" w:cstheme="minorHAnsi"/>
          <w:sz w:val="22"/>
          <w:szCs w:val="22"/>
        </w:rPr>
        <w:t xml:space="preserve">Ainsi la dispersion de l’investissement est très importante et cela depuis 2009 dans les </w:t>
      </w:r>
      <w:r w:rsidR="001246CD">
        <w:rPr>
          <w:rFonts w:asciiTheme="minorHAnsi" w:hAnsiTheme="minorHAnsi" w:cstheme="minorHAnsi"/>
          <w:sz w:val="22"/>
          <w:szCs w:val="22"/>
        </w:rPr>
        <w:t>Wilayas</w:t>
      </w:r>
      <w:r>
        <w:rPr>
          <w:rFonts w:asciiTheme="minorHAnsi" w:hAnsiTheme="minorHAnsi" w:cstheme="minorHAnsi"/>
          <w:sz w:val="22"/>
          <w:szCs w:val="22"/>
        </w:rPr>
        <w:t xml:space="preserve"> du </w:t>
      </w:r>
      <w:proofErr w:type="spellStart"/>
      <w:r>
        <w:rPr>
          <w:rFonts w:asciiTheme="minorHAnsi" w:hAnsiTheme="minorHAnsi" w:cstheme="minorHAnsi"/>
          <w:sz w:val="22"/>
          <w:szCs w:val="22"/>
        </w:rPr>
        <w:t>Hodh</w:t>
      </w:r>
      <w:proofErr w:type="spellEnd"/>
      <w:r>
        <w:rPr>
          <w:rFonts w:asciiTheme="minorHAnsi" w:hAnsiTheme="minorHAnsi" w:cstheme="minorHAnsi"/>
          <w:sz w:val="22"/>
          <w:szCs w:val="22"/>
        </w:rPr>
        <w:t xml:space="preserve"> E</w:t>
      </w:r>
      <w:r w:rsidR="00601E87">
        <w:rPr>
          <w:rFonts w:asciiTheme="minorHAnsi" w:hAnsiTheme="minorHAnsi" w:cstheme="minorHAnsi"/>
          <w:sz w:val="22"/>
          <w:szCs w:val="22"/>
        </w:rPr>
        <w:t>l Gharbi et de l’Adrar, qui connaît toutefois</w:t>
      </w:r>
      <w:r w:rsidR="00D37E24">
        <w:rPr>
          <w:rFonts w:asciiTheme="minorHAnsi" w:hAnsiTheme="minorHAnsi" w:cstheme="minorHAnsi"/>
          <w:sz w:val="22"/>
          <w:szCs w:val="22"/>
        </w:rPr>
        <w:t xml:space="preserve"> en 2012 une amélioration de sa situation comme la très grande majorité des </w:t>
      </w:r>
      <w:r w:rsidR="001246CD">
        <w:rPr>
          <w:rFonts w:asciiTheme="minorHAnsi" w:hAnsiTheme="minorHAnsi" w:cstheme="minorHAnsi"/>
          <w:sz w:val="22"/>
          <w:szCs w:val="22"/>
        </w:rPr>
        <w:t>Wilayas</w:t>
      </w:r>
      <w:r w:rsidR="00D37E24">
        <w:rPr>
          <w:rFonts w:asciiTheme="minorHAnsi" w:hAnsiTheme="minorHAnsi" w:cstheme="minorHAnsi"/>
          <w:sz w:val="22"/>
          <w:szCs w:val="22"/>
        </w:rPr>
        <w:t>. Amélioration peut-être imputable à l’abondement des crédits en moyenne de 16,67% en 2012 et de l’utilisation des importants reliquats accumulés au cours des derniers exercices.</w:t>
      </w:r>
    </w:p>
    <w:p w:rsidR="008B5FB0" w:rsidRPr="000B4CFF" w:rsidRDefault="008B5FB0" w:rsidP="00222208">
      <w:pPr>
        <w:rPr>
          <w:rFonts w:asciiTheme="minorHAnsi" w:hAnsiTheme="minorHAnsi" w:cstheme="minorHAnsi"/>
          <w:sz w:val="22"/>
          <w:szCs w:val="22"/>
        </w:rPr>
      </w:pPr>
    </w:p>
    <w:p w:rsidR="008B5FB0" w:rsidRPr="009B1470" w:rsidRDefault="0049553B" w:rsidP="002F04D1">
      <w:pPr>
        <w:pStyle w:val="Paragraphedeliste"/>
        <w:numPr>
          <w:ilvl w:val="0"/>
          <w:numId w:val="4"/>
        </w:numPr>
        <w:rPr>
          <w:rFonts w:asciiTheme="minorHAnsi" w:hAnsiTheme="minorHAnsi" w:cstheme="minorHAnsi"/>
          <w:b/>
          <w:sz w:val="22"/>
          <w:szCs w:val="22"/>
        </w:rPr>
      </w:pPr>
      <w:r w:rsidRPr="009B1470">
        <w:rPr>
          <w:rFonts w:asciiTheme="minorHAnsi" w:hAnsiTheme="minorHAnsi" w:cstheme="minorHAnsi"/>
          <w:b/>
          <w:sz w:val="22"/>
          <w:szCs w:val="22"/>
        </w:rPr>
        <w:t>Montant moyen de l’investissement par projet selon les secteurs</w:t>
      </w:r>
    </w:p>
    <w:p w:rsidR="008B5FB0" w:rsidRDefault="008B5FB0" w:rsidP="00222208">
      <w:pPr>
        <w:rPr>
          <w:rFonts w:asciiTheme="minorHAnsi" w:hAnsiTheme="minorHAnsi" w:cstheme="minorHAnsi"/>
          <w:sz w:val="22"/>
          <w:szCs w:val="22"/>
        </w:rPr>
      </w:pPr>
    </w:p>
    <w:p w:rsidR="0049553B" w:rsidRDefault="00487BDF" w:rsidP="00487BDF">
      <w:pPr>
        <w:jc w:val="both"/>
        <w:rPr>
          <w:rFonts w:asciiTheme="minorHAnsi" w:hAnsiTheme="minorHAnsi" w:cstheme="minorHAnsi"/>
          <w:sz w:val="22"/>
          <w:szCs w:val="22"/>
        </w:rPr>
      </w:pPr>
      <w:r>
        <w:rPr>
          <w:rFonts w:asciiTheme="minorHAnsi" w:hAnsiTheme="minorHAnsi" w:cstheme="minorHAnsi"/>
          <w:sz w:val="22"/>
          <w:szCs w:val="22"/>
        </w:rPr>
        <w:t>Le calcul</w:t>
      </w:r>
      <w:r w:rsidR="0049553B">
        <w:rPr>
          <w:rFonts w:asciiTheme="minorHAnsi" w:hAnsiTheme="minorHAnsi" w:cstheme="minorHAnsi"/>
          <w:sz w:val="22"/>
          <w:szCs w:val="22"/>
        </w:rPr>
        <w:t xml:space="preserve"> du montant moyen de l’investissement par projet en fonction des secteurs peut être également intéressant, il donne une idée de l’envergure des projets qui sont financés par les communes.</w:t>
      </w:r>
    </w:p>
    <w:p w:rsidR="00487BDF" w:rsidRDefault="00487BDF" w:rsidP="007B1121">
      <w:pPr>
        <w:jc w:val="both"/>
        <w:rPr>
          <w:rFonts w:asciiTheme="minorHAnsi" w:hAnsiTheme="minorHAnsi" w:cstheme="minorHAnsi"/>
          <w:sz w:val="22"/>
          <w:szCs w:val="22"/>
        </w:rPr>
      </w:pPr>
    </w:p>
    <w:p w:rsidR="00487BDF" w:rsidRDefault="00487BDF" w:rsidP="007B1121">
      <w:pPr>
        <w:jc w:val="both"/>
        <w:rPr>
          <w:rFonts w:asciiTheme="minorHAnsi" w:hAnsiTheme="minorHAnsi" w:cstheme="minorHAnsi"/>
          <w:sz w:val="22"/>
          <w:szCs w:val="22"/>
        </w:rPr>
      </w:pPr>
      <w:r w:rsidRPr="00487BDF">
        <w:rPr>
          <w:noProof/>
        </w:rPr>
        <w:drawing>
          <wp:inline distT="0" distB="0" distL="0" distR="0">
            <wp:extent cx="6696075" cy="4200525"/>
            <wp:effectExtent l="19050" t="0" r="9525" b="0"/>
            <wp:docPr id="224"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tretch>
                      <a:fillRect/>
                    </a:stretch>
                  </pic:blipFill>
                  <pic:spPr>
                    <a:xfrm>
                      <a:off x="0" y="0"/>
                      <a:ext cx="6696075" cy="4200525"/>
                    </a:xfrm>
                    <a:prstGeom prst="rect">
                      <a:avLst/>
                    </a:prstGeom>
                  </pic:spPr>
                </pic:pic>
              </a:graphicData>
            </a:graphic>
          </wp:inline>
        </w:drawing>
      </w:r>
    </w:p>
    <w:p w:rsidR="00487BDF" w:rsidRDefault="00487BDF" w:rsidP="007B1121">
      <w:pPr>
        <w:jc w:val="both"/>
        <w:rPr>
          <w:rFonts w:asciiTheme="minorHAnsi" w:hAnsiTheme="minorHAnsi" w:cstheme="minorHAnsi"/>
          <w:sz w:val="22"/>
          <w:szCs w:val="22"/>
        </w:rPr>
      </w:pPr>
    </w:p>
    <w:p w:rsidR="007B1121" w:rsidRPr="000B4CFF" w:rsidRDefault="00AF77E6" w:rsidP="007B1121">
      <w:pPr>
        <w:jc w:val="both"/>
        <w:rPr>
          <w:rFonts w:asciiTheme="minorHAnsi" w:hAnsiTheme="minorHAnsi" w:cstheme="minorHAnsi"/>
          <w:sz w:val="22"/>
          <w:szCs w:val="22"/>
        </w:rPr>
      </w:pPr>
      <w:r>
        <w:rPr>
          <w:rFonts w:asciiTheme="minorHAnsi" w:hAnsiTheme="minorHAnsi" w:cstheme="minorHAnsi"/>
          <w:sz w:val="22"/>
          <w:szCs w:val="22"/>
        </w:rPr>
        <w:t>Les secteurs pour lesquels les montants moyen</w:t>
      </w:r>
      <w:r w:rsidR="007B1121">
        <w:rPr>
          <w:rFonts w:asciiTheme="minorHAnsi" w:hAnsiTheme="minorHAnsi" w:cstheme="minorHAnsi"/>
          <w:sz w:val="22"/>
          <w:szCs w:val="22"/>
        </w:rPr>
        <w:t>s</w:t>
      </w:r>
      <w:r>
        <w:rPr>
          <w:rFonts w:asciiTheme="minorHAnsi" w:hAnsiTheme="minorHAnsi" w:cstheme="minorHAnsi"/>
          <w:sz w:val="22"/>
          <w:szCs w:val="22"/>
        </w:rPr>
        <w:t xml:space="preserve"> de l’investissement par projet sont les p</w:t>
      </w:r>
      <w:r w:rsidR="00487BDF">
        <w:rPr>
          <w:rFonts w:asciiTheme="minorHAnsi" w:hAnsiTheme="minorHAnsi" w:cstheme="minorHAnsi"/>
          <w:sz w:val="22"/>
          <w:szCs w:val="22"/>
        </w:rPr>
        <w:t>lus élevés sont le tourisme</w:t>
      </w:r>
      <w:r>
        <w:rPr>
          <w:rFonts w:asciiTheme="minorHAnsi" w:hAnsiTheme="minorHAnsi" w:cstheme="minorHAnsi"/>
          <w:sz w:val="22"/>
          <w:szCs w:val="22"/>
        </w:rPr>
        <w:t xml:space="preserve"> (1</w:t>
      </w:r>
      <w:r w:rsidRPr="00AF77E6">
        <w:rPr>
          <w:rFonts w:asciiTheme="minorHAnsi" w:hAnsiTheme="minorHAnsi" w:cstheme="minorHAnsi"/>
          <w:sz w:val="22"/>
          <w:szCs w:val="22"/>
          <w:vertAlign w:val="superscript"/>
        </w:rPr>
        <w:t>er</w:t>
      </w:r>
      <w:r w:rsidR="00487BDF">
        <w:rPr>
          <w:rFonts w:asciiTheme="minorHAnsi" w:hAnsiTheme="minorHAnsi" w:cstheme="minorHAnsi"/>
          <w:sz w:val="22"/>
          <w:szCs w:val="22"/>
        </w:rPr>
        <w:t>), l’assainissement</w:t>
      </w:r>
      <w:r>
        <w:rPr>
          <w:rFonts w:asciiTheme="minorHAnsi" w:hAnsiTheme="minorHAnsi" w:cstheme="minorHAnsi"/>
          <w:sz w:val="22"/>
          <w:szCs w:val="22"/>
        </w:rPr>
        <w:t xml:space="preserve"> (2</w:t>
      </w:r>
      <w:r w:rsidRPr="00AF77E6">
        <w:rPr>
          <w:rFonts w:asciiTheme="minorHAnsi" w:hAnsiTheme="minorHAnsi" w:cstheme="minorHAnsi"/>
          <w:sz w:val="22"/>
          <w:szCs w:val="22"/>
          <w:vertAlign w:val="superscript"/>
        </w:rPr>
        <w:t>ème</w:t>
      </w:r>
      <w:r>
        <w:rPr>
          <w:rFonts w:asciiTheme="minorHAnsi" w:hAnsiTheme="minorHAnsi" w:cstheme="minorHAnsi"/>
          <w:sz w:val="22"/>
          <w:szCs w:val="22"/>
        </w:rPr>
        <w:t>) et les bâtiments communaux (3</w:t>
      </w:r>
      <w:r w:rsidRPr="00AF77E6">
        <w:rPr>
          <w:rFonts w:asciiTheme="minorHAnsi" w:hAnsiTheme="minorHAnsi" w:cstheme="minorHAnsi"/>
          <w:sz w:val="22"/>
          <w:szCs w:val="22"/>
          <w:vertAlign w:val="superscript"/>
        </w:rPr>
        <w:t>ème</w:t>
      </w:r>
      <w:r>
        <w:rPr>
          <w:rFonts w:asciiTheme="minorHAnsi" w:hAnsiTheme="minorHAnsi" w:cstheme="minorHAnsi"/>
          <w:sz w:val="22"/>
          <w:szCs w:val="22"/>
        </w:rPr>
        <w:t>)</w:t>
      </w:r>
      <w:r w:rsidR="007B1121">
        <w:rPr>
          <w:rFonts w:asciiTheme="minorHAnsi" w:hAnsiTheme="minorHAnsi" w:cstheme="minorHAnsi"/>
          <w:sz w:val="22"/>
          <w:szCs w:val="22"/>
        </w:rPr>
        <w:t>.</w:t>
      </w:r>
      <w:r w:rsidR="00885933">
        <w:rPr>
          <w:rFonts w:asciiTheme="minorHAnsi" w:hAnsiTheme="minorHAnsi" w:cstheme="minorHAnsi"/>
          <w:sz w:val="22"/>
          <w:szCs w:val="22"/>
        </w:rPr>
        <w:t xml:space="preserve"> Au-delà de ce classement presque anecdotique, </w:t>
      </w:r>
      <w:r w:rsidR="005A4DA5">
        <w:rPr>
          <w:rFonts w:asciiTheme="minorHAnsi" w:hAnsiTheme="minorHAnsi" w:cstheme="minorHAnsi"/>
          <w:sz w:val="22"/>
          <w:szCs w:val="22"/>
        </w:rPr>
        <w:t>ce tableau met en exergue</w:t>
      </w:r>
      <w:r w:rsidR="007B1121">
        <w:rPr>
          <w:rFonts w:asciiTheme="minorHAnsi" w:hAnsiTheme="minorHAnsi" w:cstheme="minorHAnsi"/>
          <w:sz w:val="22"/>
          <w:szCs w:val="22"/>
        </w:rPr>
        <w:t xml:space="preserve"> la </w:t>
      </w:r>
      <w:r w:rsidR="005A4DA5">
        <w:rPr>
          <w:rFonts w:asciiTheme="minorHAnsi" w:hAnsiTheme="minorHAnsi" w:cstheme="minorHAnsi"/>
          <w:sz w:val="22"/>
          <w:szCs w:val="22"/>
        </w:rPr>
        <w:t xml:space="preserve">préoccupante </w:t>
      </w:r>
      <w:r w:rsidR="007B1121">
        <w:rPr>
          <w:rFonts w:asciiTheme="minorHAnsi" w:hAnsiTheme="minorHAnsi" w:cstheme="minorHAnsi"/>
          <w:sz w:val="22"/>
          <w:szCs w:val="22"/>
        </w:rPr>
        <w:t>faiblesse des montants moyens engagés</w:t>
      </w:r>
      <w:r w:rsidR="005A4DA5">
        <w:rPr>
          <w:rFonts w:asciiTheme="minorHAnsi" w:hAnsiTheme="minorHAnsi" w:cstheme="minorHAnsi"/>
          <w:sz w:val="22"/>
          <w:szCs w:val="22"/>
        </w:rPr>
        <w:t>,</w:t>
      </w:r>
      <w:r w:rsidR="007B1121">
        <w:rPr>
          <w:rFonts w:asciiTheme="minorHAnsi" w:hAnsiTheme="minorHAnsi" w:cstheme="minorHAnsi"/>
          <w:sz w:val="22"/>
          <w:szCs w:val="22"/>
        </w:rPr>
        <w:t xml:space="preserve"> en particulier pour les </w:t>
      </w:r>
      <w:r w:rsidR="005A4DA5">
        <w:rPr>
          <w:rFonts w:asciiTheme="minorHAnsi" w:hAnsiTheme="minorHAnsi" w:cstheme="minorHAnsi"/>
          <w:sz w:val="22"/>
          <w:szCs w:val="22"/>
        </w:rPr>
        <w:t>457 projets du secteur hydraulique (</w:t>
      </w:r>
      <w:r w:rsidR="007B1121">
        <w:rPr>
          <w:rFonts w:asciiTheme="minorHAnsi" w:hAnsiTheme="minorHAnsi" w:cstheme="minorHAnsi"/>
          <w:sz w:val="22"/>
          <w:szCs w:val="22"/>
        </w:rPr>
        <w:t>moins d</w:t>
      </w:r>
      <w:r w:rsidR="005A4DA5">
        <w:rPr>
          <w:rFonts w:asciiTheme="minorHAnsi" w:hAnsiTheme="minorHAnsi" w:cstheme="minorHAnsi"/>
          <w:sz w:val="22"/>
          <w:szCs w:val="22"/>
        </w:rPr>
        <w:t>’1 million d’</w:t>
      </w:r>
      <w:r w:rsidR="004871EA">
        <w:rPr>
          <w:rFonts w:asciiTheme="minorHAnsi" w:hAnsiTheme="minorHAnsi" w:cstheme="minorHAnsi"/>
          <w:sz w:val="22"/>
          <w:szCs w:val="22"/>
        </w:rPr>
        <w:t>ouguiya</w:t>
      </w:r>
      <w:r w:rsidR="005A4DA5">
        <w:rPr>
          <w:rFonts w:asciiTheme="minorHAnsi" w:hAnsiTheme="minorHAnsi" w:cstheme="minorHAnsi"/>
          <w:sz w:val="22"/>
          <w:szCs w:val="22"/>
        </w:rPr>
        <w:t xml:space="preserve"> par projet) et </w:t>
      </w:r>
      <w:r w:rsidR="007B1121">
        <w:rPr>
          <w:rFonts w:asciiTheme="minorHAnsi" w:hAnsiTheme="minorHAnsi" w:cstheme="minorHAnsi"/>
          <w:sz w:val="22"/>
          <w:szCs w:val="22"/>
        </w:rPr>
        <w:t xml:space="preserve">la tendance </w:t>
      </w:r>
      <w:r w:rsidR="005A4DA5">
        <w:rPr>
          <w:rFonts w:asciiTheme="minorHAnsi" w:hAnsiTheme="minorHAnsi" w:cstheme="minorHAnsi"/>
          <w:sz w:val="22"/>
          <w:szCs w:val="22"/>
        </w:rPr>
        <w:t xml:space="preserve">des communes </w:t>
      </w:r>
      <w:r w:rsidR="007B1121">
        <w:rPr>
          <w:rFonts w:asciiTheme="minorHAnsi" w:hAnsiTheme="minorHAnsi" w:cstheme="minorHAnsi"/>
          <w:sz w:val="22"/>
          <w:szCs w:val="22"/>
        </w:rPr>
        <w:t>à privilégier les petits projets de type réhabilitation/réfection,</w:t>
      </w:r>
      <w:r w:rsidR="005A4DA5">
        <w:rPr>
          <w:rFonts w:asciiTheme="minorHAnsi" w:hAnsiTheme="minorHAnsi" w:cstheme="minorHAnsi"/>
          <w:sz w:val="22"/>
          <w:szCs w:val="22"/>
        </w:rPr>
        <w:t xml:space="preserve"> achat de matériel, subventions, voire des dépenses de fonctionnement normalement non éligibles au FRD.</w:t>
      </w:r>
    </w:p>
    <w:p w:rsidR="004C1BC3" w:rsidRDefault="002316D8" w:rsidP="002316D8">
      <w:pPr>
        <w:jc w:val="both"/>
        <w:rPr>
          <w:rFonts w:asciiTheme="minorHAnsi" w:hAnsiTheme="minorHAnsi" w:cstheme="minorHAnsi"/>
          <w:sz w:val="22"/>
          <w:szCs w:val="22"/>
        </w:rPr>
      </w:pPr>
      <w:r>
        <w:rPr>
          <w:rFonts w:asciiTheme="minorHAnsi" w:hAnsiTheme="minorHAnsi" w:cstheme="minorHAnsi"/>
          <w:sz w:val="22"/>
          <w:szCs w:val="22"/>
        </w:rPr>
        <w:t>L’</w:t>
      </w:r>
      <w:r w:rsidR="004C1BC3">
        <w:rPr>
          <w:rFonts w:asciiTheme="minorHAnsi" w:hAnsiTheme="minorHAnsi" w:cstheme="minorHAnsi"/>
          <w:sz w:val="22"/>
          <w:szCs w:val="22"/>
        </w:rPr>
        <w:t>augmentation des crédits disponibles ne semble pas avoir eu d’impact très important sur la réduction de la parcellisation de l’investissement.</w:t>
      </w:r>
    </w:p>
    <w:p w:rsidR="002316D8" w:rsidRDefault="002316D8" w:rsidP="002316D8">
      <w:pPr>
        <w:jc w:val="both"/>
        <w:rPr>
          <w:rFonts w:asciiTheme="minorHAnsi" w:hAnsiTheme="minorHAnsi" w:cstheme="minorHAnsi"/>
          <w:sz w:val="22"/>
          <w:szCs w:val="22"/>
        </w:rPr>
      </w:pPr>
    </w:p>
    <w:p w:rsidR="002316D8" w:rsidRPr="000B4CFF" w:rsidRDefault="002316D8" w:rsidP="002316D8">
      <w:pPr>
        <w:jc w:val="both"/>
        <w:rPr>
          <w:rFonts w:asciiTheme="minorHAnsi" w:hAnsiTheme="minorHAnsi" w:cstheme="minorHAnsi"/>
          <w:sz w:val="22"/>
          <w:szCs w:val="22"/>
        </w:rPr>
      </w:pPr>
      <w:r>
        <w:rPr>
          <w:rFonts w:asciiTheme="minorHAnsi" w:hAnsiTheme="minorHAnsi" w:cstheme="minorHAnsi"/>
          <w:sz w:val="22"/>
          <w:szCs w:val="22"/>
        </w:rPr>
        <w:t xml:space="preserve">Il ne semble pas y avoir </w:t>
      </w:r>
      <w:r w:rsidR="0014493E">
        <w:rPr>
          <w:rFonts w:asciiTheme="minorHAnsi" w:hAnsiTheme="minorHAnsi" w:cstheme="minorHAnsi"/>
          <w:sz w:val="22"/>
          <w:szCs w:val="22"/>
        </w:rPr>
        <w:t xml:space="preserve">non plus </w:t>
      </w:r>
      <w:r>
        <w:rPr>
          <w:rFonts w:asciiTheme="minorHAnsi" w:hAnsiTheme="minorHAnsi" w:cstheme="minorHAnsi"/>
          <w:sz w:val="22"/>
          <w:szCs w:val="22"/>
        </w:rPr>
        <w:t>de règle en matière de dispersion, il est difficile de saisir à travers ces quelques données globales les stratégies d’investissement des communes, niveau pertinent de toute analyse en la matière.</w:t>
      </w:r>
    </w:p>
    <w:p w:rsidR="002316D8" w:rsidRDefault="006468A1" w:rsidP="002316D8">
      <w:pPr>
        <w:jc w:val="both"/>
        <w:rPr>
          <w:rFonts w:asciiTheme="minorHAnsi" w:hAnsiTheme="minorHAnsi" w:cstheme="minorHAnsi"/>
          <w:sz w:val="22"/>
          <w:szCs w:val="22"/>
        </w:rPr>
      </w:pPr>
      <w:r>
        <w:rPr>
          <w:rFonts w:asciiTheme="minorHAnsi" w:hAnsiTheme="minorHAnsi" w:cstheme="minorHAnsi"/>
          <w:sz w:val="22"/>
          <w:szCs w:val="22"/>
        </w:rPr>
        <w:t>D’autre part, les choix méthodologiques adoptés ont leurs limites que nous reconnaissons bien volontiers : il faudrait pour une analyse plus fine de l’investissement communal prendre les données de chaque commune pour établir le montant moyen par projet, voire type de projet car il est bien évident qu’un projet de construction de bâtiment ne requiert pas la même enveloppe financière que l’achat d’un ordinateur, bien que ces deux manières de s’équiper pour une commune soi</w:t>
      </w:r>
      <w:r w:rsidR="0014493E">
        <w:rPr>
          <w:rFonts w:asciiTheme="minorHAnsi" w:hAnsiTheme="minorHAnsi" w:cstheme="minorHAnsi"/>
          <w:sz w:val="22"/>
          <w:szCs w:val="22"/>
        </w:rPr>
        <w:t>en</w:t>
      </w:r>
      <w:r>
        <w:rPr>
          <w:rFonts w:asciiTheme="minorHAnsi" w:hAnsiTheme="minorHAnsi" w:cstheme="minorHAnsi"/>
          <w:sz w:val="22"/>
          <w:szCs w:val="22"/>
        </w:rPr>
        <w:t>t actuellement comptabilisées comme projets à part entière.</w:t>
      </w:r>
    </w:p>
    <w:p w:rsidR="006468A1" w:rsidRDefault="006468A1" w:rsidP="002316D8">
      <w:pPr>
        <w:jc w:val="both"/>
        <w:rPr>
          <w:rFonts w:asciiTheme="minorHAnsi" w:hAnsiTheme="minorHAnsi" w:cstheme="minorHAnsi"/>
          <w:sz w:val="22"/>
          <w:szCs w:val="22"/>
        </w:rPr>
      </w:pPr>
      <w:r>
        <w:rPr>
          <w:rFonts w:asciiTheme="minorHAnsi" w:hAnsiTheme="minorHAnsi" w:cstheme="minorHAnsi"/>
          <w:sz w:val="22"/>
          <w:szCs w:val="22"/>
        </w:rPr>
        <w:t>Une réflexion plus poussée sur la notion de projet d’investissement doit ainsi être menée pour éviter certaines dérives signalées comme l’assimilation d’un mandat en section d’équipement à un projet (d’où la multiplication du nombre de projets pour certaines communes</w:t>
      </w:r>
      <w:r w:rsidR="002747BE">
        <w:rPr>
          <w:rFonts w:asciiTheme="minorHAnsi" w:hAnsiTheme="minorHAnsi" w:cstheme="minorHAnsi"/>
          <w:sz w:val="22"/>
          <w:szCs w:val="22"/>
        </w:rPr>
        <w:t>) et la mise en place d’une typologie des opérations d’investissement, avec des coûts standards, incluant les études techniques nécessaires qui ne sont pas malheureusement l</w:t>
      </w:r>
      <w:r w:rsidR="0014493E">
        <w:rPr>
          <w:rFonts w:asciiTheme="minorHAnsi" w:hAnsiTheme="minorHAnsi" w:cstheme="minorHAnsi"/>
          <w:sz w:val="22"/>
          <w:szCs w:val="22"/>
        </w:rPr>
        <w:t>a règle en Mauritanie, permettrait l</w:t>
      </w:r>
      <w:r w:rsidR="002747BE">
        <w:rPr>
          <w:rFonts w:asciiTheme="minorHAnsi" w:hAnsiTheme="minorHAnsi" w:cstheme="minorHAnsi"/>
          <w:sz w:val="22"/>
          <w:szCs w:val="22"/>
        </w:rPr>
        <w:t>es comparaisons de coût et la confection de prévisions budgétaires réalistes.</w:t>
      </w:r>
    </w:p>
    <w:p w:rsidR="002747BE" w:rsidRDefault="002747BE" w:rsidP="002316D8">
      <w:pPr>
        <w:jc w:val="both"/>
        <w:rPr>
          <w:rFonts w:asciiTheme="minorHAnsi" w:hAnsiTheme="minorHAnsi" w:cstheme="minorHAnsi"/>
          <w:sz w:val="22"/>
          <w:szCs w:val="22"/>
        </w:rPr>
      </w:pPr>
    </w:p>
    <w:p w:rsidR="002747BE" w:rsidRDefault="002747BE" w:rsidP="002316D8">
      <w:pPr>
        <w:jc w:val="both"/>
        <w:rPr>
          <w:rFonts w:asciiTheme="minorHAnsi" w:hAnsiTheme="minorHAnsi" w:cstheme="minorHAnsi"/>
          <w:sz w:val="22"/>
          <w:szCs w:val="22"/>
        </w:rPr>
      </w:pPr>
    </w:p>
    <w:p w:rsidR="00F56F9A" w:rsidRPr="003A442D" w:rsidRDefault="00F56F9A" w:rsidP="00FF0C51">
      <w:pPr>
        <w:pStyle w:val="Paragraphedeliste"/>
        <w:numPr>
          <w:ilvl w:val="0"/>
          <w:numId w:val="1"/>
        </w:numPr>
        <w:rPr>
          <w:rFonts w:asciiTheme="minorHAnsi" w:hAnsiTheme="minorHAnsi" w:cstheme="minorHAnsi"/>
          <w:b/>
          <w:sz w:val="22"/>
          <w:szCs w:val="22"/>
        </w:rPr>
      </w:pPr>
      <w:r w:rsidRPr="003A442D">
        <w:rPr>
          <w:rFonts w:asciiTheme="minorHAnsi" w:hAnsiTheme="minorHAnsi" w:cstheme="minorHAnsi"/>
          <w:b/>
          <w:sz w:val="22"/>
          <w:szCs w:val="22"/>
        </w:rPr>
        <w:t>Taux d’absorption des crédits FRD</w:t>
      </w:r>
    </w:p>
    <w:p w:rsidR="00F56F9A" w:rsidRPr="009B1470" w:rsidRDefault="00F56F9A" w:rsidP="00F56F9A">
      <w:pPr>
        <w:rPr>
          <w:rFonts w:asciiTheme="minorHAnsi" w:hAnsiTheme="minorHAnsi" w:cstheme="minorHAnsi"/>
          <w:sz w:val="22"/>
          <w:szCs w:val="22"/>
        </w:rPr>
      </w:pPr>
    </w:p>
    <w:p w:rsidR="00F56F9A" w:rsidRDefault="00F56F9A" w:rsidP="00F56F9A">
      <w:pPr>
        <w:jc w:val="both"/>
        <w:rPr>
          <w:rFonts w:asciiTheme="minorHAnsi" w:hAnsiTheme="minorHAnsi" w:cstheme="minorHAnsi"/>
          <w:sz w:val="22"/>
          <w:szCs w:val="22"/>
        </w:rPr>
      </w:pPr>
      <w:r w:rsidRPr="009B1470">
        <w:rPr>
          <w:rFonts w:asciiTheme="minorHAnsi" w:hAnsiTheme="minorHAnsi" w:cstheme="minorHAnsi"/>
          <w:sz w:val="22"/>
          <w:szCs w:val="22"/>
        </w:rPr>
        <w:t xml:space="preserve">Le taux d’absorption des crédits du FRD </w:t>
      </w:r>
      <w:r>
        <w:rPr>
          <w:rFonts w:asciiTheme="minorHAnsi" w:hAnsiTheme="minorHAnsi" w:cstheme="minorHAnsi"/>
          <w:sz w:val="22"/>
          <w:szCs w:val="22"/>
        </w:rPr>
        <w:t xml:space="preserve">équipement est un pourcentage exprimant le </w:t>
      </w:r>
      <w:r w:rsidRPr="009B1470">
        <w:rPr>
          <w:rFonts w:asciiTheme="minorHAnsi" w:hAnsiTheme="minorHAnsi" w:cstheme="minorHAnsi"/>
          <w:sz w:val="22"/>
          <w:szCs w:val="22"/>
        </w:rPr>
        <w:t>rapport entre le montant engagé su</w:t>
      </w:r>
      <w:r>
        <w:rPr>
          <w:rFonts w:asciiTheme="minorHAnsi" w:hAnsiTheme="minorHAnsi" w:cstheme="minorHAnsi"/>
          <w:sz w:val="22"/>
          <w:szCs w:val="22"/>
        </w:rPr>
        <w:t>r le montant du FRD équipement alloué au titre de l’exercice budgétaire.</w:t>
      </w:r>
    </w:p>
    <w:p w:rsidR="00F56F9A" w:rsidRDefault="00F56F9A" w:rsidP="00F56F9A">
      <w:pPr>
        <w:jc w:val="both"/>
        <w:rPr>
          <w:rFonts w:asciiTheme="minorHAnsi" w:hAnsiTheme="minorHAnsi" w:cstheme="minorHAnsi"/>
          <w:sz w:val="22"/>
          <w:szCs w:val="22"/>
        </w:rPr>
      </w:pPr>
      <w:r>
        <w:rPr>
          <w:rFonts w:asciiTheme="minorHAnsi" w:hAnsiTheme="minorHAnsi" w:cstheme="minorHAnsi"/>
          <w:sz w:val="22"/>
          <w:szCs w:val="22"/>
        </w:rPr>
        <w:t xml:space="preserve">Il s’agit donc de l’un des principaux indicateurs statistiques permettant d’apprécier annuellement les politiques d’investissement des décideurs locaux et les capacités des communes à les mettre en </w:t>
      </w:r>
      <w:proofErr w:type="spellStart"/>
      <w:r>
        <w:rPr>
          <w:rFonts w:asciiTheme="minorHAnsi" w:hAnsiTheme="minorHAnsi" w:cstheme="minorHAnsi"/>
          <w:sz w:val="22"/>
          <w:szCs w:val="22"/>
        </w:rPr>
        <w:t>oeuvre</w:t>
      </w:r>
      <w:proofErr w:type="spellEnd"/>
      <w:r>
        <w:rPr>
          <w:rFonts w:asciiTheme="minorHAnsi" w:hAnsiTheme="minorHAnsi" w:cstheme="minorHAnsi"/>
          <w:sz w:val="22"/>
          <w:szCs w:val="22"/>
        </w:rPr>
        <w:t>.</w:t>
      </w:r>
    </w:p>
    <w:p w:rsidR="00F56F9A" w:rsidRDefault="00F56F9A" w:rsidP="00F56F9A">
      <w:pPr>
        <w:jc w:val="both"/>
        <w:rPr>
          <w:rFonts w:asciiTheme="minorHAnsi" w:hAnsiTheme="minorHAnsi" w:cstheme="minorHAnsi"/>
          <w:sz w:val="22"/>
          <w:szCs w:val="22"/>
        </w:rPr>
      </w:pPr>
    </w:p>
    <w:p w:rsidR="00F56F9A" w:rsidRDefault="00F56F9A" w:rsidP="00F56F9A">
      <w:pPr>
        <w:jc w:val="both"/>
        <w:rPr>
          <w:rFonts w:asciiTheme="minorHAnsi" w:hAnsiTheme="minorHAnsi" w:cstheme="minorHAnsi"/>
          <w:sz w:val="22"/>
          <w:szCs w:val="22"/>
        </w:rPr>
      </w:pPr>
      <w:r>
        <w:rPr>
          <w:rFonts w:asciiTheme="minorHAnsi" w:hAnsiTheme="minorHAnsi" w:cstheme="minorHAnsi"/>
          <w:sz w:val="22"/>
          <w:szCs w:val="22"/>
        </w:rPr>
        <w:t>Cependant, avec l’apparition au cours des derniers exercices de taux supérieurs à 100%,</w:t>
      </w:r>
      <w:r w:rsidR="0014493E">
        <w:rPr>
          <w:rFonts w:asciiTheme="minorHAnsi" w:hAnsiTheme="minorHAnsi" w:cstheme="minorHAnsi"/>
          <w:sz w:val="22"/>
          <w:szCs w:val="22"/>
        </w:rPr>
        <w:t xml:space="preserve"> la problématique de la prise en</w:t>
      </w:r>
      <w:r>
        <w:rPr>
          <w:rFonts w:asciiTheme="minorHAnsi" w:hAnsiTheme="minorHAnsi" w:cstheme="minorHAnsi"/>
          <w:sz w:val="22"/>
          <w:szCs w:val="22"/>
        </w:rPr>
        <w:t xml:space="preserve"> compte ou non des reliquats s’est présentée avec acuité</w:t>
      </w:r>
      <w:r w:rsidR="006E5B96">
        <w:rPr>
          <w:rFonts w:asciiTheme="minorHAnsi" w:hAnsiTheme="minorHAnsi" w:cstheme="minorHAnsi"/>
          <w:sz w:val="22"/>
          <w:szCs w:val="22"/>
        </w:rPr>
        <w:t>, sans parler des autres sources de financement des équipements communaux</w:t>
      </w:r>
      <w:r>
        <w:rPr>
          <w:rFonts w:asciiTheme="minorHAnsi" w:hAnsiTheme="minorHAnsi" w:cstheme="minorHAnsi"/>
          <w:sz w:val="22"/>
          <w:szCs w:val="22"/>
        </w:rPr>
        <w:t xml:space="preserve"> : en ce qui concerne l’utilisation des crédits 2012, notons par exemple des taux d’absorption à hauteur de 149,87% pour la Commune de </w:t>
      </w:r>
      <w:proofErr w:type="spellStart"/>
      <w:r>
        <w:rPr>
          <w:rFonts w:asciiTheme="minorHAnsi" w:hAnsiTheme="minorHAnsi" w:cstheme="minorHAnsi"/>
          <w:sz w:val="22"/>
          <w:szCs w:val="22"/>
        </w:rPr>
        <w:t>Tachott</w:t>
      </w:r>
      <w:proofErr w:type="spellEnd"/>
      <w:r>
        <w:rPr>
          <w:rFonts w:asciiTheme="minorHAnsi" w:hAnsiTheme="minorHAnsi" w:cstheme="minorHAnsi"/>
          <w:sz w:val="22"/>
          <w:szCs w:val="22"/>
        </w:rPr>
        <w:t xml:space="preserve">, 151,60% pour la Commune de </w:t>
      </w:r>
      <w:proofErr w:type="spellStart"/>
      <w:r>
        <w:rPr>
          <w:rFonts w:asciiTheme="minorHAnsi" w:hAnsiTheme="minorHAnsi" w:cstheme="minorHAnsi"/>
          <w:sz w:val="22"/>
          <w:szCs w:val="22"/>
        </w:rPr>
        <w:t>Tamchekett</w:t>
      </w:r>
      <w:proofErr w:type="spellEnd"/>
      <w:r>
        <w:rPr>
          <w:rFonts w:asciiTheme="minorHAnsi" w:hAnsiTheme="minorHAnsi" w:cstheme="minorHAnsi"/>
          <w:sz w:val="22"/>
          <w:szCs w:val="22"/>
        </w:rPr>
        <w:t>, voire 155,12% pour la Commune de N’</w:t>
      </w:r>
      <w:proofErr w:type="spellStart"/>
      <w:r>
        <w:rPr>
          <w:rFonts w:asciiTheme="minorHAnsi" w:hAnsiTheme="minorHAnsi" w:cstheme="minorHAnsi"/>
          <w:sz w:val="22"/>
          <w:szCs w:val="22"/>
        </w:rPr>
        <w:t>Saveni</w:t>
      </w:r>
      <w:proofErr w:type="spellEnd"/>
      <w:r>
        <w:rPr>
          <w:rFonts w:asciiTheme="minorHAnsi" w:hAnsiTheme="minorHAnsi" w:cstheme="minorHAnsi"/>
          <w:sz w:val="22"/>
          <w:szCs w:val="22"/>
        </w:rPr>
        <w:t>.</w:t>
      </w:r>
    </w:p>
    <w:p w:rsidR="00F56F9A" w:rsidRDefault="00F56F9A" w:rsidP="00F56F9A">
      <w:pPr>
        <w:jc w:val="both"/>
        <w:rPr>
          <w:rFonts w:asciiTheme="minorHAnsi" w:hAnsiTheme="minorHAnsi" w:cstheme="minorHAnsi"/>
          <w:sz w:val="22"/>
          <w:szCs w:val="22"/>
        </w:rPr>
      </w:pPr>
    </w:p>
    <w:p w:rsidR="00B45BB2" w:rsidRDefault="00F56F9A" w:rsidP="00F56F9A">
      <w:pPr>
        <w:jc w:val="both"/>
        <w:rPr>
          <w:rFonts w:asciiTheme="minorHAnsi" w:hAnsiTheme="minorHAnsi" w:cstheme="minorHAnsi"/>
          <w:sz w:val="22"/>
          <w:szCs w:val="22"/>
        </w:rPr>
      </w:pPr>
      <w:r>
        <w:rPr>
          <w:rFonts w:asciiTheme="minorHAnsi" w:hAnsiTheme="minorHAnsi" w:cstheme="minorHAnsi"/>
          <w:sz w:val="22"/>
          <w:szCs w:val="22"/>
        </w:rPr>
        <w:t>Un retraitement prenant en compte les reliquats des exercices antérieurs s’avère judicieux car il est difficile de concevoir qu’on puisse théoriquement absorber plus de crédits que ceux dont on dispose.</w:t>
      </w:r>
    </w:p>
    <w:p w:rsidR="0031165C" w:rsidRDefault="0014493E" w:rsidP="00F56F9A">
      <w:pPr>
        <w:jc w:val="both"/>
        <w:rPr>
          <w:rFonts w:asciiTheme="minorHAnsi" w:hAnsiTheme="minorHAnsi" w:cstheme="minorHAnsi"/>
          <w:i/>
          <w:sz w:val="22"/>
          <w:szCs w:val="22"/>
        </w:rPr>
      </w:pPr>
      <w:r>
        <w:rPr>
          <w:rFonts w:asciiTheme="minorHAnsi" w:hAnsiTheme="minorHAnsi" w:cstheme="minorHAnsi"/>
          <w:sz w:val="22"/>
          <w:szCs w:val="22"/>
        </w:rPr>
        <w:t xml:space="preserve">Une tentative d’évaluation des reliquats a été opérée </w:t>
      </w:r>
      <w:r w:rsidR="00193C52">
        <w:rPr>
          <w:rFonts w:asciiTheme="minorHAnsi" w:hAnsiTheme="minorHAnsi" w:cstheme="minorHAnsi"/>
          <w:sz w:val="22"/>
          <w:szCs w:val="22"/>
        </w:rPr>
        <w:t xml:space="preserve">à ce titre </w:t>
      </w:r>
      <w:r>
        <w:rPr>
          <w:rFonts w:asciiTheme="minorHAnsi" w:hAnsiTheme="minorHAnsi" w:cstheme="minorHAnsi"/>
          <w:sz w:val="22"/>
          <w:szCs w:val="22"/>
        </w:rPr>
        <w:t xml:space="preserve">l’année dernière : ainsi, </w:t>
      </w:r>
      <w:r w:rsidRPr="008D517E">
        <w:rPr>
          <w:rFonts w:asciiTheme="minorHAnsi" w:hAnsiTheme="minorHAnsi" w:cstheme="minorHAnsi"/>
          <w:i/>
          <w:sz w:val="22"/>
          <w:szCs w:val="22"/>
        </w:rPr>
        <w:t>selon le rapport sur l’utilisation des crédits d’équipement du FRD 2011, plus de 588 millions de reliquats cumulés seraient disponibles pour 2012.</w:t>
      </w:r>
      <w:r w:rsidR="00193C52" w:rsidRPr="008D517E">
        <w:rPr>
          <w:rFonts w:asciiTheme="minorHAnsi" w:hAnsiTheme="minorHAnsi" w:cstheme="minorHAnsi"/>
          <w:i/>
          <w:sz w:val="22"/>
          <w:szCs w:val="22"/>
        </w:rPr>
        <w:t xml:space="preserve"> Nous retiendrons tout</w:t>
      </w:r>
      <w:r w:rsidR="00742FCC">
        <w:rPr>
          <w:rFonts w:asciiTheme="minorHAnsi" w:hAnsiTheme="minorHAnsi" w:cstheme="minorHAnsi"/>
          <w:i/>
          <w:sz w:val="22"/>
          <w:szCs w:val="22"/>
        </w:rPr>
        <w:t xml:space="preserve">efois, sans </w:t>
      </w:r>
      <w:r w:rsidR="00193C52" w:rsidRPr="008D517E">
        <w:rPr>
          <w:rFonts w:asciiTheme="minorHAnsi" w:hAnsiTheme="minorHAnsi" w:cstheme="minorHAnsi"/>
          <w:i/>
          <w:sz w:val="22"/>
          <w:szCs w:val="22"/>
        </w:rPr>
        <w:t>avoir reconstitué ce solde à partir de</w:t>
      </w:r>
      <w:r w:rsidR="00742FCC">
        <w:rPr>
          <w:rFonts w:asciiTheme="minorHAnsi" w:hAnsiTheme="minorHAnsi" w:cstheme="minorHAnsi"/>
          <w:i/>
          <w:sz w:val="22"/>
          <w:szCs w:val="22"/>
        </w:rPr>
        <w:t>s</w:t>
      </w:r>
      <w:r w:rsidR="00193C52" w:rsidRPr="008D517E">
        <w:rPr>
          <w:rFonts w:asciiTheme="minorHAnsi" w:hAnsiTheme="minorHAnsi" w:cstheme="minorHAnsi"/>
          <w:i/>
          <w:sz w:val="22"/>
          <w:szCs w:val="22"/>
        </w:rPr>
        <w:t xml:space="preserve"> documents budgétaires et comptable</w:t>
      </w:r>
      <w:r w:rsidR="00742FCC">
        <w:rPr>
          <w:rFonts w:asciiTheme="minorHAnsi" w:hAnsiTheme="minorHAnsi" w:cstheme="minorHAnsi"/>
          <w:i/>
          <w:sz w:val="22"/>
          <w:szCs w:val="22"/>
        </w:rPr>
        <w:t>s faute de temps</w:t>
      </w:r>
      <w:r w:rsidR="00193C52" w:rsidRPr="008D517E">
        <w:rPr>
          <w:rFonts w:asciiTheme="minorHAnsi" w:hAnsiTheme="minorHAnsi" w:cstheme="minorHAnsi"/>
          <w:i/>
          <w:sz w:val="22"/>
          <w:szCs w:val="22"/>
        </w:rPr>
        <w:t>, le montant de 620</w:t>
      </w:r>
      <w:r w:rsidR="00742FCC">
        <w:rPr>
          <w:rFonts w:asciiTheme="minorHAnsi" w:hAnsiTheme="minorHAnsi" w:cstheme="minorHAnsi"/>
          <w:i/>
          <w:sz w:val="22"/>
          <w:szCs w:val="22"/>
        </w:rPr>
        <w:t> 405 677 MRO après simple correction des montants calculés</w:t>
      </w:r>
      <w:r w:rsidR="0031165C">
        <w:rPr>
          <w:rFonts w:asciiTheme="minorHAnsi" w:hAnsiTheme="minorHAnsi" w:cstheme="minorHAnsi"/>
          <w:i/>
          <w:sz w:val="22"/>
          <w:szCs w:val="22"/>
        </w:rPr>
        <w:t>.</w:t>
      </w:r>
    </w:p>
    <w:p w:rsidR="00F56F9A" w:rsidRPr="008D517E" w:rsidRDefault="0031165C" w:rsidP="00F56F9A">
      <w:pPr>
        <w:jc w:val="both"/>
        <w:rPr>
          <w:rFonts w:asciiTheme="minorHAnsi" w:hAnsiTheme="minorHAnsi" w:cstheme="minorHAnsi"/>
          <w:i/>
          <w:sz w:val="22"/>
          <w:szCs w:val="22"/>
        </w:rPr>
      </w:pPr>
      <w:r>
        <w:rPr>
          <w:rFonts w:asciiTheme="minorHAnsi" w:hAnsiTheme="minorHAnsi" w:cstheme="minorHAnsi"/>
          <w:i/>
          <w:sz w:val="22"/>
          <w:szCs w:val="22"/>
        </w:rPr>
        <w:t xml:space="preserve">Par la même occasion, Il convient </w:t>
      </w:r>
      <w:r w:rsidR="00742FCC">
        <w:rPr>
          <w:rFonts w:asciiTheme="minorHAnsi" w:hAnsiTheme="minorHAnsi" w:cstheme="minorHAnsi"/>
          <w:i/>
          <w:sz w:val="22"/>
          <w:szCs w:val="22"/>
        </w:rPr>
        <w:t>de signaler que, suite à une autre correction</w:t>
      </w:r>
      <w:r>
        <w:rPr>
          <w:rFonts w:asciiTheme="minorHAnsi" w:hAnsiTheme="minorHAnsi" w:cstheme="minorHAnsi"/>
          <w:i/>
          <w:sz w:val="22"/>
          <w:szCs w:val="22"/>
        </w:rPr>
        <w:t xml:space="preserve"> de calcul,</w:t>
      </w:r>
      <w:r w:rsidR="00742FCC">
        <w:rPr>
          <w:rFonts w:asciiTheme="minorHAnsi" w:hAnsiTheme="minorHAnsi" w:cstheme="minorHAnsi"/>
          <w:i/>
          <w:sz w:val="22"/>
          <w:szCs w:val="22"/>
        </w:rPr>
        <w:t xml:space="preserve"> le taux d’absorption national </w:t>
      </w:r>
      <w:r>
        <w:rPr>
          <w:rFonts w:asciiTheme="minorHAnsi" w:hAnsiTheme="minorHAnsi" w:cstheme="minorHAnsi"/>
          <w:i/>
          <w:sz w:val="22"/>
          <w:szCs w:val="22"/>
        </w:rPr>
        <w:t>au titre de 2011 n’est pas de 103,44% mais de 102,16%.</w:t>
      </w:r>
    </w:p>
    <w:p w:rsidR="006E5B96" w:rsidRDefault="006E5B96" w:rsidP="00F56F9A">
      <w:pPr>
        <w:jc w:val="both"/>
        <w:rPr>
          <w:rFonts w:asciiTheme="minorHAnsi" w:hAnsiTheme="minorHAnsi" w:cstheme="minorHAnsi"/>
          <w:sz w:val="22"/>
          <w:szCs w:val="22"/>
        </w:rPr>
      </w:pPr>
    </w:p>
    <w:p w:rsidR="00F56F9A" w:rsidRDefault="006E5B96" w:rsidP="00F56F9A">
      <w:pPr>
        <w:jc w:val="both"/>
        <w:rPr>
          <w:rFonts w:asciiTheme="minorHAnsi" w:hAnsiTheme="minorHAnsi" w:cstheme="minorHAnsi"/>
          <w:sz w:val="22"/>
          <w:szCs w:val="22"/>
        </w:rPr>
      </w:pPr>
      <w:r>
        <w:rPr>
          <w:rFonts w:asciiTheme="minorHAnsi" w:hAnsiTheme="minorHAnsi" w:cstheme="minorHAnsi"/>
          <w:sz w:val="22"/>
          <w:szCs w:val="22"/>
        </w:rPr>
        <w:t>Il faut en outre noter que la prise en compte des reliquats ne règlera pas totalement</w:t>
      </w:r>
      <w:r w:rsidR="0031165C">
        <w:rPr>
          <w:rFonts w:asciiTheme="minorHAnsi" w:hAnsiTheme="minorHAnsi" w:cstheme="minorHAnsi"/>
          <w:sz w:val="22"/>
          <w:szCs w:val="22"/>
        </w:rPr>
        <w:t xml:space="preserve"> le problème des taux</w:t>
      </w:r>
      <w:r>
        <w:rPr>
          <w:rFonts w:asciiTheme="minorHAnsi" w:hAnsiTheme="minorHAnsi" w:cstheme="minorHAnsi"/>
          <w:sz w:val="22"/>
          <w:szCs w:val="22"/>
        </w:rPr>
        <w:t xml:space="preserve"> d’absorption supérieurs à 100%, pu</w:t>
      </w:r>
      <w:r w:rsidR="0031165C">
        <w:rPr>
          <w:rFonts w:asciiTheme="minorHAnsi" w:hAnsiTheme="minorHAnsi" w:cstheme="minorHAnsi"/>
          <w:sz w:val="22"/>
          <w:szCs w:val="22"/>
        </w:rPr>
        <w:t xml:space="preserve">isqu’il existe des sources </w:t>
      </w:r>
      <w:r>
        <w:rPr>
          <w:rFonts w:asciiTheme="minorHAnsi" w:hAnsiTheme="minorHAnsi" w:cstheme="minorHAnsi"/>
          <w:sz w:val="22"/>
          <w:szCs w:val="22"/>
        </w:rPr>
        <w:t xml:space="preserve">de financement </w:t>
      </w:r>
      <w:r w:rsidR="0031165C">
        <w:rPr>
          <w:rFonts w:asciiTheme="minorHAnsi" w:hAnsiTheme="minorHAnsi" w:cstheme="minorHAnsi"/>
          <w:sz w:val="22"/>
          <w:szCs w:val="22"/>
        </w:rPr>
        <w:t xml:space="preserve">autres </w:t>
      </w:r>
      <w:r>
        <w:rPr>
          <w:rFonts w:asciiTheme="minorHAnsi" w:hAnsiTheme="minorHAnsi" w:cstheme="minorHAnsi"/>
          <w:sz w:val="22"/>
          <w:szCs w:val="22"/>
        </w:rPr>
        <w:t>que le FRD</w:t>
      </w:r>
      <w:r w:rsidR="00B45BB2">
        <w:rPr>
          <w:rFonts w:asciiTheme="minorHAnsi" w:hAnsiTheme="minorHAnsi" w:cstheme="minorHAnsi"/>
          <w:sz w:val="22"/>
          <w:szCs w:val="22"/>
        </w:rPr>
        <w:t xml:space="preserve"> mobilisables </w:t>
      </w:r>
      <w:r w:rsidR="00A56988">
        <w:rPr>
          <w:rFonts w:asciiTheme="minorHAnsi" w:hAnsiTheme="minorHAnsi" w:cstheme="minorHAnsi"/>
          <w:sz w:val="22"/>
          <w:szCs w:val="22"/>
        </w:rPr>
        <w:t>par les communes.</w:t>
      </w:r>
    </w:p>
    <w:p w:rsidR="0054617B" w:rsidRDefault="0054617B" w:rsidP="00B80F06">
      <w:pPr>
        <w:jc w:val="both"/>
        <w:rPr>
          <w:rFonts w:asciiTheme="minorHAnsi" w:hAnsiTheme="minorHAnsi" w:cstheme="minorHAnsi"/>
          <w:sz w:val="22"/>
          <w:szCs w:val="22"/>
        </w:rPr>
      </w:pPr>
    </w:p>
    <w:p w:rsidR="00B80F06" w:rsidRDefault="006E5B96" w:rsidP="00B80F06">
      <w:pPr>
        <w:jc w:val="both"/>
        <w:rPr>
          <w:rFonts w:asciiTheme="minorHAnsi" w:hAnsiTheme="minorHAnsi" w:cstheme="minorHAnsi"/>
          <w:sz w:val="22"/>
          <w:szCs w:val="22"/>
        </w:rPr>
      </w:pPr>
      <w:r>
        <w:rPr>
          <w:rFonts w:asciiTheme="minorHAnsi" w:hAnsiTheme="minorHAnsi" w:cstheme="minorHAnsi"/>
          <w:sz w:val="22"/>
          <w:szCs w:val="22"/>
        </w:rPr>
        <w:t xml:space="preserve">Avant d’aborder </w:t>
      </w:r>
      <w:r w:rsidR="0054617B">
        <w:rPr>
          <w:rFonts w:asciiTheme="minorHAnsi" w:hAnsiTheme="minorHAnsi" w:cstheme="minorHAnsi"/>
          <w:sz w:val="22"/>
          <w:szCs w:val="22"/>
        </w:rPr>
        <w:t>l</w:t>
      </w:r>
      <w:r w:rsidR="00F56F9A">
        <w:rPr>
          <w:rFonts w:asciiTheme="minorHAnsi" w:hAnsiTheme="minorHAnsi" w:cstheme="minorHAnsi"/>
          <w:sz w:val="22"/>
          <w:szCs w:val="22"/>
        </w:rPr>
        <w:t xml:space="preserve">es </w:t>
      </w:r>
      <w:r>
        <w:rPr>
          <w:rFonts w:asciiTheme="minorHAnsi" w:hAnsiTheme="minorHAnsi" w:cstheme="minorHAnsi"/>
          <w:sz w:val="22"/>
          <w:szCs w:val="22"/>
        </w:rPr>
        <w:t xml:space="preserve">questions </w:t>
      </w:r>
      <w:r w:rsidR="0054617B">
        <w:rPr>
          <w:rFonts w:asciiTheme="minorHAnsi" w:hAnsiTheme="minorHAnsi" w:cstheme="minorHAnsi"/>
          <w:sz w:val="22"/>
          <w:szCs w:val="22"/>
        </w:rPr>
        <w:t xml:space="preserve">méthodologiques </w:t>
      </w:r>
      <w:r>
        <w:rPr>
          <w:rFonts w:asciiTheme="minorHAnsi" w:hAnsiTheme="minorHAnsi" w:cstheme="minorHAnsi"/>
          <w:sz w:val="22"/>
          <w:szCs w:val="22"/>
        </w:rPr>
        <w:t>de retraitement des reliquats</w:t>
      </w:r>
      <w:r w:rsidR="00F56F9A">
        <w:rPr>
          <w:rFonts w:asciiTheme="minorHAnsi" w:hAnsiTheme="minorHAnsi" w:cstheme="minorHAnsi"/>
          <w:sz w:val="22"/>
          <w:szCs w:val="22"/>
        </w:rPr>
        <w:t xml:space="preserve">, il convient pour mémoire de rappeler la nécessité d’une réflexion plus globale sur les crédits de la section d’investissement (ou section d’équipement selon la terminologie comptable actuellement en vigueur pour les communes) dans la mesure où </w:t>
      </w:r>
      <w:r w:rsidR="00F56F9A" w:rsidRPr="004F7A36">
        <w:rPr>
          <w:rFonts w:asciiTheme="minorHAnsi" w:hAnsiTheme="minorHAnsi" w:cstheme="minorHAnsi"/>
          <w:b/>
          <w:sz w:val="22"/>
          <w:szCs w:val="22"/>
        </w:rPr>
        <w:t>les recettes finançant les équipements communaux sont globalisés selon le principe d’universalité</w:t>
      </w:r>
      <w:r w:rsidR="004F7A36" w:rsidRPr="004F7A36">
        <w:rPr>
          <w:rFonts w:asciiTheme="minorHAnsi" w:hAnsiTheme="minorHAnsi" w:cstheme="minorHAnsi"/>
          <w:b/>
          <w:sz w:val="22"/>
          <w:szCs w:val="22"/>
        </w:rPr>
        <w:t xml:space="preserve"> et la règle de non-affectation</w:t>
      </w:r>
      <w:r w:rsidR="00F56F9A" w:rsidRPr="004F7A36">
        <w:rPr>
          <w:rFonts w:asciiTheme="minorHAnsi" w:hAnsiTheme="minorHAnsi" w:cstheme="minorHAnsi"/>
          <w:b/>
          <w:sz w:val="22"/>
          <w:szCs w:val="22"/>
        </w:rPr>
        <w:t> : en effet, si les sommes engagées e</w:t>
      </w:r>
      <w:r w:rsidR="00193C52">
        <w:rPr>
          <w:rFonts w:asciiTheme="minorHAnsi" w:hAnsiTheme="minorHAnsi" w:cstheme="minorHAnsi"/>
          <w:b/>
          <w:sz w:val="22"/>
          <w:szCs w:val="22"/>
        </w:rPr>
        <w:t>xcèdent souvent les dotations de</w:t>
      </w:r>
      <w:r w:rsidR="00F56F9A" w:rsidRPr="004F7A36">
        <w:rPr>
          <w:rFonts w:asciiTheme="minorHAnsi" w:hAnsiTheme="minorHAnsi" w:cstheme="minorHAnsi"/>
          <w:b/>
          <w:sz w:val="22"/>
          <w:szCs w:val="22"/>
        </w:rPr>
        <w:t xml:space="preserve"> FRD, c’est aussi parce que d’autres sources de financement prennent proportionnellement de plus en plus d’importance.</w:t>
      </w:r>
      <w:r w:rsidR="004F7A36">
        <w:rPr>
          <w:rFonts w:asciiTheme="minorHAnsi" w:hAnsiTheme="minorHAnsi" w:cstheme="minorHAnsi"/>
          <w:b/>
          <w:sz w:val="22"/>
          <w:szCs w:val="22"/>
        </w:rPr>
        <w:t xml:space="preserve"> </w:t>
      </w:r>
      <w:r w:rsidR="002E70CB">
        <w:rPr>
          <w:rFonts w:asciiTheme="minorHAnsi" w:hAnsiTheme="minorHAnsi" w:cstheme="minorHAnsi"/>
          <w:sz w:val="22"/>
          <w:szCs w:val="22"/>
        </w:rPr>
        <w:t>Par exemple</w:t>
      </w:r>
      <w:r w:rsidR="00B80F06">
        <w:rPr>
          <w:rFonts w:asciiTheme="minorHAnsi" w:hAnsiTheme="minorHAnsi" w:cstheme="minorHAnsi"/>
          <w:sz w:val="22"/>
          <w:szCs w:val="22"/>
        </w:rPr>
        <w:t xml:space="preserve"> l’autofinancement. Il est heureux de constater que les communes les plus avancées arrivent à dégager une épargne suffisante pour contribuer au financement de leurs investissements. Les subventions </w:t>
      </w:r>
      <w:r w:rsidR="002E70CB">
        <w:rPr>
          <w:rFonts w:asciiTheme="minorHAnsi" w:hAnsiTheme="minorHAnsi" w:cstheme="minorHAnsi"/>
          <w:sz w:val="22"/>
          <w:szCs w:val="22"/>
        </w:rPr>
        <w:t xml:space="preserve">et aides financières des </w:t>
      </w:r>
      <w:r w:rsidR="00B80F06">
        <w:rPr>
          <w:rFonts w:asciiTheme="minorHAnsi" w:hAnsiTheme="minorHAnsi" w:cstheme="minorHAnsi"/>
          <w:sz w:val="22"/>
          <w:szCs w:val="22"/>
        </w:rPr>
        <w:t>partenaires des communes relativisent également la pertinence du ratio d’absorption du FRD ainsi que la problématique des reliquats. Le renforcement des capacités financières des communes finira par rendre plus relatif le poids du FRD dans la structure de financement des équipements mais aussi la pertinence de la méthode de calcul actuellement en vigueur pour ce qui concerne le taux d’absorption</w:t>
      </w:r>
      <w:r w:rsidR="001C262A">
        <w:rPr>
          <w:rFonts w:asciiTheme="minorHAnsi" w:hAnsiTheme="minorHAnsi" w:cstheme="minorHAnsi"/>
          <w:sz w:val="22"/>
          <w:szCs w:val="22"/>
        </w:rPr>
        <w:t>.</w:t>
      </w:r>
    </w:p>
    <w:p w:rsidR="001C262A" w:rsidRPr="00B74940" w:rsidRDefault="001C262A" w:rsidP="00B80F06">
      <w:pPr>
        <w:jc w:val="both"/>
        <w:rPr>
          <w:rFonts w:asciiTheme="minorHAnsi" w:hAnsiTheme="minorHAnsi" w:cstheme="minorHAnsi"/>
          <w:b/>
          <w:sz w:val="22"/>
          <w:szCs w:val="22"/>
        </w:rPr>
      </w:pPr>
    </w:p>
    <w:p w:rsidR="00F56F9A" w:rsidRPr="00B80F06" w:rsidRDefault="004F7A36" w:rsidP="00F56F9A">
      <w:pPr>
        <w:jc w:val="both"/>
        <w:rPr>
          <w:rFonts w:asciiTheme="minorHAnsi" w:hAnsiTheme="minorHAnsi" w:cstheme="minorHAnsi"/>
          <w:b/>
          <w:i/>
          <w:sz w:val="22"/>
          <w:szCs w:val="22"/>
        </w:rPr>
      </w:pPr>
      <w:r w:rsidRPr="00B80F06">
        <w:rPr>
          <w:rFonts w:asciiTheme="minorHAnsi" w:hAnsiTheme="minorHAnsi" w:cstheme="minorHAnsi"/>
          <w:b/>
          <w:i/>
          <w:sz w:val="22"/>
          <w:szCs w:val="22"/>
        </w:rPr>
        <w:t>Si l’on souhaite retracer de manière précise</w:t>
      </w:r>
      <w:r w:rsidR="00193C52">
        <w:rPr>
          <w:rFonts w:asciiTheme="minorHAnsi" w:hAnsiTheme="minorHAnsi" w:cstheme="minorHAnsi"/>
          <w:b/>
          <w:i/>
          <w:sz w:val="22"/>
          <w:szCs w:val="22"/>
        </w:rPr>
        <w:t>,</w:t>
      </w:r>
      <w:r w:rsidRPr="00B80F06">
        <w:rPr>
          <w:rFonts w:asciiTheme="minorHAnsi" w:hAnsiTheme="minorHAnsi" w:cstheme="minorHAnsi"/>
          <w:b/>
          <w:i/>
          <w:sz w:val="22"/>
          <w:szCs w:val="22"/>
        </w:rPr>
        <w:t xml:space="preserve"> fiable et exhaustive l’utilisation faite du FRD</w:t>
      </w:r>
      <w:r w:rsidR="00B80F06" w:rsidRPr="00B80F06">
        <w:rPr>
          <w:rFonts w:asciiTheme="minorHAnsi" w:hAnsiTheme="minorHAnsi" w:cstheme="minorHAnsi"/>
          <w:b/>
          <w:i/>
          <w:sz w:val="22"/>
          <w:szCs w:val="22"/>
        </w:rPr>
        <w:t xml:space="preserve"> et de ses reliquats à l’issue de chaque exercice</w:t>
      </w:r>
      <w:r w:rsidRPr="00B80F06">
        <w:rPr>
          <w:rFonts w:asciiTheme="minorHAnsi" w:hAnsiTheme="minorHAnsi" w:cstheme="minorHAnsi"/>
          <w:b/>
          <w:i/>
          <w:sz w:val="22"/>
          <w:szCs w:val="22"/>
        </w:rPr>
        <w:t>, des solutions sont envisageables (comptabilité analytique, voire création d’un budget annexe …) mais les aspects coût/bénéfice devront être évalués avec le plus grand sérieux, eu égard aux moyens dont dispose</w:t>
      </w:r>
      <w:r w:rsidR="008D517E">
        <w:rPr>
          <w:rFonts w:asciiTheme="minorHAnsi" w:hAnsiTheme="minorHAnsi" w:cstheme="minorHAnsi"/>
          <w:b/>
          <w:i/>
          <w:sz w:val="22"/>
          <w:szCs w:val="22"/>
        </w:rPr>
        <w:t>nt</w:t>
      </w:r>
      <w:r w:rsidR="002E70CB">
        <w:rPr>
          <w:rFonts w:asciiTheme="minorHAnsi" w:hAnsiTheme="minorHAnsi" w:cstheme="minorHAnsi"/>
          <w:b/>
          <w:i/>
          <w:sz w:val="22"/>
          <w:szCs w:val="22"/>
        </w:rPr>
        <w:t xml:space="preserve"> actuellement l</w:t>
      </w:r>
      <w:r w:rsidRPr="00B80F06">
        <w:rPr>
          <w:rFonts w:asciiTheme="minorHAnsi" w:hAnsiTheme="minorHAnsi" w:cstheme="minorHAnsi"/>
          <w:b/>
          <w:i/>
          <w:sz w:val="22"/>
          <w:szCs w:val="22"/>
        </w:rPr>
        <w:t>es communes mauritaniennes.</w:t>
      </w:r>
    </w:p>
    <w:p w:rsidR="00F56F9A" w:rsidRDefault="00F56F9A" w:rsidP="00F56F9A">
      <w:pPr>
        <w:jc w:val="both"/>
        <w:rPr>
          <w:rFonts w:asciiTheme="minorHAnsi" w:hAnsiTheme="minorHAnsi" w:cstheme="minorHAnsi"/>
          <w:sz w:val="22"/>
          <w:szCs w:val="22"/>
        </w:rPr>
      </w:pPr>
    </w:p>
    <w:p w:rsidR="00F56F9A" w:rsidRDefault="00F56F9A" w:rsidP="00F56F9A">
      <w:pPr>
        <w:jc w:val="both"/>
        <w:rPr>
          <w:rFonts w:asciiTheme="minorHAnsi" w:hAnsiTheme="minorHAnsi" w:cstheme="minorHAnsi"/>
          <w:color w:val="000000" w:themeColor="text1"/>
          <w:sz w:val="22"/>
          <w:szCs w:val="22"/>
        </w:rPr>
      </w:pPr>
      <w:r>
        <w:rPr>
          <w:rFonts w:asciiTheme="minorHAnsi" w:hAnsiTheme="minorHAnsi" w:cstheme="minorHAnsi"/>
          <w:sz w:val="22"/>
          <w:szCs w:val="22"/>
        </w:rPr>
        <w:t>Il est pour l’instant impossible de retracer la part du FRD dans le financement des équipements</w:t>
      </w:r>
      <w:r w:rsidR="00193C52">
        <w:rPr>
          <w:rFonts w:asciiTheme="minorHAnsi" w:hAnsiTheme="minorHAnsi" w:cstheme="minorHAnsi"/>
          <w:sz w:val="22"/>
          <w:szCs w:val="22"/>
        </w:rPr>
        <w:t xml:space="preserve"> : </w:t>
      </w:r>
      <w:r>
        <w:rPr>
          <w:rFonts w:asciiTheme="minorHAnsi" w:hAnsiTheme="minorHAnsi" w:cstheme="minorHAnsi"/>
          <w:sz w:val="22"/>
          <w:szCs w:val="22"/>
        </w:rPr>
        <w:t>les moyens analytiques qui pourraient être mis en œuvre sont-ils pertinents au regard du coût et des objectifs à atteindre ?</w:t>
      </w:r>
    </w:p>
    <w:p w:rsidR="00F56F9A" w:rsidRDefault="00F56F9A" w:rsidP="00F56F9A">
      <w:pPr>
        <w:jc w:val="both"/>
        <w:rPr>
          <w:rFonts w:asciiTheme="minorHAnsi" w:hAnsiTheme="minorHAnsi" w:cstheme="minorHAnsi"/>
          <w:color w:val="000000" w:themeColor="text1"/>
          <w:sz w:val="22"/>
          <w:szCs w:val="22"/>
        </w:rPr>
      </w:pPr>
    </w:p>
    <w:p w:rsidR="00A56988" w:rsidRDefault="00A56988" w:rsidP="00F56F9A">
      <w:pPr>
        <w:jc w:val="both"/>
        <w:rPr>
          <w:rFonts w:asciiTheme="minorHAnsi" w:hAnsiTheme="minorHAnsi" w:cstheme="minorHAnsi"/>
          <w:color w:val="000000" w:themeColor="text1"/>
          <w:sz w:val="22"/>
          <w:szCs w:val="22"/>
        </w:rPr>
      </w:pPr>
    </w:p>
    <w:p w:rsidR="00A56988" w:rsidRDefault="00A56988" w:rsidP="00F56F9A">
      <w:pPr>
        <w:shd w:val="clear" w:color="auto" w:fill="D6E3BC" w:themeFill="accent3" w:themeFillTint="66"/>
        <w:jc w:val="both"/>
        <w:rPr>
          <w:rFonts w:asciiTheme="minorHAnsi" w:hAnsiTheme="minorHAnsi" w:cstheme="minorHAnsi"/>
          <w:b/>
          <w:i/>
          <w:color w:val="000000" w:themeColor="text1"/>
          <w:sz w:val="22"/>
          <w:szCs w:val="22"/>
        </w:rPr>
      </w:pPr>
    </w:p>
    <w:p w:rsidR="00F56F9A" w:rsidRDefault="00F56F9A" w:rsidP="00F56F9A">
      <w:pPr>
        <w:shd w:val="clear" w:color="auto" w:fill="D6E3BC" w:themeFill="accent3" w:themeFillTint="66"/>
        <w:jc w:val="both"/>
        <w:rPr>
          <w:rFonts w:asciiTheme="minorHAnsi" w:hAnsiTheme="minorHAnsi" w:cstheme="minorHAnsi"/>
          <w:b/>
          <w:i/>
          <w:color w:val="000000" w:themeColor="text1"/>
          <w:sz w:val="22"/>
          <w:szCs w:val="22"/>
        </w:rPr>
      </w:pPr>
      <w:r w:rsidRPr="00193C52">
        <w:rPr>
          <w:rFonts w:asciiTheme="minorHAnsi" w:hAnsiTheme="minorHAnsi" w:cstheme="minorHAnsi"/>
          <w:b/>
          <w:i/>
          <w:color w:val="000000" w:themeColor="text1"/>
          <w:sz w:val="22"/>
          <w:szCs w:val="22"/>
        </w:rPr>
        <w:t>Proposition des retraitements pouvant être envisagés</w:t>
      </w:r>
      <w:r w:rsidR="0054617B">
        <w:rPr>
          <w:rFonts w:asciiTheme="minorHAnsi" w:hAnsiTheme="minorHAnsi" w:cstheme="minorHAnsi"/>
          <w:b/>
          <w:i/>
          <w:color w:val="000000" w:themeColor="text1"/>
          <w:sz w:val="22"/>
          <w:szCs w:val="22"/>
        </w:rPr>
        <w:t xml:space="preserve"> en matière de reliquats</w:t>
      </w:r>
      <w:r w:rsidRPr="00193C52">
        <w:rPr>
          <w:rFonts w:asciiTheme="minorHAnsi" w:hAnsiTheme="minorHAnsi" w:cstheme="minorHAnsi"/>
          <w:b/>
          <w:i/>
          <w:color w:val="000000" w:themeColor="text1"/>
          <w:sz w:val="22"/>
          <w:szCs w:val="22"/>
        </w:rPr>
        <w:t> :</w:t>
      </w:r>
    </w:p>
    <w:p w:rsidR="00B45BB2" w:rsidRPr="00193C52" w:rsidRDefault="00B45BB2" w:rsidP="00F56F9A">
      <w:pPr>
        <w:shd w:val="clear" w:color="auto" w:fill="D6E3BC" w:themeFill="accent3" w:themeFillTint="66"/>
        <w:jc w:val="both"/>
        <w:rPr>
          <w:rFonts w:asciiTheme="minorHAnsi" w:hAnsiTheme="minorHAnsi" w:cstheme="minorHAnsi"/>
          <w:b/>
          <w:i/>
          <w:color w:val="000000" w:themeColor="text1"/>
          <w:sz w:val="22"/>
          <w:szCs w:val="22"/>
        </w:rPr>
      </w:pPr>
    </w:p>
    <w:p w:rsidR="00F56F9A" w:rsidRPr="00F9333D" w:rsidRDefault="00F56F9A" w:rsidP="00F56F9A">
      <w:pPr>
        <w:shd w:val="clear" w:color="auto" w:fill="D6E3BC" w:themeFill="accent3" w:themeFillTint="66"/>
        <w:jc w:val="both"/>
        <w:rPr>
          <w:rFonts w:asciiTheme="minorHAnsi" w:hAnsiTheme="minorHAnsi" w:cstheme="minorHAnsi"/>
          <w:i/>
          <w:color w:val="000000" w:themeColor="text1"/>
          <w:sz w:val="22"/>
          <w:szCs w:val="22"/>
        </w:rPr>
      </w:pPr>
      <w:r w:rsidRPr="00F9333D">
        <w:rPr>
          <w:rFonts w:asciiTheme="minorHAnsi" w:hAnsiTheme="minorHAnsi" w:cstheme="minorHAnsi"/>
          <w:i/>
          <w:color w:val="000000" w:themeColor="text1"/>
          <w:sz w:val="22"/>
          <w:szCs w:val="22"/>
        </w:rPr>
        <w:t xml:space="preserve">Pour obtenir le taux d’absorption du FRD de l’année 2012 réellement mobilisé, il faudrait </w:t>
      </w:r>
      <w:r w:rsidR="00004188">
        <w:rPr>
          <w:rFonts w:asciiTheme="minorHAnsi" w:hAnsiTheme="minorHAnsi" w:cstheme="minorHAnsi"/>
          <w:i/>
          <w:color w:val="000000" w:themeColor="text1"/>
          <w:sz w:val="22"/>
          <w:szCs w:val="22"/>
        </w:rPr>
        <w:t xml:space="preserve">dans un premier temps </w:t>
      </w:r>
      <w:r w:rsidRPr="00F9333D">
        <w:rPr>
          <w:rFonts w:asciiTheme="minorHAnsi" w:hAnsiTheme="minorHAnsi" w:cstheme="minorHAnsi"/>
          <w:i/>
          <w:color w:val="000000" w:themeColor="text1"/>
          <w:sz w:val="22"/>
          <w:szCs w:val="22"/>
        </w:rPr>
        <w:t xml:space="preserve">retrancher des engagements </w:t>
      </w:r>
      <w:r w:rsidR="00004188">
        <w:rPr>
          <w:rFonts w:asciiTheme="minorHAnsi" w:hAnsiTheme="minorHAnsi" w:cstheme="minorHAnsi"/>
          <w:i/>
          <w:color w:val="000000" w:themeColor="text1"/>
          <w:sz w:val="22"/>
          <w:szCs w:val="22"/>
        </w:rPr>
        <w:t>2012 (Colonne D</w:t>
      </w:r>
      <w:r w:rsidRPr="00F9333D">
        <w:rPr>
          <w:rFonts w:asciiTheme="minorHAnsi" w:hAnsiTheme="minorHAnsi" w:cstheme="minorHAnsi"/>
          <w:i/>
          <w:color w:val="000000" w:themeColor="text1"/>
          <w:sz w:val="22"/>
          <w:szCs w:val="22"/>
        </w:rPr>
        <w:t xml:space="preserve"> du tableau récapitulatif ci-dessous) l’ensemble des reliquats des exercices antérieurs (colonne B) qui doivent logiquement être consommés en priorité.</w:t>
      </w:r>
    </w:p>
    <w:p w:rsidR="00F56F9A" w:rsidRDefault="00F56F9A" w:rsidP="00F56F9A">
      <w:pPr>
        <w:shd w:val="clear" w:color="auto" w:fill="D6E3BC" w:themeFill="accent3" w:themeFillTint="66"/>
        <w:jc w:val="both"/>
        <w:rPr>
          <w:rFonts w:asciiTheme="minorHAnsi" w:hAnsiTheme="minorHAnsi" w:cstheme="minorHAnsi"/>
          <w:i/>
          <w:color w:val="000000" w:themeColor="text1"/>
          <w:sz w:val="22"/>
          <w:szCs w:val="22"/>
        </w:rPr>
      </w:pPr>
      <w:r>
        <w:rPr>
          <w:rFonts w:asciiTheme="minorHAnsi" w:hAnsiTheme="minorHAnsi" w:cstheme="minorHAnsi"/>
          <w:i/>
          <w:color w:val="000000" w:themeColor="text1"/>
          <w:sz w:val="22"/>
          <w:szCs w:val="22"/>
        </w:rPr>
        <w:t>Une fois ces reliquats absorbés, il convient donc de prendre en compte le solde des engag</w:t>
      </w:r>
      <w:r w:rsidR="00004188">
        <w:rPr>
          <w:rFonts w:asciiTheme="minorHAnsi" w:hAnsiTheme="minorHAnsi" w:cstheme="minorHAnsi"/>
          <w:i/>
          <w:color w:val="000000" w:themeColor="text1"/>
          <w:sz w:val="22"/>
          <w:szCs w:val="22"/>
        </w:rPr>
        <w:t>ements 2012 (colonne E</w:t>
      </w:r>
      <w:r>
        <w:rPr>
          <w:rFonts w:asciiTheme="minorHAnsi" w:hAnsiTheme="minorHAnsi" w:cstheme="minorHAnsi"/>
          <w:i/>
          <w:color w:val="000000" w:themeColor="text1"/>
          <w:sz w:val="22"/>
          <w:szCs w:val="22"/>
        </w:rPr>
        <w:t>)</w:t>
      </w:r>
      <w:r w:rsidR="00004188">
        <w:rPr>
          <w:rFonts w:asciiTheme="minorHAnsi" w:hAnsiTheme="minorHAnsi" w:cstheme="minorHAnsi"/>
          <w:i/>
          <w:color w:val="000000" w:themeColor="text1"/>
          <w:sz w:val="22"/>
          <w:szCs w:val="22"/>
        </w:rPr>
        <w:t xml:space="preserve"> qui correspond en fait au montant du FRD </w:t>
      </w:r>
      <w:r w:rsidR="00F2102F">
        <w:rPr>
          <w:rFonts w:asciiTheme="minorHAnsi" w:hAnsiTheme="minorHAnsi" w:cstheme="minorHAnsi"/>
          <w:i/>
          <w:color w:val="000000" w:themeColor="text1"/>
          <w:sz w:val="22"/>
          <w:szCs w:val="22"/>
        </w:rPr>
        <w:t xml:space="preserve">2012 </w:t>
      </w:r>
      <w:r w:rsidR="00004188">
        <w:rPr>
          <w:rFonts w:asciiTheme="minorHAnsi" w:hAnsiTheme="minorHAnsi" w:cstheme="minorHAnsi"/>
          <w:i/>
          <w:color w:val="000000" w:themeColor="text1"/>
          <w:sz w:val="22"/>
          <w:szCs w:val="22"/>
        </w:rPr>
        <w:t>réellement mobili</w:t>
      </w:r>
      <w:r w:rsidR="00F2102F">
        <w:rPr>
          <w:rFonts w:asciiTheme="minorHAnsi" w:hAnsiTheme="minorHAnsi" w:cstheme="minorHAnsi"/>
          <w:i/>
          <w:color w:val="000000" w:themeColor="text1"/>
          <w:sz w:val="22"/>
          <w:szCs w:val="22"/>
        </w:rPr>
        <w:t>sé au cours de son exercice d’attribution</w:t>
      </w:r>
      <w:r w:rsidR="00004188">
        <w:rPr>
          <w:rFonts w:asciiTheme="minorHAnsi" w:hAnsiTheme="minorHAnsi" w:cstheme="minorHAnsi"/>
          <w:i/>
          <w:color w:val="000000" w:themeColor="text1"/>
          <w:sz w:val="22"/>
          <w:szCs w:val="22"/>
        </w:rPr>
        <w:t>.</w:t>
      </w:r>
      <w:r w:rsidR="00F2102F">
        <w:rPr>
          <w:rFonts w:asciiTheme="minorHAnsi" w:hAnsiTheme="minorHAnsi" w:cstheme="minorHAnsi"/>
          <w:i/>
          <w:color w:val="000000" w:themeColor="text1"/>
          <w:sz w:val="22"/>
          <w:szCs w:val="22"/>
        </w:rPr>
        <w:t xml:space="preserve"> P</w:t>
      </w:r>
      <w:r>
        <w:rPr>
          <w:rFonts w:asciiTheme="minorHAnsi" w:hAnsiTheme="minorHAnsi" w:cstheme="minorHAnsi"/>
          <w:i/>
          <w:color w:val="000000" w:themeColor="text1"/>
          <w:sz w:val="22"/>
          <w:szCs w:val="22"/>
        </w:rPr>
        <w:t>our calculer le taux d’absor</w:t>
      </w:r>
      <w:r w:rsidR="00004188">
        <w:rPr>
          <w:rFonts w:asciiTheme="minorHAnsi" w:hAnsiTheme="minorHAnsi" w:cstheme="minorHAnsi"/>
          <w:i/>
          <w:color w:val="000000" w:themeColor="text1"/>
          <w:sz w:val="22"/>
          <w:szCs w:val="22"/>
        </w:rPr>
        <w:t>ption du FRD retraité (colonne H</w:t>
      </w:r>
      <w:r w:rsidR="00F2102F">
        <w:rPr>
          <w:rFonts w:asciiTheme="minorHAnsi" w:hAnsiTheme="minorHAnsi" w:cstheme="minorHAnsi"/>
          <w:i/>
          <w:color w:val="000000" w:themeColor="text1"/>
          <w:sz w:val="22"/>
          <w:szCs w:val="22"/>
        </w:rPr>
        <w:t>)</w:t>
      </w:r>
      <w:r w:rsidR="00D3520A">
        <w:rPr>
          <w:rFonts w:asciiTheme="minorHAnsi" w:hAnsiTheme="minorHAnsi" w:cstheme="minorHAnsi"/>
          <w:i/>
          <w:color w:val="000000" w:themeColor="text1"/>
          <w:sz w:val="22"/>
          <w:szCs w:val="22"/>
        </w:rPr>
        <w:t xml:space="preserve">, il suffit de diviser le FRD réellement mobilisé (colonne E) par le FRD attribué au titre de 2012 (colonne A). Ce taux calculé </w:t>
      </w:r>
      <w:r>
        <w:rPr>
          <w:rFonts w:asciiTheme="minorHAnsi" w:hAnsiTheme="minorHAnsi" w:cstheme="minorHAnsi"/>
          <w:i/>
          <w:color w:val="000000" w:themeColor="text1"/>
          <w:sz w:val="22"/>
          <w:szCs w:val="22"/>
        </w:rPr>
        <w:t xml:space="preserve">ne pourra </w:t>
      </w:r>
      <w:r w:rsidR="00D3520A">
        <w:rPr>
          <w:rFonts w:asciiTheme="minorHAnsi" w:hAnsiTheme="minorHAnsi" w:cstheme="minorHAnsi"/>
          <w:i/>
          <w:color w:val="000000" w:themeColor="text1"/>
          <w:sz w:val="22"/>
          <w:szCs w:val="22"/>
        </w:rPr>
        <w:t xml:space="preserve">donc </w:t>
      </w:r>
      <w:r>
        <w:rPr>
          <w:rFonts w:asciiTheme="minorHAnsi" w:hAnsiTheme="minorHAnsi" w:cstheme="minorHAnsi"/>
          <w:i/>
          <w:color w:val="000000" w:themeColor="text1"/>
          <w:sz w:val="22"/>
          <w:szCs w:val="22"/>
        </w:rPr>
        <w:t xml:space="preserve">en aucun cas dépasser </w:t>
      </w:r>
      <w:r w:rsidR="00D3520A">
        <w:rPr>
          <w:rFonts w:asciiTheme="minorHAnsi" w:hAnsiTheme="minorHAnsi" w:cstheme="minorHAnsi"/>
          <w:i/>
          <w:color w:val="000000" w:themeColor="text1"/>
          <w:sz w:val="22"/>
          <w:szCs w:val="22"/>
        </w:rPr>
        <w:t>les 100%</w:t>
      </w:r>
      <w:r w:rsidR="00BB0C29">
        <w:rPr>
          <w:rFonts w:asciiTheme="minorHAnsi" w:hAnsiTheme="minorHAnsi" w:cstheme="minorHAnsi"/>
          <w:i/>
          <w:color w:val="000000" w:themeColor="text1"/>
          <w:sz w:val="22"/>
          <w:szCs w:val="22"/>
        </w:rPr>
        <w:t>*</w:t>
      </w:r>
      <w:r w:rsidR="00D3520A">
        <w:rPr>
          <w:rFonts w:asciiTheme="minorHAnsi" w:hAnsiTheme="minorHAnsi" w:cstheme="minorHAnsi"/>
          <w:i/>
          <w:color w:val="000000" w:themeColor="text1"/>
          <w:sz w:val="22"/>
          <w:szCs w:val="22"/>
        </w:rPr>
        <w:t>.</w:t>
      </w:r>
    </w:p>
    <w:p w:rsidR="00F56F9A" w:rsidRDefault="00F56F9A" w:rsidP="00F56F9A">
      <w:pPr>
        <w:shd w:val="clear" w:color="auto" w:fill="D6E3BC" w:themeFill="accent3" w:themeFillTint="66"/>
        <w:jc w:val="both"/>
        <w:rPr>
          <w:rFonts w:asciiTheme="minorHAnsi" w:hAnsiTheme="minorHAnsi" w:cstheme="minorHAnsi"/>
          <w:i/>
          <w:color w:val="000000" w:themeColor="text1"/>
          <w:sz w:val="22"/>
          <w:szCs w:val="22"/>
        </w:rPr>
      </w:pPr>
    </w:p>
    <w:p w:rsidR="00F56F9A" w:rsidRDefault="00F56F9A" w:rsidP="00F56F9A">
      <w:pPr>
        <w:shd w:val="clear" w:color="auto" w:fill="D6E3BC" w:themeFill="accent3" w:themeFillTint="66"/>
        <w:jc w:val="both"/>
        <w:rPr>
          <w:rFonts w:asciiTheme="minorHAnsi" w:hAnsiTheme="minorHAnsi" w:cstheme="minorHAnsi"/>
          <w:i/>
          <w:color w:val="000000" w:themeColor="text1"/>
          <w:sz w:val="22"/>
          <w:szCs w:val="22"/>
        </w:rPr>
      </w:pPr>
      <w:r>
        <w:rPr>
          <w:rFonts w:asciiTheme="minorHAnsi" w:hAnsiTheme="minorHAnsi" w:cstheme="minorHAnsi"/>
          <w:i/>
          <w:color w:val="000000" w:themeColor="text1"/>
          <w:sz w:val="22"/>
          <w:szCs w:val="22"/>
        </w:rPr>
        <w:t>Il es</w:t>
      </w:r>
      <w:r w:rsidR="008D517E">
        <w:rPr>
          <w:rFonts w:asciiTheme="minorHAnsi" w:hAnsiTheme="minorHAnsi" w:cstheme="minorHAnsi"/>
          <w:i/>
          <w:color w:val="000000" w:themeColor="text1"/>
          <w:sz w:val="22"/>
          <w:szCs w:val="22"/>
        </w:rPr>
        <w:t>t également possible d’avoir recours</w:t>
      </w:r>
      <w:r>
        <w:rPr>
          <w:rFonts w:asciiTheme="minorHAnsi" w:hAnsiTheme="minorHAnsi" w:cstheme="minorHAnsi"/>
          <w:i/>
          <w:color w:val="000000" w:themeColor="text1"/>
          <w:sz w:val="22"/>
          <w:szCs w:val="22"/>
        </w:rPr>
        <w:t xml:space="preserve"> à une autre forme de retraitement qui établirait le rapport entre les engagements 2012 </w:t>
      </w:r>
      <w:r w:rsidR="00D3520A">
        <w:rPr>
          <w:rFonts w:asciiTheme="minorHAnsi" w:hAnsiTheme="minorHAnsi" w:cstheme="minorHAnsi"/>
          <w:i/>
          <w:color w:val="000000" w:themeColor="text1"/>
          <w:sz w:val="22"/>
          <w:szCs w:val="22"/>
        </w:rPr>
        <w:t xml:space="preserve">(colonne D) </w:t>
      </w:r>
      <w:r>
        <w:rPr>
          <w:rFonts w:asciiTheme="minorHAnsi" w:hAnsiTheme="minorHAnsi" w:cstheme="minorHAnsi"/>
          <w:i/>
          <w:color w:val="000000" w:themeColor="text1"/>
          <w:sz w:val="22"/>
          <w:szCs w:val="22"/>
        </w:rPr>
        <w:t>et l’ensemble des crédits disponibles (FRD 2012 + reliquats des exercices antérieurs</w:t>
      </w:r>
      <w:r w:rsidR="00D3520A">
        <w:rPr>
          <w:rFonts w:asciiTheme="minorHAnsi" w:hAnsiTheme="minorHAnsi" w:cstheme="minorHAnsi"/>
          <w:i/>
          <w:color w:val="000000" w:themeColor="text1"/>
          <w:sz w:val="22"/>
          <w:szCs w:val="22"/>
        </w:rPr>
        <w:t xml:space="preserve"> = colonne C</w:t>
      </w:r>
      <w:r>
        <w:rPr>
          <w:rFonts w:asciiTheme="minorHAnsi" w:hAnsiTheme="minorHAnsi" w:cstheme="minorHAnsi"/>
          <w:i/>
          <w:color w:val="000000" w:themeColor="text1"/>
          <w:sz w:val="22"/>
          <w:szCs w:val="22"/>
        </w:rPr>
        <w:t xml:space="preserve">). Ce retraitement </w:t>
      </w:r>
      <w:r w:rsidR="00D3520A">
        <w:rPr>
          <w:rFonts w:asciiTheme="minorHAnsi" w:hAnsiTheme="minorHAnsi" w:cstheme="minorHAnsi"/>
          <w:i/>
          <w:color w:val="000000" w:themeColor="text1"/>
          <w:sz w:val="22"/>
          <w:szCs w:val="22"/>
        </w:rPr>
        <w:t xml:space="preserve">(colonne G) </w:t>
      </w:r>
      <w:r>
        <w:rPr>
          <w:rFonts w:asciiTheme="minorHAnsi" w:hAnsiTheme="minorHAnsi" w:cstheme="minorHAnsi"/>
          <w:i/>
          <w:color w:val="000000" w:themeColor="text1"/>
          <w:sz w:val="22"/>
          <w:szCs w:val="22"/>
        </w:rPr>
        <w:t>évitera également l’obtention de taux d’absorption su</w:t>
      </w:r>
      <w:r w:rsidR="008D517E">
        <w:rPr>
          <w:rFonts w:asciiTheme="minorHAnsi" w:hAnsiTheme="minorHAnsi" w:cstheme="minorHAnsi"/>
          <w:i/>
          <w:color w:val="000000" w:themeColor="text1"/>
          <w:sz w:val="22"/>
          <w:szCs w:val="22"/>
        </w:rPr>
        <w:t>périeurs à 100%</w:t>
      </w:r>
      <w:r w:rsidR="00BB0C29">
        <w:rPr>
          <w:rFonts w:asciiTheme="minorHAnsi" w:hAnsiTheme="minorHAnsi" w:cstheme="minorHAnsi"/>
          <w:i/>
          <w:color w:val="000000" w:themeColor="text1"/>
          <w:sz w:val="22"/>
          <w:szCs w:val="22"/>
        </w:rPr>
        <w:t>*</w:t>
      </w:r>
      <w:r w:rsidR="008D517E">
        <w:rPr>
          <w:rFonts w:asciiTheme="minorHAnsi" w:hAnsiTheme="minorHAnsi" w:cstheme="minorHAnsi"/>
          <w:i/>
          <w:color w:val="000000" w:themeColor="text1"/>
          <w:sz w:val="22"/>
          <w:szCs w:val="22"/>
        </w:rPr>
        <w:t xml:space="preserve"> mais ne mettra</w:t>
      </w:r>
      <w:r>
        <w:rPr>
          <w:rFonts w:asciiTheme="minorHAnsi" w:hAnsiTheme="minorHAnsi" w:cstheme="minorHAnsi"/>
          <w:i/>
          <w:color w:val="000000" w:themeColor="text1"/>
          <w:sz w:val="22"/>
          <w:szCs w:val="22"/>
        </w:rPr>
        <w:t xml:space="preserve"> pas en exergue la part du FRD 2012 véritablement mobilisé au cours de son exercice d’affectation. Le but du taux d’absorption, il faut le rappeler, avait quand même pour objectif d’évaluer la consommation d’une dotation annuelle d’équipement.</w:t>
      </w:r>
      <w:r w:rsidR="00307BAC">
        <w:rPr>
          <w:rFonts w:asciiTheme="minorHAnsi" w:hAnsiTheme="minorHAnsi" w:cstheme="minorHAnsi"/>
          <w:i/>
          <w:color w:val="000000" w:themeColor="text1"/>
          <w:sz w:val="22"/>
          <w:szCs w:val="22"/>
        </w:rPr>
        <w:t xml:space="preserve"> En revanche, cette méthode est plus pertinente en cas de présence d’autres sources de financement que le FRD (crédits disponibles = FRD + reliquats des exercices antérieurs +autres sources de financement).</w:t>
      </w:r>
    </w:p>
    <w:p w:rsidR="00A56988" w:rsidRDefault="00A56988" w:rsidP="00F56F9A">
      <w:pPr>
        <w:shd w:val="clear" w:color="auto" w:fill="D6E3BC" w:themeFill="accent3" w:themeFillTint="66"/>
        <w:jc w:val="both"/>
        <w:rPr>
          <w:rFonts w:asciiTheme="minorHAnsi" w:hAnsiTheme="minorHAnsi" w:cstheme="minorHAnsi"/>
          <w:i/>
          <w:color w:val="000000" w:themeColor="text1"/>
          <w:sz w:val="22"/>
          <w:szCs w:val="22"/>
        </w:rPr>
      </w:pPr>
    </w:p>
    <w:p w:rsidR="00BB0C29" w:rsidRDefault="00BB0C29" w:rsidP="00F56F9A">
      <w:pPr>
        <w:shd w:val="clear" w:color="auto" w:fill="D6E3BC" w:themeFill="accent3" w:themeFillTint="66"/>
        <w:jc w:val="both"/>
        <w:rPr>
          <w:rFonts w:asciiTheme="minorHAnsi" w:hAnsiTheme="minorHAnsi" w:cstheme="minorHAnsi"/>
          <w:i/>
          <w:color w:val="000000" w:themeColor="text1"/>
          <w:sz w:val="22"/>
          <w:szCs w:val="22"/>
        </w:rPr>
      </w:pPr>
      <w:r>
        <w:rPr>
          <w:rFonts w:asciiTheme="minorHAnsi" w:hAnsiTheme="minorHAnsi" w:cstheme="minorHAnsi"/>
          <w:i/>
          <w:color w:val="000000" w:themeColor="text1"/>
          <w:sz w:val="22"/>
          <w:szCs w:val="22"/>
        </w:rPr>
        <w:t xml:space="preserve">(*) : </w:t>
      </w:r>
      <w:r w:rsidRPr="00BB0C29">
        <w:rPr>
          <w:rFonts w:asciiTheme="minorHAnsi" w:hAnsiTheme="minorHAnsi" w:cstheme="minorHAnsi"/>
          <w:i/>
          <w:color w:val="000000" w:themeColor="text1"/>
          <w:sz w:val="22"/>
          <w:szCs w:val="22"/>
          <w:u w:val="single"/>
        </w:rPr>
        <w:t>Nota Bene</w:t>
      </w:r>
      <w:r>
        <w:rPr>
          <w:rFonts w:asciiTheme="minorHAnsi" w:hAnsiTheme="minorHAnsi" w:cstheme="minorHAnsi"/>
          <w:i/>
          <w:color w:val="000000" w:themeColor="text1"/>
          <w:sz w:val="22"/>
          <w:szCs w:val="22"/>
        </w:rPr>
        <w:t> : Il est entendu qu’un taux d’absorption peut être supérieur à 100% même sans reliquat issu des exercices antérieurs si les crédits disponibles incluent des sources de financement autres que le FRD.</w:t>
      </w:r>
    </w:p>
    <w:p w:rsidR="00BB0C29" w:rsidRPr="00545AFB" w:rsidRDefault="00BB0C29" w:rsidP="00F56F9A">
      <w:pPr>
        <w:shd w:val="clear" w:color="auto" w:fill="D6E3BC" w:themeFill="accent3" w:themeFillTint="66"/>
        <w:jc w:val="both"/>
        <w:rPr>
          <w:rFonts w:asciiTheme="minorHAnsi" w:hAnsiTheme="minorHAnsi" w:cstheme="minorHAnsi"/>
          <w:i/>
          <w:color w:val="000000" w:themeColor="text1"/>
          <w:sz w:val="22"/>
          <w:szCs w:val="22"/>
        </w:rPr>
      </w:pPr>
    </w:p>
    <w:p w:rsidR="00B45BB2" w:rsidRDefault="00B45BB2" w:rsidP="00F56F9A">
      <w:pPr>
        <w:jc w:val="both"/>
        <w:rPr>
          <w:rFonts w:asciiTheme="minorHAnsi" w:hAnsiTheme="minorHAnsi" w:cstheme="minorHAnsi"/>
          <w:sz w:val="22"/>
          <w:szCs w:val="22"/>
        </w:rPr>
      </w:pPr>
    </w:p>
    <w:p w:rsidR="00F56F9A" w:rsidRDefault="00004188" w:rsidP="00F56F9A">
      <w:pPr>
        <w:jc w:val="both"/>
        <w:rPr>
          <w:rFonts w:asciiTheme="minorHAnsi" w:hAnsiTheme="minorHAnsi" w:cstheme="minorHAnsi"/>
          <w:sz w:val="22"/>
          <w:szCs w:val="22"/>
        </w:rPr>
      </w:pPr>
      <w:r>
        <w:rPr>
          <w:rFonts w:asciiTheme="minorHAnsi" w:hAnsiTheme="minorHAnsi" w:cstheme="minorHAnsi"/>
          <w:sz w:val="22"/>
          <w:szCs w:val="22"/>
        </w:rPr>
        <w:t>Le</w:t>
      </w:r>
      <w:r w:rsidR="00EA5FF9">
        <w:rPr>
          <w:rFonts w:asciiTheme="minorHAnsi" w:hAnsiTheme="minorHAnsi" w:cstheme="minorHAnsi"/>
          <w:sz w:val="22"/>
          <w:szCs w:val="22"/>
        </w:rPr>
        <w:t>s</w:t>
      </w:r>
      <w:r>
        <w:rPr>
          <w:rFonts w:asciiTheme="minorHAnsi" w:hAnsiTheme="minorHAnsi" w:cstheme="minorHAnsi"/>
          <w:sz w:val="22"/>
          <w:szCs w:val="22"/>
        </w:rPr>
        <w:t xml:space="preserve"> tableau</w:t>
      </w:r>
      <w:r w:rsidR="00EA5FF9">
        <w:rPr>
          <w:rFonts w:asciiTheme="minorHAnsi" w:hAnsiTheme="minorHAnsi" w:cstheme="minorHAnsi"/>
          <w:sz w:val="22"/>
          <w:szCs w:val="22"/>
        </w:rPr>
        <w:t>x</w:t>
      </w:r>
      <w:r w:rsidR="00F56F9A">
        <w:rPr>
          <w:rFonts w:asciiTheme="minorHAnsi" w:hAnsiTheme="minorHAnsi" w:cstheme="minorHAnsi"/>
          <w:sz w:val="22"/>
          <w:szCs w:val="22"/>
        </w:rPr>
        <w:t xml:space="preserve"> ci-dess</w:t>
      </w:r>
      <w:r>
        <w:rPr>
          <w:rFonts w:asciiTheme="minorHAnsi" w:hAnsiTheme="minorHAnsi" w:cstheme="minorHAnsi"/>
          <w:sz w:val="22"/>
          <w:szCs w:val="22"/>
        </w:rPr>
        <w:t>ous présente</w:t>
      </w:r>
      <w:r w:rsidR="00EA5FF9">
        <w:rPr>
          <w:rFonts w:asciiTheme="minorHAnsi" w:hAnsiTheme="minorHAnsi" w:cstheme="minorHAnsi"/>
          <w:sz w:val="22"/>
          <w:szCs w:val="22"/>
        </w:rPr>
        <w:t>nt</w:t>
      </w:r>
      <w:r w:rsidR="00F56F9A">
        <w:rPr>
          <w:rFonts w:asciiTheme="minorHAnsi" w:hAnsiTheme="minorHAnsi" w:cstheme="minorHAnsi"/>
          <w:sz w:val="22"/>
          <w:szCs w:val="22"/>
        </w:rPr>
        <w:t xml:space="preserve"> l’ensemble des agrégats nécessaires au calcul des taux d’absorption ainsi que les différentes approches mentionnées supra :</w:t>
      </w:r>
    </w:p>
    <w:p w:rsidR="00F56F9A" w:rsidRDefault="00F56F9A" w:rsidP="00F56F9A">
      <w:pPr>
        <w:jc w:val="both"/>
        <w:rPr>
          <w:rFonts w:asciiTheme="minorHAnsi" w:hAnsiTheme="minorHAnsi" w:cstheme="minorHAnsi"/>
          <w:sz w:val="22"/>
          <w:szCs w:val="22"/>
        </w:rPr>
      </w:pPr>
    </w:p>
    <w:p w:rsidR="00B45BB2" w:rsidRPr="0016644E" w:rsidRDefault="00EA5FF9" w:rsidP="00F56F9A">
      <w:pPr>
        <w:jc w:val="both"/>
        <w:rPr>
          <w:rFonts w:asciiTheme="minorHAnsi" w:hAnsiTheme="minorHAnsi" w:cstheme="minorHAnsi"/>
          <w:b/>
          <w:sz w:val="22"/>
          <w:szCs w:val="22"/>
        </w:rPr>
      </w:pPr>
      <w:r w:rsidRPr="0016644E">
        <w:rPr>
          <w:rFonts w:asciiTheme="minorHAnsi" w:hAnsiTheme="minorHAnsi" w:cstheme="minorHAnsi"/>
          <w:b/>
          <w:sz w:val="22"/>
          <w:szCs w:val="22"/>
        </w:rPr>
        <w:t>Agrégats nécessaires au calcul des différentes méthodes de taux d’absorption :</w:t>
      </w:r>
    </w:p>
    <w:p w:rsidR="00EA5FF9" w:rsidRDefault="00EA5FF9" w:rsidP="00F56F9A">
      <w:pPr>
        <w:jc w:val="both"/>
        <w:rPr>
          <w:rFonts w:asciiTheme="minorHAnsi" w:hAnsiTheme="minorHAnsi" w:cstheme="minorHAnsi"/>
          <w:sz w:val="22"/>
          <w:szCs w:val="22"/>
        </w:rPr>
      </w:pPr>
    </w:p>
    <w:tbl>
      <w:tblPr>
        <w:tblW w:w="9980" w:type="dxa"/>
        <w:tblInd w:w="55" w:type="dxa"/>
        <w:tblCellMar>
          <w:left w:w="70" w:type="dxa"/>
          <w:right w:w="70" w:type="dxa"/>
        </w:tblCellMar>
        <w:tblLook w:val="04A0"/>
      </w:tblPr>
      <w:tblGrid>
        <w:gridCol w:w="1980"/>
        <w:gridCol w:w="1620"/>
        <w:gridCol w:w="1460"/>
        <w:gridCol w:w="1600"/>
        <w:gridCol w:w="1600"/>
        <w:gridCol w:w="1720"/>
      </w:tblGrid>
      <w:tr w:rsidR="00F56F9A" w:rsidRPr="008C5C5D" w:rsidTr="00080DD0">
        <w:trPr>
          <w:trHeight w:val="1578"/>
        </w:trPr>
        <w:tc>
          <w:tcPr>
            <w:tcW w:w="1980" w:type="dxa"/>
            <w:tcBorders>
              <w:top w:val="single" w:sz="8" w:space="0" w:color="auto"/>
              <w:left w:val="single" w:sz="8" w:space="0" w:color="auto"/>
              <w:bottom w:val="single" w:sz="4" w:space="0" w:color="auto"/>
              <w:right w:val="single" w:sz="4" w:space="0" w:color="auto"/>
            </w:tcBorders>
            <w:shd w:val="clear" w:color="000000" w:fill="D8D8D8"/>
            <w:noWrap/>
            <w:vAlign w:val="center"/>
            <w:hideMark/>
          </w:tcPr>
          <w:p w:rsidR="00F56F9A" w:rsidRPr="008C5C5D" w:rsidRDefault="001246CD" w:rsidP="00080DD0">
            <w:pPr>
              <w:jc w:val="center"/>
              <w:rPr>
                <w:rFonts w:ascii="Arial" w:hAnsi="Arial" w:cs="Arial"/>
                <w:sz w:val="20"/>
                <w:szCs w:val="20"/>
              </w:rPr>
            </w:pPr>
            <w:r>
              <w:rPr>
                <w:rFonts w:ascii="Arial" w:hAnsi="Arial" w:cs="Arial"/>
                <w:sz w:val="20"/>
                <w:szCs w:val="20"/>
              </w:rPr>
              <w:t>Wilaya</w:t>
            </w:r>
            <w:r w:rsidR="00F56F9A" w:rsidRPr="008C5C5D">
              <w:rPr>
                <w:rFonts w:ascii="Arial" w:hAnsi="Arial" w:cs="Arial"/>
                <w:sz w:val="20"/>
                <w:szCs w:val="20"/>
              </w:rPr>
              <w:t xml:space="preserve"> </w:t>
            </w:r>
          </w:p>
        </w:tc>
        <w:tc>
          <w:tcPr>
            <w:tcW w:w="1620" w:type="dxa"/>
            <w:tcBorders>
              <w:top w:val="single" w:sz="4" w:space="0" w:color="auto"/>
              <w:left w:val="nil"/>
              <w:bottom w:val="single" w:sz="4" w:space="0" w:color="auto"/>
              <w:right w:val="single" w:sz="4" w:space="0" w:color="auto"/>
            </w:tcBorders>
            <w:shd w:val="clear" w:color="000000" w:fill="D8D8D8"/>
            <w:vAlign w:val="center"/>
            <w:hideMark/>
          </w:tcPr>
          <w:p w:rsidR="00F56F9A" w:rsidRDefault="00F56F9A" w:rsidP="00080DD0">
            <w:pPr>
              <w:jc w:val="center"/>
              <w:rPr>
                <w:rFonts w:ascii="Arial" w:hAnsi="Arial" w:cs="Arial"/>
                <w:sz w:val="20"/>
                <w:szCs w:val="20"/>
              </w:rPr>
            </w:pPr>
            <w:r>
              <w:rPr>
                <w:rFonts w:ascii="Arial" w:hAnsi="Arial" w:cs="Arial"/>
                <w:sz w:val="20"/>
                <w:szCs w:val="20"/>
              </w:rPr>
              <w:t xml:space="preserve"> Montant FRD 2012</w:t>
            </w:r>
            <w:r>
              <w:rPr>
                <w:rFonts w:ascii="Arial" w:hAnsi="Arial" w:cs="Arial"/>
                <w:sz w:val="20"/>
                <w:szCs w:val="20"/>
              </w:rPr>
              <w:br/>
              <w:t>(Équipement</w:t>
            </w:r>
            <w:proofErr w:type="gramStart"/>
            <w:r>
              <w:rPr>
                <w:rFonts w:ascii="Arial" w:hAnsi="Arial" w:cs="Arial"/>
                <w:sz w:val="20"/>
                <w:szCs w:val="20"/>
              </w:rPr>
              <w:t>)</w:t>
            </w:r>
            <w:proofErr w:type="gramEnd"/>
            <w:r>
              <w:rPr>
                <w:rFonts w:ascii="Arial" w:hAnsi="Arial" w:cs="Arial"/>
                <w:sz w:val="20"/>
                <w:szCs w:val="20"/>
              </w:rPr>
              <w:br/>
              <w:t xml:space="preserve">(A) </w:t>
            </w:r>
          </w:p>
        </w:tc>
        <w:tc>
          <w:tcPr>
            <w:tcW w:w="1460" w:type="dxa"/>
            <w:tcBorders>
              <w:top w:val="single" w:sz="4" w:space="0" w:color="auto"/>
              <w:left w:val="nil"/>
              <w:bottom w:val="single" w:sz="4" w:space="0" w:color="auto"/>
              <w:right w:val="single" w:sz="4" w:space="0" w:color="auto"/>
            </w:tcBorders>
            <w:shd w:val="clear" w:color="000000" w:fill="D8D8D8"/>
            <w:vAlign w:val="center"/>
            <w:hideMark/>
          </w:tcPr>
          <w:p w:rsidR="00F56F9A" w:rsidRDefault="00F56F9A" w:rsidP="00080DD0">
            <w:pPr>
              <w:jc w:val="center"/>
              <w:rPr>
                <w:rFonts w:ascii="Arial" w:hAnsi="Arial" w:cs="Arial"/>
                <w:sz w:val="20"/>
                <w:szCs w:val="20"/>
              </w:rPr>
            </w:pPr>
            <w:r>
              <w:rPr>
                <w:rFonts w:ascii="Arial" w:hAnsi="Arial" w:cs="Arial"/>
                <w:sz w:val="20"/>
                <w:szCs w:val="20"/>
              </w:rPr>
              <w:t xml:space="preserve"> Rel</w:t>
            </w:r>
            <w:r w:rsidR="00004188">
              <w:rPr>
                <w:rFonts w:ascii="Arial" w:hAnsi="Arial" w:cs="Arial"/>
                <w:sz w:val="20"/>
                <w:szCs w:val="20"/>
              </w:rPr>
              <w:t>iquats à utiliser en 2012</w:t>
            </w:r>
            <w:r w:rsidR="00004188">
              <w:rPr>
                <w:rFonts w:ascii="Arial" w:hAnsi="Arial" w:cs="Arial"/>
                <w:sz w:val="20"/>
                <w:szCs w:val="20"/>
              </w:rPr>
              <w:br/>
              <w:t>(B</w:t>
            </w:r>
            <w:r>
              <w:rPr>
                <w:rFonts w:ascii="Arial" w:hAnsi="Arial" w:cs="Arial"/>
                <w:sz w:val="20"/>
                <w:szCs w:val="20"/>
              </w:rPr>
              <w:t xml:space="preserve">) </w:t>
            </w:r>
          </w:p>
        </w:tc>
        <w:tc>
          <w:tcPr>
            <w:tcW w:w="1600" w:type="dxa"/>
            <w:tcBorders>
              <w:top w:val="single" w:sz="4" w:space="0" w:color="auto"/>
              <w:left w:val="nil"/>
              <w:bottom w:val="single" w:sz="4" w:space="0" w:color="auto"/>
              <w:right w:val="single" w:sz="4" w:space="0" w:color="auto"/>
            </w:tcBorders>
            <w:shd w:val="clear" w:color="000000" w:fill="D8D8D8"/>
            <w:vAlign w:val="center"/>
            <w:hideMark/>
          </w:tcPr>
          <w:p w:rsidR="00F56F9A" w:rsidRDefault="00F56F9A" w:rsidP="00080DD0">
            <w:pPr>
              <w:jc w:val="center"/>
              <w:rPr>
                <w:rFonts w:ascii="Arial" w:hAnsi="Arial" w:cs="Arial"/>
                <w:sz w:val="20"/>
                <w:szCs w:val="20"/>
              </w:rPr>
            </w:pPr>
            <w:r>
              <w:rPr>
                <w:rFonts w:ascii="Arial" w:hAnsi="Arial" w:cs="Arial"/>
                <w:sz w:val="20"/>
                <w:szCs w:val="20"/>
              </w:rPr>
              <w:t xml:space="preserve"> Montant cumulé des crédits d'équipement disponibles en 2012</w:t>
            </w:r>
            <w:r>
              <w:rPr>
                <w:rFonts w:ascii="Arial" w:hAnsi="Arial" w:cs="Arial"/>
                <w:sz w:val="20"/>
                <w:szCs w:val="20"/>
              </w:rPr>
              <w:br/>
              <w:t xml:space="preserve">(C) = (A) + (B) </w:t>
            </w:r>
          </w:p>
        </w:tc>
        <w:tc>
          <w:tcPr>
            <w:tcW w:w="1600" w:type="dxa"/>
            <w:tcBorders>
              <w:top w:val="single" w:sz="4" w:space="0" w:color="auto"/>
              <w:left w:val="nil"/>
              <w:bottom w:val="single" w:sz="4" w:space="0" w:color="auto"/>
              <w:right w:val="single" w:sz="4" w:space="0" w:color="auto"/>
            </w:tcBorders>
            <w:shd w:val="clear" w:color="000000" w:fill="D8D8D8"/>
            <w:vAlign w:val="center"/>
            <w:hideMark/>
          </w:tcPr>
          <w:p w:rsidR="00F56F9A" w:rsidRDefault="00F56F9A" w:rsidP="00080DD0">
            <w:pPr>
              <w:jc w:val="center"/>
              <w:rPr>
                <w:rFonts w:ascii="Arial" w:hAnsi="Arial" w:cs="Arial"/>
                <w:sz w:val="20"/>
                <w:szCs w:val="20"/>
              </w:rPr>
            </w:pPr>
            <w:r>
              <w:rPr>
                <w:rFonts w:ascii="Arial" w:hAnsi="Arial" w:cs="Arial"/>
                <w:sz w:val="20"/>
                <w:szCs w:val="20"/>
              </w:rPr>
              <w:t xml:space="preserve"> Montant FRD 2012 engagé</w:t>
            </w:r>
            <w:r>
              <w:rPr>
                <w:rFonts w:ascii="Arial" w:hAnsi="Arial" w:cs="Arial"/>
                <w:sz w:val="20"/>
                <w:szCs w:val="20"/>
              </w:rPr>
              <w:br/>
              <w:t xml:space="preserve">(D) </w:t>
            </w:r>
          </w:p>
        </w:tc>
        <w:tc>
          <w:tcPr>
            <w:tcW w:w="1720" w:type="dxa"/>
            <w:tcBorders>
              <w:top w:val="single" w:sz="4" w:space="0" w:color="auto"/>
              <w:left w:val="nil"/>
              <w:bottom w:val="single" w:sz="4" w:space="0" w:color="auto"/>
              <w:right w:val="single" w:sz="4" w:space="0" w:color="auto"/>
            </w:tcBorders>
            <w:shd w:val="clear" w:color="000000" w:fill="D8D8D8"/>
            <w:vAlign w:val="center"/>
            <w:hideMark/>
          </w:tcPr>
          <w:p w:rsidR="00F56F9A" w:rsidRDefault="00F56F9A" w:rsidP="00080DD0">
            <w:pPr>
              <w:jc w:val="center"/>
              <w:rPr>
                <w:rFonts w:ascii="Arial" w:hAnsi="Arial" w:cs="Arial"/>
                <w:sz w:val="20"/>
                <w:szCs w:val="20"/>
              </w:rPr>
            </w:pPr>
            <w:r>
              <w:rPr>
                <w:rFonts w:ascii="Arial" w:hAnsi="Arial" w:cs="Arial"/>
                <w:sz w:val="20"/>
                <w:szCs w:val="20"/>
              </w:rPr>
              <w:t xml:space="preserve"> Montant FRD 2012 réellem</w:t>
            </w:r>
            <w:r w:rsidR="00004188">
              <w:rPr>
                <w:rFonts w:ascii="Arial" w:hAnsi="Arial" w:cs="Arial"/>
                <w:sz w:val="20"/>
                <w:szCs w:val="20"/>
              </w:rPr>
              <w:t>ent mobilisé après absorption des</w:t>
            </w:r>
            <w:r>
              <w:rPr>
                <w:rFonts w:ascii="Arial" w:hAnsi="Arial" w:cs="Arial"/>
                <w:sz w:val="20"/>
                <w:szCs w:val="20"/>
              </w:rPr>
              <w:t xml:space="preserve"> reliquat</w:t>
            </w:r>
            <w:r w:rsidR="00004188">
              <w:rPr>
                <w:rFonts w:ascii="Arial" w:hAnsi="Arial" w:cs="Arial"/>
                <w:sz w:val="20"/>
                <w:szCs w:val="20"/>
              </w:rPr>
              <w:t>s du</w:t>
            </w:r>
            <w:r>
              <w:rPr>
                <w:rFonts w:ascii="Arial" w:hAnsi="Arial" w:cs="Arial"/>
                <w:sz w:val="20"/>
                <w:szCs w:val="20"/>
              </w:rPr>
              <w:t xml:space="preserve"> (B</w:t>
            </w:r>
            <w:proofErr w:type="gramStart"/>
            <w:r>
              <w:rPr>
                <w:rFonts w:ascii="Arial" w:hAnsi="Arial" w:cs="Arial"/>
                <w:sz w:val="20"/>
                <w:szCs w:val="20"/>
              </w:rPr>
              <w:t>)</w:t>
            </w:r>
            <w:proofErr w:type="gramEnd"/>
            <w:r>
              <w:rPr>
                <w:rFonts w:ascii="Arial" w:hAnsi="Arial" w:cs="Arial"/>
                <w:sz w:val="20"/>
                <w:szCs w:val="20"/>
              </w:rPr>
              <w:br/>
              <w:t xml:space="preserve">(E) </w:t>
            </w:r>
          </w:p>
        </w:tc>
      </w:tr>
      <w:tr w:rsidR="00F56F9A" w:rsidRPr="008C5C5D" w:rsidTr="00080DD0">
        <w:trPr>
          <w:trHeight w:val="255"/>
        </w:trPr>
        <w:tc>
          <w:tcPr>
            <w:tcW w:w="1980" w:type="dxa"/>
            <w:tcBorders>
              <w:top w:val="nil"/>
              <w:left w:val="single" w:sz="8" w:space="0" w:color="auto"/>
              <w:bottom w:val="single" w:sz="4" w:space="0" w:color="auto"/>
              <w:right w:val="single" w:sz="4" w:space="0" w:color="auto"/>
            </w:tcBorders>
            <w:shd w:val="clear" w:color="auto" w:fill="auto"/>
            <w:noWrap/>
            <w:vAlign w:val="bottom"/>
            <w:hideMark/>
          </w:tcPr>
          <w:p w:rsidR="00F56F9A" w:rsidRPr="008C5C5D" w:rsidRDefault="00F56F9A" w:rsidP="00080DD0">
            <w:pPr>
              <w:rPr>
                <w:rFonts w:ascii="Arial" w:hAnsi="Arial" w:cs="Arial"/>
                <w:sz w:val="20"/>
                <w:szCs w:val="20"/>
              </w:rPr>
            </w:pPr>
            <w:r w:rsidRPr="008C5C5D">
              <w:rPr>
                <w:rFonts w:ascii="Arial" w:hAnsi="Arial" w:cs="Arial"/>
                <w:sz w:val="20"/>
                <w:szCs w:val="20"/>
              </w:rPr>
              <w:t xml:space="preserve"> </w:t>
            </w:r>
            <w:proofErr w:type="spellStart"/>
            <w:r w:rsidRPr="008C5C5D">
              <w:rPr>
                <w:rFonts w:ascii="Arial" w:hAnsi="Arial" w:cs="Arial"/>
                <w:sz w:val="20"/>
                <w:szCs w:val="20"/>
              </w:rPr>
              <w:t>Hodh</w:t>
            </w:r>
            <w:proofErr w:type="spellEnd"/>
            <w:r w:rsidRPr="008C5C5D">
              <w:rPr>
                <w:rFonts w:ascii="Arial" w:hAnsi="Arial" w:cs="Arial"/>
                <w:sz w:val="20"/>
                <w:szCs w:val="20"/>
              </w:rPr>
              <w:t xml:space="preserve"> </w:t>
            </w:r>
            <w:proofErr w:type="spellStart"/>
            <w:r w:rsidRPr="008C5C5D">
              <w:rPr>
                <w:rFonts w:ascii="Arial" w:hAnsi="Arial" w:cs="Arial"/>
                <w:sz w:val="20"/>
                <w:szCs w:val="20"/>
              </w:rPr>
              <w:t>Echargui</w:t>
            </w:r>
            <w:proofErr w:type="spellEnd"/>
            <w:r w:rsidRPr="008C5C5D">
              <w:rPr>
                <w:rFonts w:ascii="Arial" w:hAnsi="Arial" w:cs="Arial"/>
                <w:sz w:val="20"/>
                <w:szCs w:val="20"/>
              </w:rPr>
              <w:t xml:space="preserve"> </w:t>
            </w:r>
          </w:p>
        </w:tc>
        <w:tc>
          <w:tcPr>
            <w:tcW w:w="1620" w:type="dxa"/>
            <w:tcBorders>
              <w:top w:val="nil"/>
              <w:left w:val="nil"/>
              <w:bottom w:val="single" w:sz="4" w:space="0" w:color="auto"/>
              <w:right w:val="single" w:sz="4" w:space="0" w:color="auto"/>
            </w:tcBorders>
            <w:shd w:val="clear" w:color="auto" w:fill="auto"/>
            <w:noWrap/>
            <w:vAlign w:val="bottom"/>
            <w:hideMark/>
          </w:tcPr>
          <w:p w:rsidR="00F56F9A" w:rsidRDefault="00F56F9A" w:rsidP="00080DD0">
            <w:pPr>
              <w:rPr>
                <w:rFonts w:ascii="Arial" w:hAnsi="Arial" w:cs="Arial"/>
                <w:sz w:val="20"/>
                <w:szCs w:val="20"/>
              </w:rPr>
            </w:pPr>
            <w:r>
              <w:rPr>
                <w:rFonts w:ascii="Arial" w:hAnsi="Arial" w:cs="Arial"/>
                <w:sz w:val="20"/>
                <w:szCs w:val="20"/>
              </w:rPr>
              <w:t xml:space="preserve">     353 690 867   </w:t>
            </w:r>
          </w:p>
        </w:tc>
        <w:tc>
          <w:tcPr>
            <w:tcW w:w="1460" w:type="dxa"/>
            <w:tcBorders>
              <w:top w:val="nil"/>
              <w:left w:val="nil"/>
              <w:bottom w:val="single" w:sz="4" w:space="0" w:color="auto"/>
              <w:right w:val="single" w:sz="4" w:space="0" w:color="auto"/>
            </w:tcBorders>
            <w:shd w:val="clear" w:color="auto" w:fill="auto"/>
            <w:vAlign w:val="bottom"/>
            <w:hideMark/>
          </w:tcPr>
          <w:p w:rsidR="00F56F9A" w:rsidRDefault="00F56F9A" w:rsidP="00080DD0">
            <w:pPr>
              <w:jc w:val="center"/>
              <w:rPr>
                <w:rFonts w:ascii="Arial" w:hAnsi="Arial" w:cs="Arial"/>
                <w:sz w:val="20"/>
                <w:szCs w:val="20"/>
              </w:rPr>
            </w:pPr>
            <w:r>
              <w:rPr>
                <w:rFonts w:ascii="Arial" w:hAnsi="Arial" w:cs="Arial"/>
                <w:sz w:val="20"/>
                <w:szCs w:val="20"/>
              </w:rPr>
              <w:t xml:space="preserve">  152 381 150   </w:t>
            </w:r>
          </w:p>
        </w:tc>
        <w:tc>
          <w:tcPr>
            <w:tcW w:w="1600" w:type="dxa"/>
            <w:tcBorders>
              <w:top w:val="nil"/>
              <w:left w:val="nil"/>
              <w:bottom w:val="single" w:sz="4" w:space="0" w:color="auto"/>
              <w:right w:val="single" w:sz="4" w:space="0" w:color="auto"/>
            </w:tcBorders>
            <w:shd w:val="clear" w:color="auto" w:fill="auto"/>
            <w:vAlign w:val="bottom"/>
            <w:hideMark/>
          </w:tcPr>
          <w:p w:rsidR="00F56F9A" w:rsidRDefault="00F56F9A" w:rsidP="00080DD0">
            <w:pPr>
              <w:jc w:val="center"/>
              <w:rPr>
                <w:rFonts w:ascii="Arial" w:hAnsi="Arial" w:cs="Arial"/>
                <w:sz w:val="20"/>
                <w:szCs w:val="20"/>
              </w:rPr>
            </w:pPr>
            <w:r>
              <w:rPr>
                <w:rFonts w:ascii="Arial" w:hAnsi="Arial" w:cs="Arial"/>
                <w:sz w:val="20"/>
                <w:szCs w:val="20"/>
              </w:rPr>
              <w:t xml:space="preserve">    506 072 017   </w:t>
            </w:r>
          </w:p>
        </w:tc>
        <w:tc>
          <w:tcPr>
            <w:tcW w:w="1600" w:type="dxa"/>
            <w:tcBorders>
              <w:top w:val="nil"/>
              <w:left w:val="nil"/>
              <w:bottom w:val="single" w:sz="4" w:space="0" w:color="auto"/>
              <w:right w:val="single" w:sz="4" w:space="0" w:color="auto"/>
            </w:tcBorders>
            <w:shd w:val="clear" w:color="auto" w:fill="auto"/>
            <w:vAlign w:val="bottom"/>
            <w:hideMark/>
          </w:tcPr>
          <w:p w:rsidR="00F56F9A" w:rsidRDefault="00F56F9A" w:rsidP="00080DD0">
            <w:pPr>
              <w:jc w:val="center"/>
              <w:rPr>
                <w:rFonts w:ascii="Arial" w:hAnsi="Arial" w:cs="Arial"/>
                <w:sz w:val="20"/>
                <w:szCs w:val="20"/>
              </w:rPr>
            </w:pPr>
            <w:r>
              <w:rPr>
                <w:rFonts w:ascii="Arial" w:hAnsi="Arial" w:cs="Arial"/>
                <w:sz w:val="20"/>
                <w:szCs w:val="20"/>
              </w:rPr>
              <w:t xml:space="preserve">    332 547 836   </w:t>
            </w:r>
          </w:p>
        </w:tc>
        <w:tc>
          <w:tcPr>
            <w:tcW w:w="1720" w:type="dxa"/>
            <w:tcBorders>
              <w:top w:val="nil"/>
              <w:left w:val="nil"/>
              <w:bottom w:val="single" w:sz="4" w:space="0" w:color="auto"/>
              <w:right w:val="single" w:sz="4" w:space="0" w:color="auto"/>
            </w:tcBorders>
            <w:shd w:val="clear" w:color="auto" w:fill="auto"/>
            <w:noWrap/>
            <w:vAlign w:val="bottom"/>
            <w:hideMark/>
          </w:tcPr>
          <w:p w:rsidR="00F56F9A" w:rsidRDefault="00F56F9A" w:rsidP="00080DD0">
            <w:pPr>
              <w:rPr>
                <w:rFonts w:ascii="Arial" w:hAnsi="Arial" w:cs="Arial"/>
                <w:sz w:val="20"/>
                <w:szCs w:val="20"/>
              </w:rPr>
            </w:pPr>
            <w:r>
              <w:rPr>
                <w:rFonts w:ascii="Arial" w:hAnsi="Arial" w:cs="Arial"/>
                <w:sz w:val="20"/>
                <w:szCs w:val="20"/>
              </w:rPr>
              <w:t xml:space="preserve">      180 166 686   </w:t>
            </w:r>
          </w:p>
        </w:tc>
      </w:tr>
      <w:tr w:rsidR="00F56F9A" w:rsidRPr="008C5C5D" w:rsidTr="00080DD0">
        <w:trPr>
          <w:trHeight w:val="255"/>
        </w:trPr>
        <w:tc>
          <w:tcPr>
            <w:tcW w:w="1980" w:type="dxa"/>
            <w:tcBorders>
              <w:top w:val="nil"/>
              <w:left w:val="single" w:sz="8" w:space="0" w:color="auto"/>
              <w:bottom w:val="single" w:sz="4" w:space="0" w:color="auto"/>
              <w:right w:val="single" w:sz="4" w:space="0" w:color="auto"/>
            </w:tcBorders>
            <w:shd w:val="clear" w:color="auto" w:fill="EAF1DD" w:themeFill="accent3" w:themeFillTint="33"/>
            <w:noWrap/>
            <w:vAlign w:val="bottom"/>
            <w:hideMark/>
          </w:tcPr>
          <w:p w:rsidR="00F56F9A" w:rsidRPr="008C5C5D" w:rsidRDefault="00F56F9A" w:rsidP="00080DD0">
            <w:pPr>
              <w:rPr>
                <w:rFonts w:ascii="Arial" w:hAnsi="Arial" w:cs="Arial"/>
                <w:sz w:val="20"/>
                <w:szCs w:val="20"/>
              </w:rPr>
            </w:pPr>
            <w:r w:rsidRPr="008C5C5D">
              <w:rPr>
                <w:rFonts w:ascii="Arial" w:hAnsi="Arial" w:cs="Arial"/>
                <w:sz w:val="20"/>
                <w:szCs w:val="20"/>
              </w:rPr>
              <w:t xml:space="preserve"> </w:t>
            </w:r>
            <w:proofErr w:type="spellStart"/>
            <w:r w:rsidRPr="008C5C5D">
              <w:rPr>
                <w:rFonts w:ascii="Arial" w:hAnsi="Arial" w:cs="Arial"/>
                <w:sz w:val="20"/>
                <w:szCs w:val="20"/>
              </w:rPr>
              <w:t>Hodh</w:t>
            </w:r>
            <w:proofErr w:type="spellEnd"/>
            <w:r w:rsidRPr="008C5C5D">
              <w:rPr>
                <w:rFonts w:ascii="Arial" w:hAnsi="Arial" w:cs="Arial"/>
                <w:sz w:val="20"/>
                <w:szCs w:val="20"/>
              </w:rPr>
              <w:t xml:space="preserve"> El Gharbi </w:t>
            </w:r>
          </w:p>
        </w:tc>
        <w:tc>
          <w:tcPr>
            <w:tcW w:w="1620" w:type="dxa"/>
            <w:tcBorders>
              <w:top w:val="nil"/>
              <w:left w:val="nil"/>
              <w:bottom w:val="single" w:sz="4" w:space="0" w:color="auto"/>
              <w:right w:val="single" w:sz="4" w:space="0" w:color="auto"/>
            </w:tcBorders>
            <w:shd w:val="clear" w:color="auto" w:fill="EAF1DD" w:themeFill="accent3" w:themeFillTint="33"/>
            <w:noWrap/>
            <w:vAlign w:val="bottom"/>
            <w:hideMark/>
          </w:tcPr>
          <w:p w:rsidR="00F56F9A" w:rsidRDefault="00F56F9A" w:rsidP="00080DD0">
            <w:pPr>
              <w:rPr>
                <w:rFonts w:ascii="Arial" w:hAnsi="Arial" w:cs="Arial"/>
                <w:sz w:val="20"/>
                <w:szCs w:val="20"/>
              </w:rPr>
            </w:pPr>
            <w:r>
              <w:rPr>
                <w:rFonts w:ascii="Arial" w:hAnsi="Arial" w:cs="Arial"/>
                <w:sz w:val="20"/>
                <w:szCs w:val="20"/>
              </w:rPr>
              <w:t xml:space="preserve">     205 009 887   </w:t>
            </w:r>
          </w:p>
        </w:tc>
        <w:tc>
          <w:tcPr>
            <w:tcW w:w="1460" w:type="dxa"/>
            <w:tcBorders>
              <w:top w:val="nil"/>
              <w:left w:val="nil"/>
              <w:bottom w:val="single" w:sz="4" w:space="0" w:color="auto"/>
              <w:right w:val="single" w:sz="4" w:space="0" w:color="auto"/>
            </w:tcBorders>
            <w:shd w:val="clear" w:color="auto" w:fill="EAF1DD" w:themeFill="accent3" w:themeFillTint="33"/>
            <w:vAlign w:val="bottom"/>
            <w:hideMark/>
          </w:tcPr>
          <w:p w:rsidR="00F56F9A" w:rsidRDefault="00F56F9A" w:rsidP="00080DD0">
            <w:pPr>
              <w:jc w:val="center"/>
              <w:rPr>
                <w:rFonts w:ascii="Arial" w:hAnsi="Arial" w:cs="Arial"/>
                <w:sz w:val="20"/>
                <w:szCs w:val="20"/>
              </w:rPr>
            </w:pPr>
            <w:r>
              <w:rPr>
                <w:rFonts w:ascii="Arial" w:hAnsi="Arial" w:cs="Arial"/>
                <w:sz w:val="20"/>
                <w:szCs w:val="20"/>
              </w:rPr>
              <w:t xml:space="preserve">   26 624 777   </w:t>
            </w:r>
          </w:p>
        </w:tc>
        <w:tc>
          <w:tcPr>
            <w:tcW w:w="1600" w:type="dxa"/>
            <w:tcBorders>
              <w:top w:val="nil"/>
              <w:left w:val="nil"/>
              <w:bottom w:val="single" w:sz="4" w:space="0" w:color="auto"/>
              <w:right w:val="single" w:sz="4" w:space="0" w:color="auto"/>
            </w:tcBorders>
            <w:shd w:val="clear" w:color="auto" w:fill="EAF1DD" w:themeFill="accent3" w:themeFillTint="33"/>
            <w:vAlign w:val="bottom"/>
            <w:hideMark/>
          </w:tcPr>
          <w:p w:rsidR="00F56F9A" w:rsidRDefault="00F56F9A" w:rsidP="00080DD0">
            <w:pPr>
              <w:jc w:val="center"/>
              <w:rPr>
                <w:rFonts w:ascii="Arial" w:hAnsi="Arial" w:cs="Arial"/>
                <w:sz w:val="20"/>
                <w:szCs w:val="20"/>
              </w:rPr>
            </w:pPr>
            <w:r>
              <w:rPr>
                <w:rFonts w:ascii="Arial" w:hAnsi="Arial" w:cs="Arial"/>
                <w:sz w:val="20"/>
                <w:szCs w:val="20"/>
              </w:rPr>
              <w:t xml:space="preserve">    231 634 664   </w:t>
            </w:r>
          </w:p>
        </w:tc>
        <w:tc>
          <w:tcPr>
            <w:tcW w:w="1600" w:type="dxa"/>
            <w:tcBorders>
              <w:top w:val="nil"/>
              <w:left w:val="nil"/>
              <w:bottom w:val="single" w:sz="4" w:space="0" w:color="auto"/>
              <w:right w:val="single" w:sz="4" w:space="0" w:color="auto"/>
            </w:tcBorders>
            <w:shd w:val="clear" w:color="auto" w:fill="EAF1DD" w:themeFill="accent3" w:themeFillTint="33"/>
            <w:vAlign w:val="bottom"/>
            <w:hideMark/>
          </w:tcPr>
          <w:p w:rsidR="00F56F9A" w:rsidRDefault="00F56F9A" w:rsidP="00080DD0">
            <w:pPr>
              <w:jc w:val="center"/>
              <w:rPr>
                <w:rFonts w:ascii="Arial" w:hAnsi="Arial" w:cs="Arial"/>
                <w:sz w:val="20"/>
                <w:szCs w:val="20"/>
              </w:rPr>
            </w:pPr>
            <w:r>
              <w:rPr>
                <w:rFonts w:ascii="Arial" w:hAnsi="Arial" w:cs="Arial"/>
                <w:sz w:val="20"/>
                <w:szCs w:val="20"/>
              </w:rPr>
              <w:t xml:space="preserve">    202 259 435   </w:t>
            </w:r>
          </w:p>
        </w:tc>
        <w:tc>
          <w:tcPr>
            <w:tcW w:w="1720" w:type="dxa"/>
            <w:tcBorders>
              <w:top w:val="nil"/>
              <w:left w:val="nil"/>
              <w:bottom w:val="single" w:sz="4" w:space="0" w:color="auto"/>
              <w:right w:val="single" w:sz="4" w:space="0" w:color="auto"/>
            </w:tcBorders>
            <w:shd w:val="clear" w:color="auto" w:fill="EAF1DD" w:themeFill="accent3" w:themeFillTint="33"/>
            <w:noWrap/>
            <w:vAlign w:val="bottom"/>
            <w:hideMark/>
          </w:tcPr>
          <w:p w:rsidR="00F56F9A" w:rsidRDefault="00F56F9A" w:rsidP="00080DD0">
            <w:pPr>
              <w:rPr>
                <w:rFonts w:ascii="Arial" w:hAnsi="Arial" w:cs="Arial"/>
                <w:sz w:val="20"/>
                <w:szCs w:val="20"/>
              </w:rPr>
            </w:pPr>
            <w:r>
              <w:rPr>
                <w:rFonts w:ascii="Arial" w:hAnsi="Arial" w:cs="Arial"/>
                <w:sz w:val="20"/>
                <w:szCs w:val="20"/>
              </w:rPr>
              <w:t xml:space="preserve">      175 634 658   </w:t>
            </w:r>
          </w:p>
        </w:tc>
      </w:tr>
      <w:tr w:rsidR="00F56F9A" w:rsidRPr="008C5C5D" w:rsidTr="00080DD0">
        <w:trPr>
          <w:trHeight w:val="255"/>
        </w:trPr>
        <w:tc>
          <w:tcPr>
            <w:tcW w:w="1980" w:type="dxa"/>
            <w:tcBorders>
              <w:top w:val="nil"/>
              <w:left w:val="single" w:sz="8" w:space="0" w:color="auto"/>
              <w:bottom w:val="single" w:sz="4" w:space="0" w:color="auto"/>
              <w:right w:val="single" w:sz="4" w:space="0" w:color="auto"/>
            </w:tcBorders>
            <w:shd w:val="clear" w:color="auto" w:fill="auto"/>
            <w:noWrap/>
            <w:vAlign w:val="bottom"/>
            <w:hideMark/>
          </w:tcPr>
          <w:p w:rsidR="00F56F9A" w:rsidRPr="008C5C5D" w:rsidRDefault="00F56F9A" w:rsidP="00080DD0">
            <w:pPr>
              <w:rPr>
                <w:rFonts w:ascii="Arial" w:hAnsi="Arial" w:cs="Arial"/>
                <w:sz w:val="20"/>
                <w:szCs w:val="20"/>
              </w:rPr>
            </w:pPr>
            <w:r w:rsidRPr="008C5C5D">
              <w:rPr>
                <w:rFonts w:ascii="Arial" w:hAnsi="Arial" w:cs="Arial"/>
                <w:sz w:val="20"/>
                <w:szCs w:val="20"/>
              </w:rPr>
              <w:t xml:space="preserve"> </w:t>
            </w:r>
            <w:proofErr w:type="spellStart"/>
            <w:r w:rsidRPr="008C5C5D">
              <w:rPr>
                <w:rFonts w:ascii="Arial" w:hAnsi="Arial" w:cs="Arial"/>
                <w:sz w:val="20"/>
                <w:szCs w:val="20"/>
              </w:rPr>
              <w:t>Assaba</w:t>
            </w:r>
            <w:proofErr w:type="spellEnd"/>
            <w:r w:rsidRPr="008C5C5D">
              <w:rPr>
                <w:rFonts w:ascii="Arial" w:hAnsi="Arial" w:cs="Arial"/>
                <w:sz w:val="20"/>
                <w:szCs w:val="20"/>
              </w:rPr>
              <w:t xml:space="preserve"> </w:t>
            </w:r>
          </w:p>
        </w:tc>
        <w:tc>
          <w:tcPr>
            <w:tcW w:w="1620" w:type="dxa"/>
            <w:tcBorders>
              <w:top w:val="nil"/>
              <w:left w:val="nil"/>
              <w:bottom w:val="single" w:sz="4" w:space="0" w:color="auto"/>
              <w:right w:val="single" w:sz="4" w:space="0" w:color="auto"/>
            </w:tcBorders>
            <w:shd w:val="clear" w:color="auto" w:fill="auto"/>
            <w:noWrap/>
            <w:vAlign w:val="bottom"/>
            <w:hideMark/>
          </w:tcPr>
          <w:p w:rsidR="00F56F9A" w:rsidRDefault="00F56F9A" w:rsidP="00080DD0">
            <w:pPr>
              <w:rPr>
                <w:rFonts w:ascii="Arial" w:hAnsi="Arial" w:cs="Arial"/>
                <w:sz w:val="20"/>
                <w:szCs w:val="20"/>
              </w:rPr>
            </w:pPr>
            <w:r>
              <w:rPr>
                <w:rFonts w:ascii="Arial" w:hAnsi="Arial" w:cs="Arial"/>
                <w:sz w:val="20"/>
                <w:szCs w:val="20"/>
              </w:rPr>
              <w:t xml:space="preserve">     235 812 627   </w:t>
            </w:r>
          </w:p>
        </w:tc>
        <w:tc>
          <w:tcPr>
            <w:tcW w:w="1460" w:type="dxa"/>
            <w:tcBorders>
              <w:top w:val="nil"/>
              <w:left w:val="nil"/>
              <w:bottom w:val="single" w:sz="4" w:space="0" w:color="auto"/>
              <w:right w:val="single" w:sz="4" w:space="0" w:color="auto"/>
            </w:tcBorders>
            <w:shd w:val="clear" w:color="auto" w:fill="auto"/>
            <w:vAlign w:val="bottom"/>
            <w:hideMark/>
          </w:tcPr>
          <w:p w:rsidR="00F56F9A" w:rsidRDefault="00F56F9A" w:rsidP="00080DD0">
            <w:pPr>
              <w:jc w:val="center"/>
              <w:rPr>
                <w:rFonts w:ascii="Arial" w:hAnsi="Arial" w:cs="Arial"/>
                <w:sz w:val="20"/>
                <w:szCs w:val="20"/>
              </w:rPr>
            </w:pPr>
            <w:r>
              <w:rPr>
                <w:rFonts w:ascii="Arial" w:hAnsi="Arial" w:cs="Arial"/>
                <w:sz w:val="20"/>
                <w:szCs w:val="20"/>
              </w:rPr>
              <w:t xml:space="preserve">   73 997 946   </w:t>
            </w:r>
          </w:p>
        </w:tc>
        <w:tc>
          <w:tcPr>
            <w:tcW w:w="1600" w:type="dxa"/>
            <w:tcBorders>
              <w:top w:val="nil"/>
              <w:left w:val="nil"/>
              <w:bottom w:val="single" w:sz="4" w:space="0" w:color="auto"/>
              <w:right w:val="single" w:sz="4" w:space="0" w:color="auto"/>
            </w:tcBorders>
            <w:shd w:val="clear" w:color="auto" w:fill="auto"/>
            <w:vAlign w:val="bottom"/>
            <w:hideMark/>
          </w:tcPr>
          <w:p w:rsidR="00F56F9A" w:rsidRDefault="00F56F9A" w:rsidP="00080DD0">
            <w:pPr>
              <w:jc w:val="center"/>
              <w:rPr>
                <w:rFonts w:ascii="Arial" w:hAnsi="Arial" w:cs="Arial"/>
                <w:sz w:val="20"/>
                <w:szCs w:val="20"/>
              </w:rPr>
            </w:pPr>
            <w:r>
              <w:rPr>
                <w:rFonts w:ascii="Arial" w:hAnsi="Arial" w:cs="Arial"/>
                <w:sz w:val="20"/>
                <w:szCs w:val="20"/>
              </w:rPr>
              <w:t xml:space="preserve">    309 810 573   </w:t>
            </w:r>
          </w:p>
        </w:tc>
        <w:tc>
          <w:tcPr>
            <w:tcW w:w="1600" w:type="dxa"/>
            <w:tcBorders>
              <w:top w:val="nil"/>
              <w:left w:val="nil"/>
              <w:bottom w:val="single" w:sz="4" w:space="0" w:color="auto"/>
              <w:right w:val="single" w:sz="4" w:space="0" w:color="auto"/>
            </w:tcBorders>
            <w:shd w:val="clear" w:color="auto" w:fill="auto"/>
            <w:vAlign w:val="bottom"/>
            <w:hideMark/>
          </w:tcPr>
          <w:p w:rsidR="00F56F9A" w:rsidRDefault="00F56F9A" w:rsidP="00080DD0">
            <w:pPr>
              <w:jc w:val="center"/>
              <w:rPr>
                <w:rFonts w:ascii="Arial" w:hAnsi="Arial" w:cs="Arial"/>
                <w:sz w:val="20"/>
                <w:szCs w:val="20"/>
              </w:rPr>
            </w:pPr>
            <w:r>
              <w:rPr>
                <w:rFonts w:ascii="Arial" w:hAnsi="Arial" w:cs="Arial"/>
                <w:sz w:val="20"/>
                <w:szCs w:val="20"/>
              </w:rPr>
              <w:t xml:space="preserve">    227 263 509   </w:t>
            </w:r>
          </w:p>
        </w:tc>
        <w:tc>
          <w:tcPr>
            <w:tcW w:w="1720" w:type="dxa"/>
            <w:tcBorders>
              <w:top w:val="nil"/>
              <w:left w:val="nil"/>
              <w:bottom w:val="single" w:sz="4" w:space="0" w:color="auto"/>
              <w:right w:val="single" w:sz="4" w:space="0" w:color="auto"/>
            </w:tcBorders>
            <w:shd w:val="clear" w:color="auto" w:fill="auto"/>
            <w:noWrap/>
            <w:vAlign w:val="bottom"/>
            <w:hideMark/>
          </w:tcPr>
          <w:p w:rsidR="00F56F9A" w:rsidRDefault="00F56F9A" w:rsidP="00080DD0">
            <w:pPr>
              <w:rPr>
                <w:rFonts w:ascii="Arial" w:hAnsi="Arial" w:cs="Arial"/>
                <w:sz w:val="20"/>
                <w:szCs w:val="20"/>
              </w:rPr>
            </w:pPr>
            <w:r>
              <w:rPr>
                <w:rFonts w:ascii="Arial" w:hAnsi="Arial" w:cs="Arial"/>
                <w:sz w:val="20"/>
                <w:szCs w:val="20"/>
              </w:rPr>
              <w:t xml:space="preserve">      153 265 563   </w:t>
            </w:r>
          </w:p>
        </w:tc>
      </w:tr>
      <w:tr w:rsidR="00F56F9A" w:rsidRPr="008C5C5D" w:rsidTr="00080DD0">
        <w:trPr>
          <w:trHeight w:val="255"/>
        </w:trPr>
        <w:tc>
          <w:tcPr>
            <w:tcW w:w="1980" w:type="dxa"/>
            <w:tcBorders>
              <w:top w:val="nil"/>
              <w:left w:val="single" w:sz="8" w:space="0" w:color="auto"/>
              <w:bottom w:val="single" w:sz="4" w:space="0" w:color="auto"/>
              <w:right w:val="single" w:sz="4" w:space="0" w:color="auto"/>
            </w:tcBorders>
            <w:shd w:val="clear" w:color="auto" w:fill="EAF1DD" w:themeFill="accent3" w:themeFillTint="33"/>
            <w:noWrap/>
            <w:vAlign w:val="bottom"/>
            <w:hideMark/>
          </w:tcPr>
          <w:p w:rsidR="00F56F9A" w:rsidRPr="008C5C5D" w:rsidRDefault="00F56F9A" w:rsidP="00080DD0">
            <w:pPr>
              <w:rPr>
                <w:rFonts w:ascii="Arial" w:hAnsi="Arial" w:cs="Arial"/>
                <w:sz w:val="20"/>
                <w:szCs w:val="20"/>
              </w:rPr>
            </w:pPr>
            <w:r w:rsidRPr="008C5C5D">
              <w:rPr>
                <w:rFonts w:ascii="Arial" w:hAnsi="Arial" w:cs="Arial"/>
                <w:sz w:val="20"/>
                <w:szCs w:val="20"/>
              </w:rPr>
              <w:t xml:space="preserve"> </w:t>
            </w:r>
            <w:proofErr w:type="spellStart"/>
            <w:r w:rsidRPr="008C5C5D">
              <w:rPr>
                <w:rFonts w:ascii="Arial" w:hAnsi="Arial" w:cs="Arial"/>
                <w:sz w:val="20"/>
                <w:szCs w:val="20"/>
              </w:rPr>
              <w:t>Gorgol</w:t>
            </w:r>
            <w:proofErr w:type="spellEnd"/>
            <w:r w:rsidRPr="008C5C5D">
              <w:rPr>
                <w:rFonts w:ascii="Arial" w:hAnsi="Arial" w:cs="Arial"/>
                <w:sz w:val="20"/>
                <w:szCs w:val="20"/>
              </w:rPr>
              <w:t xml:space="preserve"> </w:t>
            </w:r>
          </w:p>
        </w:tc>
        <w:tc>
          <w:tcPr>
            <w:tcW w:w="1620" w:type="dxa"/>
            <w:tcBorders>
              <w:top w:val="nil"/>
              <w:left w:val="nil"/>
              <w:bottom w:val="single" w:sz="4" w:space="0" w:color="auto"/>
              <w:right w:val="single" w:sz="4" w:space="0" w:color="auto"/>
            </w:tcBorders>
            <w:shd w:val="clear" w:color="auto" w:fill="EAF1DD" w:themeFill="accent3" w:themeFillTint="33"/>
            <w:noWrap/>
            <w:vAlign w:val="bottom"/>
            <w:hideMark/>
          </w:tcPr>
          <w:p w:rsidR="00F56F9A" w:rsidRDefault="00F56F9A" w:rsidP="00080DD0">
            <w:pPr>
              <w:rPr>
                <w:rFonts w:ascii="Arial" w:hAnsi="Arial" w:cs="Arial"/>
                <w:sz w:val="20"/>
                <w:szCs w:val="20"/>
              </w:rPr>
            </w:pPr>
            <w:r>
              <w:rPr>
                <w:rFonts w:ascii="Arial" w:hAnsi="Arial" w:cs="Arial"/>
                <w:sz w:val="20"/>
                <w:szCs w:val="20"/>
              </w:rPr>
              <w:t xml:space="preserve">     243 926 278   </w:t>
            </w:r>
          </w:p>
        </w:tc>
        <w:tc>
          <w:tcPr>
            <w:tcW w:w="1460" w:type="dxa"/>
            <w:tcBorders>
              <w:top w:val="nil"/>
              <w:left w:val="nil"/>
              <w:bottom w:val="single" w:sz="4" w:space="0" w:color="auto"/>
              <w:right w:val="single" w:sz="4" w:space="0" w:color="auto"/>
            </w:tcBorders>
            <w:shd w:val="clear" w:color="auto" w:fill="EAF1DD" w:themeFill="accent3" w:themeFillTint="33"/>
            <w:vAlign w:val="bottom"/>
            <w:hideMark/>
          </w:tcPr>
          <w:p w:rsidR="00F56F9A" w:rsidRDefault="00F56F9A" w:rsidP="00080DD0">
            <w:pPr>
              <w:jc w:val="center"/>
              <w:rPr>
                <w:rFonts w:ascii="Arial" w:hAnsi="Arial" w:cs="Arial"/>
                <w:sz w:val="20"/>
                <w:szCs w:val="20"/>
              </w:rPr>
            </w:pPr>
            <w:r>
              <w:rPr>
                <w:rFonts w:ascii="Arial" w:hAnsi="Arial" w:cs="Arial"/>
                <w:sz w:val="20"/>
                <w:szCs w:val="20"/>
              </w:rPr>
              <w:t xml:space="preserve">   27 962 602   </w:t>
            </w:r>
          </w:p>
        </w:tc>
        <w:tc>
          <w:tcPr>
            <w:tcW w:w="1600" w:type="dxa"/>
            <w:tcBorders>
              <w:top w:val="nil"/>
              <w:left w:val="nil"/>
              <w:bottom w:val="single" w:sz="4" w:space="0" w:color="auto"/>
              <w:right w:val="single" w:sz="4" w:space="0" w:color="auto"/>
            </w:tcBorders>
            <w:shd w:val="clear" w:color="auto" w:fill="EAF1DD" w:themeFill="accent3" w:themeFillTint="33"/>
            <w:vAlign w:val="bottom"/>
            <w:hideMark/>
          </w:tcPr>
          <w:p w:rsidR="00F56F9A" w:rsidRDefault="00F56F9A" w:rsidP="00080DD0">
            <w:pPr>
              <w:jc w:val="center"/>
              <w:rPr>
                <w:rFonts w:ascii="Arial" w:hAnsi="Arial" w:cs="Arial"/>
                <w:sz w:val="20"/>
                <w:szCs w:val="20"/>
              </w:rPr>
            </w:pPr>
            <w:r>
              <w:rPr>
                <w:rFonts w:ascii="Arial" w:hAnsi="Arial" w:cs="Arial"/>
                <w:sz w:val="20"/>
                <w:szCs w:val="20"/>
              </w:rPr>
              <w:t xml:space="preserve">    271 888 880   </w:t>
            </w:r>
          </w:p>
        </w:tc>
        <w:tc>
          <w:tcPr>
            <w:tcW w:w="1600" w:type="dxa"/>
            <w:tcBorders>
              <w:top w:val="nil"/>
              <w:left w:val="nil"/>
              <w:bottom w:val="single" w:sz="4" w:space="0" w:color="auto"/>
              <w:right w:val="single" w:sz="4" w:space="0" w:color="auto"/>
            </w:tcBorders>
            <w:shd w:val="clear" w:color="auto" w:fill="EAF1DD" w:themeFill="accent3" w:themeFillTint="33"/>
            <w:vAlign w:val="bottom"/>
            <w:hideMark/>
          </w:tcPr>
          <w:p w:rsidR="00F56F9A" w:rsidRDefault="00F56F9A" w:rsidP="00080DD0">
            <w:pPr>
              <w:jc w:val="center"/>
              <w:rPr>
                <w:rFonts w:ascii="Arial" w:hAnsi="Arial" w:cs="Arial"/>
                <w:sz w:val="20"/>
                <w:szCs w:val="20"/>
              </w:rPr>
            </w:pPr>
            <w:r>
              <w:rPr>
                <w:rFonts w:ascii="Arial" w:hAnsi="Arial" w:cs="Arial"/>
                <w:sz w:val="20"/>
                <w:szCs w:val="20"/>
              </w:rPr>
              <w:t xml:space="preserve">    241 222 433   </w:t>
            </w:r>
          </w:p>
        </w:tc>
        <w:tc>
          <w:tcPr>
            <w:tcW w:w="1720" w:type="dxa"/>
            <w:tcBorders>
              <w:top w:val="nil"/>
              <w:left w:val="nil"/>
              <w:bottom w:val="single" w:sz="4" w:space="0" w:color="auto"/>
              <w:right w:val="single" w:sz="4" w:space="0" w:color="auto"/>
            </w:tcBorders>
            <w:shd w:val="clear" w:color="auto" w:fill="EAF1DD" w:themeFill="accent3" w:themeFillTint="33"/>
            <w:noWrap/>
            <w:vAlign w:val="bottom"/>
            <w:hideMark/>
          </w:tcPr>
          <w:p w:rsidR="00F56F9A" w:rsidRDefault="00F56F9A" w:rsidP="00080DD0">
            <w:pPr>
              <w:rPr>
                <w:rFonts w:ascii="Arial" w:hAnsi="Arial" w:cs="Arial"/>
                <w:sz w:val="20"/>
                <w:szCs w:val="20"/>
              </w:rPr>
            </w:pPr>
            <w:r>
              <w:rPr>
                <w:rFonts w:ascii="Arial" w:hAnsi="Arial" w:cs="Arial"/>
                <w:sz w:val="20"/>
                <w:szCs w:val="20"/>
              </w:rPr>
              <w:t xml:space="preserve">      213 259 831   </w:t>
            </w:r>
          </w:p>
        </w:tc>
      </w:tr>
      <w:tr w:rsidR="00F56F9A" w:rsidRPr="008C5C5D" w:rsidTr="00080DD0">
        <w:trPr>
          <w:trHeight w:val="255"/>
        </w:trPr>
        <w:tc>
          <w:tcPr>
            <w:tcW w:w="1980" w:type="dxa"/>
            <w:tcBorders>
              <w:top w:val="nil"/>
              <w:left w:val="single" w:sz="8" w:space="0" w:color="auto"/>
              <w:bottom w:val="single" w:sz="4" w:space="0" w:color="auto"/>
              <w:right w:val="single" w:sz="4" w:space="0" w:color="auto"/>
            </w:tcBorders>
            <w:shd w:val="clear" w:color="auto" w:fill="auto"/>
            <w:noWrap/>
            <w:vAlign w:val="bottom"/>
            <w:hideMark/>
          </w:tcPr>
          <w:p w:rsidR="00F56F9A" w:rsidRPr="008C5C5D" w:rsidRDefault="00F56F9A" w:rsidP="00080DD0">
            <w:pPr>
              <w:rPr>
                <w:rFonts w:ascii="Arial" w:hAnsi="Arial" w:cs="Arial"/>
                <w:sz w:val="20"/>
                <w:szCs w:val="20"/>
              </w:rPr>
            </w:pPr>
            <w:r w:rsidRPr="008C5C5D">
              <w:rPr>
                <w:rFonts w:ascii="Arial" w:hAnsi="Arial" w:cs="Arial"/>
                <w:sz w:val="20"/>
                <w:szCs w:val="20"/>
              </w:rPr>
              <w:t xml:space="preserve"> </w:t>
            </w:r>
            <w:proofErr w:type="spellStart"/>
            <w:r w:rsidRPr="008C5C5D">
              <w:rPr>
                <w:rFonts w:ascii="Arial" w:hAnsi="Arial" w:cs="Arial"/>
                <w:sz w:val="20"/>
                <w:szCs w:val="20"/>
              </w:rPr>
              <w:t>Brakna</w:t>
            </w:r>
            <w:proofErr w:type="spellEnd"/>
            <w:r w:rsidRPr="008C5C5D">
              <w:rPr>
                <w:rFonts w:ascii="Arial" w:hAnsi="Arial" w:cs="Arial"/>
                <w:sz w:val="20"/>
                <w:szCs w:val="20"/>
              </w:rPr>
              <w:t xml:space="preserve"> </w:t>
            </w:r>
          </w:p>
        </w:tc>
        <w:tc>
          <w:tcPr>
            <w:tcW w:w="1620" w:type="dxa"/>
            <w:tcBorders>
              <w:top w:val="nil"/>
              <w:left w:val="nil"/>
              <w:bottom w:val="single" w:sz="4" w:space="0" w:color="auto"/>
              <w:right w:val="single" w:sz="4" w:space="0" w:color="auto"/>
            </w:tcBorders>
            <w:shd w:val="clear" w:color="auto" w:fill="auto"/>
            <w:noWrap/>
            <w:vAlign w:val="bottom"/>
            <w:hideMark/>
          </w:tcPr>
          <w:p w:rsidR="00F56F9A" w:rsidRDefault="00F56F9A" w:rsidP="00080DD0">
            <w:pPr>
              <w:rPr>
                <w:rFonts w:ascii="Arial" w:hAnsi="Arial" w:cs="Arial"/>
                <w:sz w:val="20"/>
                <w:szCs w:val="20"/>
              </w:rPr>
            </w:pPr>
            <w:r>
              <w:rPr>
                <w:rFonts w:ascii="Arial" w:hAnsi="Arial" w:cs="Arial"/>
                <w:sz w:val="20"/>
                <w:szCs w:val="20"/>
              </w:rPr>
              <w:t xml:space="preserve">     215 304 720   </w:t>
            </w:r>
          </w:p>
        </w:tc>
        <w:tc>
          <w:tcPr>
            <w:tcW w:w="1460" w:type="dxa"/>
            <w:tcBorders>
              <w:top w:val="nil"/>
              <w:left w:val="nil"/>
              <w:bottom w:val="single" w:sz="4" w:space="0" w:color="auto"/>
              <w:right w:val="single" w:sz="4" w:space="0" w:color="auto"/>
            </w:tcBorders>
            <w:shd w:val="clear" w:color="auto" w:fill="auto"/>
            <w:vAlign w:val="bottom"/>
            <w:hideMark/>
          </w:tcPr>
          <w:p w:rsidR="00F56F9A" w:rsidRDefault="00F56F9A" w:rsidP="00080DD0">
            <w:pPr>
              <w:jc w:val="center"/>
              <w:rPr>
                <w:rFonts w:ascii="Arial" w:hAnsi="Arial" w:cs="Arial"/>
                <w:sz w:val="20"/>
                <w:szCs w:val="20"/>
              </w:rPr>
            </w:pPr>
            <w:r>
              <w:rPr>
                <w:rFonts w:ascii="Arial" w:hAnsi="Arial" w:cs="Arial"/>
                <w:sz w:val="20"/>
                <w:szCs w:val="20"/>
              </w:rPr>
              <w:t xml:space="preserve">     9 009 938   </w:t>
            </w:r>
          </w:p>
        </w:tc>
        <w:tc>
          <w:tcPr>
            <w:tcW w:w="1600" w:type="dxa"/>
            <w:tcBorders>
              <w:top w:val="nil"/>
              <w:left w:val="nil"/>
              <w:bottom w:val="single" w:sz="4" w:space="0" w:color="auto"/>
              <w:right w:val="single" w:sz="4" w:space="0" w:color="auto"/>
            </w:tcBorders>
            <w:shd w:val="clear" w:color="auto" w:fill="auto"/>
            <w:vAlign w:val="bottom"/>
            <w:hideMark/>
          </w:tcPr>
          <w:p w:rsidR="00F56F9A" w:rsidRDefault="00F56F9A" w:rsidP="00080DD0">
            <w:pPr>
              <w:jc w:val="center"/>
              <w:rPr>
                <w:rFonts w:ascii="Arial" w:hAnsi="Arial" w:cs="Arial"/>
                <w:sz w:val="20"/>
                <w:szCs w:val="20"/>
              </w:rPr>
            </w:pPr>
            <w:r>
              <w:rPr>
                <w:rFonts w:ascii="Arial" w:hAnsi="Arial" w:cs="Arial"/>
                <w:sz w:val="20"/>
                <w:szCs w:val="20"/>
              </w:rPr>
              <w:t xml:space="preserve">    224 314 658   </w:t>
            </w:r>
          </w:p>
        </w:tc>
        <w:tc>
          <w:tcPr>
            <w:tcW w:w="1600" w:type="dxa"/>
            <w:tcBorders>
              <w:top w:val="nil"/>
              <w:left w:val="nil"/>
              <w:bottom w:val="single" w:sz="4" w:space="0" w:color="auto"/>
              <w:right w:val="single" w:sz="4" w:space="0" w:color="auto"/>
            </w:tcBorders>
            <w:shd w:val="clear" w:color="auto" w:fill="auto"/>
            <w:vAlign w:val="bottom"/>
            <w:hideMark/>
          </w:tcPr>
          <w:p w:rsidR="00F56F9A" w:rsidRDefault="00F56F9A" w:rsidP="00080DD0">
            <w:pPr>
              <w:jc w:val="center"/>
              <w:rPr>
                <w:rFonts w:ascii="Arial" w:hAnsi="Arial" w:cs="Arial"/>
                <w:sz w:val="20"/>
                <w:szCs w:val="20"/>
              </w:rPr>
            </w:pPr>
            <w:r>
              <w:rPr>
                <w:rFonts w:ascii="Arial" w:hAnsi="Arial" w:cs="Arial"/>
                <w:sz w:val="20"/>
                <w:szCs w:val="20"/>
              </w:rPr>
              <w:t xml:space="preserve">    199 864 740   </w:t>
            </w:r>
          </w:p>
        </w:tc>
        <w:tc>
          <w:tcPr>
            <w:tcW w:w="1720" w:type="dxa"/>
            <w:tcBorders>
              <w:top w:val="nil"/>
              <w:left w:val="nil"/>
              <w:bottom w:val="single" w:sz="4" w:space="0" w:color="auto"/>
              <w:right w:val="single" w:sz="4" w:space="0" w:color="auto"/>
            </w:tcBorders>
            <w:shd w:val="clear" w:color="auto" w:fill="auto"/>
            <w:noWrap/>
            <w:vAlign w:val="bottom"/>
            <w:hideMark/>
          </w:tcPr>
          <w:p w:rsidR="00F56F9A" w:rsidRDefault="00F56F9A" w:rsidP="00080DD0">
            <w:pPr>
              <w:rPr>
                <w:rFonts w:ascii="Arial" w:hAnsi="Arial" w:cs="Arial"/>
                <w:sz w:val="20"/>
                <w:szCs w:val="20"/>
              </w:rPr>
            </w:pPr>
            <w:r>
              <w:rPr>
                <w:rFonts w:ascii="Arial" w:hAnsi="Arial" w:cs="Arial"/>
                <w:sz w:val="20"/>
                <w:szCs w:val="20"/>
              </w:rPr>
              <w:t xml:space="preserve">      190 854 802   </w:t>
            </w:r>
          </w:p>
        </w:tc>
      </w:tr>
      <w:tr w:rsidR="00F56F9A" w:rsidRPr="008C5C5D" w:rsidTr="00080DD0">
        <w:trPr>
          <w:trHeight w:val="255"/>
        </w:trPr>
        <w:tc>
          <w:tcPr>
            <w:tcW w:w="1980" w:type="dxa"/>
            <w:tcBorders>
              <w:top w:val="nil"/>
              <w:left w:val="single" w:sz="8" w:space="0" w:color="auto"/>
              <w:bottom w:val="single" w:sz="4" w:space="0" w:color="auto"/>
              <w:right w:val="single" w:sz="4" w:space="0" w:color="auto"/>
            </w:tcBorders>
            <w:shd w:val="clear" w:color="auto" w:fill="EAF1DD" w:themeFill="accent3" w:themeFillTint="33"/>
            <w:noWrap/>
            <w:vAlign w:val="bottom"/>
            <w:hideMark/>
          </w:tcPr>
          <w:p w:rsidR="00F56F9A" w:rsidRPr="008C5C5D" w:rsidRDefault="00F56F9A" w:rsidP="00080DD0">
            <w:pPr>
              <w:rPr>
                <w:rFonts w:ascii="Arial" w:hAnsi="Arial" w:cs="Arial"/>
                <w:sz w:val="20"/>
                <w:szCs w:val="20"/>
              </w:rPr>
            </w:pPr>
            <w:r w:rsidRPr="008C5C5D">
              <w:rPr>
                <w:rFonts w:ascii="Arial" w:hAnsi="Arial" w:cs="Arial"/>
                <w:sz w:val="20"/>
                <w:szCs w:val="20"/>
              </w:rPr>
              <w:t xml:space="preserve"> Trarza </w:t>
            </w:r>
          </w:p>
        </w:tc>
        <w:tc>
          <w:tcPr>
            <w:tcW w:w="1620" w:type="dxa"/>
            <w:tcBorders>
              <w:top w:val="nil"/>
              <w:left w:val="nil"/>
              <w:bottom w:val="single" w:sz="4" w:space="0" w:color="auto"/>
              <w:right w:val="single" w:sz="4" w:space="0" w:color="auto"/>
            </w:tcBorders>
            <w:shd w:val="clear" w:color="auto" w:fill="EAF1DD" w:themeFill="accent3" w:themeFillTint="33"/>
            <w:noWrap/>
            <w:vAlign w:val="bottom"/>
            <w:hideMark/>
          </w:tcPr>
          <w:p w:rsidR="00F56F9A" w:rsidRDefault="00F56F9A" w:rsidP="00080DD0">
            <w:pPr>
              <w:rPr>
                <w:rFonts w:ascii="Arial" w:hAnsi="Arial" w:cs="Arial"/>
                <w:sz w:val="20"/>
                <w:szCs w:val="20"/>
              </w:rPr>
            </w:pPr>
            <w:r>
              <w:rPr>
                <w:rFonts w:ascii="Arial" w:hAnsi="Arial" w:cs="Arial"/>
                <w:sz w:val="20"/>
                <w:szCs w:val="20"/>
              </w:rPr>
              <w:t xml:space="preserve">     223 719 214   </w:t>
            </w:r>
          </w:p>
        </w:tc>
        <w:tc>
          <w:tcPr>
            <w:tcW w:w="1460" w:type="dxa"/>
            <w:tcBorders>
              <w:top w:val="nil"/>
              <w:left w:val="nil"/>
              <w:bottom w:val="single" w:sz="4" w:space="0" w:color="auto"/>
              <w:right w:val="single" w:sz="4" w:space="0" w:color="auto"/>
            </w:tcBorders>
            <w:shd w:val="clear" w:color="auto" w:fill="EAF1DD" w:themeFill="accent3" w:themeFillTint="33"/>
            <w:vAlign w:val="bottom"/>
            <w:hideMark/>
          </w:tcPr>
          <w:p w:rsidR="00F56F9A" w:rsidRDefault="00F56F9A" w:rsidP="00080DD0">
            <w:pPr>
              <w:jc w:val="center"/>
              <w:rPr>
                <w:rFonts w:ascii="Arial" w:hAnsi="Arial" w:cs="Arial"/>
                <w:sz w:val="20"/>
                <w:szCs w:val="20"/>
              </w:rPr>
            </w:pPr>
            <w:r>
              <w:rPr>
                <w:rFonts w:ascii="Arial" w:hAnsi="Arial" w:cs="Arial"/>
                <w:sz w:val="20"/>
                <w:szCs w:val="20"/>
              </w:rPr>
              <w:t xml:space="preserve">   68 472 399   </w:t>
            </w:r>
          </w:p>
        </w:tc>
        <w:tc>
          <w:tcPr>
            <w:tcW w:w="1600" w:type="dxa"/>
            <w:tcBorders>
              <w:top w:val="nil"/>
              <w:left w:val="nil"/>
              <w:bottom w:val="single" w:sz="4" w:space="0" w:color="auto"/>
              <w:right w:val="single" w:sz="4" w:space="0" w:color="auto"/>
            </w:tcBorders>
            <w:shd w:val="clear" w:color="auto" w:fill="EAF1DD" w:themeFill="accent3" w:themeFillTint="33"/>
            <w:vAlign w:val="bottom"/>
            <w:hideMark/>
          </w:tcPr>
          <w:p w:rsidR="00F56F9A" w:rsidRDefault="00F56F9A" w:rsidP="00080DD0">
            <w:pPr>
              <w:jc w:val="center"/>
              <w:rPr>
                <w:rFonts w:ascii="Arial" w:hAnsi="Arial" w:cs="Arial"/>
                <w:sz w:val="20"/>
                <w:szCs w:val="20"/>
              </w:rPr>
            </w:pPr>
            <w:r>
              <w:rPr>
                <w:rFonts w:ascii="Arial" w:hAnsi="Arial" w:cs="Arial"/>
                <w:sz w:val="20"/>
                <w:szCs w:val="20"/>
              </w:rPr>
              <w:t xml:space="preserve">    292 191 613   </w:t>
            </w:r>
          </w:p>
        </w:tc>
        <w:tc>
          <w:tcPr>
            <w:tcW w:w="1600" w:type="dxa"/>
            <w:tcBorders>
              <w:top w:val="nil"/>
              <w:left w:val="nil"/>
              <w:bottom w:val="single" w:sz="4" w:space="0" w:color="auto"/>
              <w:right w:val="single" w:sz="4" w:space="0" w:color="auto"/>
            </w:tcBorders>
            <w:shd w:val="clear" w:color="auto" w:fill="EAF1DD" w:themeFill="accent3" w:themeFillTint="33"/>
            <w:vAlign w:val="bottom"/>
            <w:hideMark/>
          </w:tcPr>
          <w:p w:rsidR="00F56F9A" w:rsidRDefault="00F56F9A" w:rsidP="00080DD0">
            <w:pPr>
              <w:jc w:val="center"/>
              <w:rPr>
                <w:rFonts w:ascii="Arial" w:hAnsi="Arial" w:cs="Arial"/>
                <w:sz w:val="20"/>
                <w:szCs w:val="20"/>
              </w:rPr>
            </w:pPr>
            <w:r>
              <w:rPr>
                <w:rFonts w:ascii="Arial" w:hAnsi="Arial" w:cs="Arial"/>
                <w:sz w:val="20"/>
                <w:szCs w:val="20"/>
              </w:rPr>
              <w:t xml:space="preserve">    204 998 099   </w:t>
            </w:r>
          </w:p>
        </w:tc>
        <w:tc>
          <w:tcPr>
            <w:tcW w:w="1720" w:type="dxa"/>
            <w:tcBorders>
              <w:top w:val="nil"/>
              <w:left w:val="nil"/>
              <w:bottom w:val="single" w:sz="4" w:space="0" w:color="auto"/>
              <w:right w:val="single" w:sz="4" w:space="0" w:color="auto"/>
            </w:tcBorders>
            <w:shd w:val="clear" w:color="auto" w:fill="EAF1DD" w:themeFill="accent3" w:themeFillTint="33"/>
            <w:noWrap/>
            <w:vAlign w:val="bottom"/>
            <w:hideMark/>
          </w:tcPr>
          <w:p w:rsidR="00F56F9A" w:rsidRDefault="00F56F9A" w:rsidP="00080DD0">
            <w:pPr>
              <w:rPr>
                <w:rFonts w:ascii="Arial" w:hAnsi="Arial" w:cs="Arial"/>
                <w:sz w:val="20"/>
                <w:szCs w:val="20"/>
              </w:rPr>
            </w:pPr>
            <w:r>
              <w:rPr>
                <w:rFonts w:ascii="Arial" w:hAnsi="Arial" w:cs="Arial"/>
                <w:sz w:val="20"/>
                <w:szCs w:val="20"/>
              </w:rPr>
              <w:t xml:space="preserve">      136 525 700   </w:t>
            </w:r>
          </w:p>
        </w:tc>
      </w:tr>
      <w:tr w:rsidR="00F56F9A" w:rsidRPr="008C5C5D" w:rsidTr="00080DD0">
        <w:trPr>
          <w:trHeight w:val="255"/>
        </w:trPr>
        <w:tc>
          <w:tcPr>
            <w:tcW w:w="1980" w:type="dxa"/>
            <w:tcBorders>
              <w:top w:val="nil"/>
              <w:left w:val="single" w:sz="8" w:space="0" w:color="auto"/>
              <w:bottom w:val="single" w:sz="4" w:space="0" w:color="auto"/>
              <w:right w:val="single" w:sz="4" w:space="0" w:color="auto"/>
            </w:tcBorders>
            <w:shd w:val="clear" w:color="auto" w:fill="auto"/>
            <w:noWrap/>
            <w:vAlign w:val="bottom"/>
            <w:hideMark/>
          </w:tcPr>
          <w:p w:rsidR="00F56F9A" w:rsidRPr="008C5C5D" w:rsidRDefault="00F56F9A" w:rsidP="00080DD0">
            <w:pPr>
              <w:rPr>
                <w:rFonts w:ascii="Arial" w:hAnsi="Arial" w:cs="Arial"/>
                <w:sz w:val="20"/>
                <w:szCs w:val="20"/>
              </w:rPr>
            </w:pPr>
            <w:r w:rsidRPr="008C5C5D">
              <w:rPr>
                <w:rFonts w:ascii="Arial" w:hAnsi="Arial" w:cs="Arial"/>
                <w:sz w:val="20"/>
                <w:szCs w:val="20"/>
              </w:rPr>
              <w:t xml:space="preserve"> Adrar </w:t>
            </w:r>
          </w:p>
        </w:tc>
        <w:tc>
          <w:tcPr>
            <w:tcW w:w="1620" w:type="dxa"/>
            <w:tcBorders>
              <w:top w:val="nil"/>
              <w:left w:val="nil"/>
              <w:bottom w:val="single" w:sz="4" w:space="0" w:color="auto"/>
              <w:right w:val="single" w:sz="4" w:space="0" w:color="auto"/>
            </w:tcBorders>
            <w:shd w:val="clear" w:color="auto" w:fill="auto"/>
            <w:noWrap/>
            <w:vAlign w:val="bottom"/>
            <w:hideMark/>
          </w:tcPr>
          <w:p w:rsidR="00F56F9A" w:rsidRDefault="00F56F9A" w:rsidP="00080DD0">
            <w:pPr>
              <w:rPr>
                <w:rFonts w:ascii="Arial" w:hAnsi="Arial" w:cs="Arial"/>
                <w:sz w:val="20"/>
                <w:szCs w:val="20"/>
              </w:rPr>
            </w:pPr>
            <w:r>
              <w:rPr>
                <w:rFonts w:ascii="Arial" w:hAnsi="Arial" w:cs="Arial"/>
                <w:sz w:val="20"/>
                <w:szCs w:val="20"/>
              </w:rPr>
              <w:t xml:space="preserve">      56 547 997   </w:t>
            </w:r>
          </w:p>
        </w:tc>
        <w:tc>
          <w:tcPr>
            <w:tcW w:w="1460" w:type="dxa"/>
            <w:tcBorders>
              <w:top w:val="nil"/>
              <w:left w:val="nil"/>
              <w:bottom w:val="single" w:sz="4" w:space="0" w:color="auto"/>
              <w:right w:val="single" w:sz="4" w:space="0" w:color="auto"/>
            </w:tcBorders>
            <w:shd w:val="clear" w:color="auto" w:fill="auto"/>
            <w:vAlign w:val="bottom"/>
            <w:hideMark/>
          </w:tcPr>
          <w:p w:rsidR="00F56F9A" w:rsidRDefault="00F56F9A" w:rsidP="00080DD0">
            <w:pPr>
              <w:jc w:val="center"/>
              <w:rPr>
                <w:rFonts w:ascii="Arial" w:hAnsi="Arial" w:cs="Arial"/>
                <w:sz w:val="20"/>
                <w:szCs w:val="20"/>
              </w:rPr>
            </w:pPr>
            <w:r>
              <w:rPr>
                <w:rFonts w:ascii="Arial" w:hAnsi="Arial" w:cs="Arial"/>
                <w:sz w:val="20"/>
                <w:szCs w:val="20"/>
              </w:rPr>
              <w:t xml:space="preserve">     8 104 165   </w:t>
            </w:r>
          </w:p>
        </w:tc>
        <w:tc>
          <w:tcPr>
            <w:tcW w:w="1600" w:type="dxa"/>
            <w:tcBorders>
              <w:top w:val="nil"/>
              <w:left w:val="nil"/>
              <w:bottom w:val="single" w:sz="4" w:space="0" w:color="auto"/>
              <w:right w:val="single" w:sz="4" w:space="0" w:color="auto"/>
            </w:tcBorders>
            <w:shd w:val="clear" w:color="auto" w:fill="auto"/>
            <w:vAlign w:val="bottom"/>
            <w:hideMark/>
          </w:tcPr>
          <w:p w:rsidR="00F56F9A" w:rsidRDefault="00F56F9A" w:rsidP="00080DD0">
            <w:pPr>
              <w:jc w:val="center"/>
              <w:rPr>
                <w:rFonts w:ascii="Arial" w:hAnsi="Arial" w:cs="Arial"/>
                <w:sz w:val="20"/>
                <w:szCs w:val="20"/>
              </w:rPr>
            </w:pPr>
            <w:r>
              <w:rPr>
                <w:rFonts w:ascii="Arial" w:hAnsi="Arial" w:cs="Arial"/>
                <w:sz w:val="20"/>
                <w:szCs w:val="20"/>
              </w:rPr>
              <w:t xml:space="preserve">      64 652 162   </w:t>
            </w:r>
          </w:p>
        </w:tc>
        <w:tc>
          <w:tcPr>
            <w:tcW w:w="1600" w:type="dxa"/>
            <w:tcBorders>
              <w:top w:val="nil"/>
              <w:left w:val="nil"/>
              <w:bottom w:val="single" w:sz="4" w:space="0" w:color="auto"/>
              <w:right w:val="single" w:sz="4" w:space="0" w:color="auto"/>
            </w:tcBorders>
            <w:shd w:val="clear" w:color="auto" w:fill="auto"/>
            <w:vAlign w:val="bottom"/>
            <w:hideMark/>
          </w:tcPr>
          <w:p w:rsidR="00F56F9A" w:rsidRDefault="00F56F9A" w:rsidP="00080DD0">
            <w:pPr>
              <w:jc w:val="center"/>
              <w:rPr>
                <w:rFonts w:ascii="Arial" w:hAnsi="Arial" w:cs="Arial"/>
                <w:sz w:val="20"/>
                <w:szCs w:val="20"/>
              </w:rPr>
            </w:pPr>
            <w:r>
              <w:rPr>
                <w:rFonts w:ascii="Arial" w:hAnsi="Arial" w:cs="Arial"/>
                <w:sz w:val="20"/>
                <w:szCs w:val="20"/>
              </w:rPr>
              <w:t xml:space="preserve">      51 558 094   </w:t>
            </w:r>
          </w:p>
        </w:tc>
        <w:tc>
          <w:tcPr>
            <w:tcW w:w="1720" w:type="dxa"/>
            <w:tcBorders>
              <w:top w:val="nil"/>
              <w:left w:val="nil"/>
              <w:bottom w:val="single" w:sz="4" w:space="0" w:color="auto"/>
              <w:right w:val="single" w:sz="4" w:space="0" w:color="auto"/>
            </w:tcBorders>
            <w:shd w:val="clear" w:color="auto" w:fill="auto"/>
            <w:noWrap/>
            <w:vAlign w:val="bottom"/>
            <w:hideMark/>
          </w:tcPr>
          <w:p w:rsidR="00F56F9A" w:rsidRDefault="00F56F9A" w:rsidP="00080DD0">
            <w:pPr>
              <w:rPr>
                <w:rFonts w:ascii="Arial" w:hAnsi="Arial" w:cs="Arial"/>
                <w:sz w:val="20"/>
                <w:szCs w:val="20"/>
              </w:rPr>
            </w:pPr>
            <w:r>
              <w:rPr>
                <w:rFonts w:ascii="Arial" w:hAnsi="Arial" w:cs="Arial"/>
                <w:sz w:val="20"/>
                <w:szCs w:val="20"/>
              </w:rPr>
              <w:t xml:space="preserve">        43 453 929   </w:t>
            </w:r>
          </w:p>
        </w:tc>
      </w:tr>
      <w:tr w:rsidR="00F56F9A" w:rsidRPr="008C5C5D" w:rsidTr="00080DD0">
        <w:trPr>
          <w:trHeight w:val="255"/>
        </w:trPr>
        <w:tc>
          <w:tcPr>
            <w:tcW w:w="1980" w:type="dxa"/>
            <w:tcBorders>
              <w:top w:val="nil"/>
              <w:left w:val="single" w:sz="8" w:space="0" w:color="auto"/>
              <w:bottom w:val="single" w:sz="4" w:space="0" w:color="auto"/>
              <w:right w:val="single" w:sz="4" w:space="0" w:color="auto"/>
            </w:tcBorders>
            <w:shd w:val="clear" w:color="auto" w:fill="EAF1DD" w:themeFill="accent3" w:themeFillTint="33"/>
            <w:noWrap/>
            <w:vAlign w:val="bottom"/>
            <w:hideMark/>
          </w:tcPr>
          <w:p w:rsidR="00F56F9A" w:rsidRPr="008C5C5D" w:rsidRDefault="00F56F9A" w:rsidP="00080DD0">
            <w:pPr>
              <w:rPr>
                <w:rFonts w:ascii="Arial" w:hAnsi="Arial" w:cs="Arial"/>
                <w:sz w:val="20"/>
                <w:szCs w:val="20"/>
              </w:rPr>
            </w:pPr>
            <w:r w:rsidRPr="008C5C5D">
              <w:rPr>
                <w:rFonts w:ascii="Arial" w:hAnsi="Arial" w:cs="Arial"/>
                <w:sz w:val="20"/>
                <w:szCs w:val="20"/>
              </w:rPr>
              <w:t xml:space="preserve"> </w:t>
            </w:r>
            <w:proofErr w:type="spellStart"/>
            <w:r w:rsidRPr="008C5C5D">
              <w:rPr>
                <w:rFonts w:ascii="Arial" w:hAnsi="Arial" w:cs="Arial"/>
                <w:sz w:val="20"/>
                <w:szCs w:val="20"/>
              </w:rPr>
              <w:t>Dakhlet</w:t>
            </w:r>
            <w:proofErr w:type="spellEnd"/>
            <w:r w:rsidRPr="008C5C5D">
              <w:rPr>
                <w:rFonts w:ascii="Arial" w:hAnsi="Arial" w:cs="Arial"/>
                <w:sz w:val="20"/>
                <w:szCs w:val="20"/>
              </w:rPr>
              <w:t xml:space="preserve">-Nouadhibou </w:t>
            </w:r>
          </w:p>
        </w:tc>
        <w:tc>
          <w:tcPr>
            <w:tcW w:w="1620" w:type="dxa"/>
            <w:tcBorders>
              <w:top w:val="nil"/>
              <w:left w:val="nil"/>
              <w:bottom w:val="single" w:sz="4" w:space="0" w:color="auto"/>
              <w:right w:val="single" w:sz="4" w:space="0" w:color="auto"/>
            </w:tcBorders>
            <w:shd w:val="clear" w:color="auto" w:fill="EAF1DD" w:themeFill="accent3" w:themeFillTint="33"/>
            <w:noWrap/>
            <w:vAlign w:val="bottom"/>
            <w:hideMark/>
          </w:tcPr>
          <w:p w:rsidR="00F56F9A" w:rsidRDefault="00F56F9A" w:rsidP="00080DD0">
            <w:pPr>
              <w:rPr>
                <w:rFonts w:ascii="Arial" w:hAnsi="Arial" w:cs="Arial"/>
                <w:sz w:val="20"/>
                <w:szCs w:val="20"/>
              </w:rPr>
            </w:pPr>
            <w:r>
              <w:rPr>
                <w:rFonts w:ascii="Arial" w:hAnsi="Arial" w:cs="Arial"/>
                <w:sz w:val="20"/>
                <w:szCs w:val="20"/>
              </w:rPr>
              <w:t xml:space="preserve">      72 506 365   </w:t>
            </w:r>
          </w:p>
        </w:tc>
        <w:tc>
          <w:tcPr>
            <w:tcW w:w="1460" w:type="dxa"/>
            <w:tcBorders>
              <w:top w:val="nil"/>
              <w:left w:val="nil"/>
              <w:bottom w:val="single" w:sz="4" w:space="0" w:color="auto"/>
              <w:right w:val="single" w:sz="4" w:space="0" w:color="auto"/>
            </w:tcBorders>
            <w:shd w:val="clear" w:color="auto" w:fill="EAF1DD" w:themeFill="accent3" w:themeFillTint="33"/>
            <w:vAlign w:val="bottom"/>
            <w:hideMark/>
          </w:tcPr>
          <w:p w:rsidR="00F56F9A" w:rsidRDefault="00F56F9A" w:rsidP="00080DD0">
            <w:pPr>
              <w:jc w:val="center"/>
              <w:rPr>
                <w:rFonts w:ascii="Arial" w:hAnsi="Arial" w:cs="Arial"/>
                <w:sz w:val="20"/>
                <w:szCs w:val="20"/>
              </w:rPr>
            </w:pPr>
            <w:r>
              <w:rPr>
                <w:rFonts w:ascii="Arial" w:hAnsi="Arial" w:cs="Arial"/>
                <w:sz w:val="20"/>
                <w:szCs w:val="20"/>
              </w:rPr>
              <w:t xml:space="preserve">   58 618 075   </w:t>
            </w:r>
          </w:p>
        </w:tc>
        <w:tc>
          <w:tcPr>
            <w:tcW w:w="1600" w:type="dxa"/>
            <w:tcBorders>
              <w:top w:val="nil"/>
              <w:left w:val="nil"/>
              <w:bottom w:val="single" w:sz="4" w:space="0" w:color="auto"/>
              <w:right w:val="single" w:sz="4" w:space="0" w:color="auto"/>
            </w:tcBorders>
            <w:shd w:val="clear" w:color="auto" w:fill="EAF1DD" w:themeFill="accent3" w:themeFillTint="33"/>
            <w:vAlign w:val="bottom"/>
            <w:hideMark/>
          </w:tcPr>
          <w:p w:rsidR="00F56F9A" w:rsidRDefault="00F56F9A" w:rsidP="00080DD0">
            <w:pPr>
              <w:jc w:val="center"/>
              <w:rPr>
                <w:rFonts w:ascii="Arial" w:hAnsi="Arial" w:cs="Arial"/>
                <w:sz w:val="20"/>
                <w:szCs w:val="20"/>
              </w:rPr>
            </w:pPr>
            <w:r>
              <w:rPr>
                <w:rFonts w:ascii="Arial" w:hAnsi="Arial" w:cs="Arial"/>
                <w:sz w:val="20"/>
                <w:szCs w:val="20"/>
              </w:rPr>
              <w:t xml:space="preserve">    131 124 440   </w:t>
            </w:r>
          </w:p>
        </w:tc>
        <w:tc>
          <w:tcPr>
            <w:tcW w:w="1600" w:type="dxa"/>
            <w:tcBorders>
              <w:top w:val="nil"/>
              <w:left w:val="nil"/>
              <w:bottom w:val="single" w:sz="4" w:space="0" w:color="auto"/>
              <w:right w:val="single" w:sz="4" w:space="0" w:color="auto"/>
            </w:tcBorders>
            <w:shd w:val="clear" w:color="auto" w:fill="EAF1DD" w:themeFill="accent3" w:themeFillTint="33"/>
            <w:vAlign w:val="bottom"/>
            <w:hideMark/>
          </w:tcPr>
          <w:p w:rsidR="00F56F9A" w:rsidRDefault="00F56F9A" w:rsidP="00080DD0">
            <w:pPr>
              <w:jc w:val="center"/>
              <w:rPr>
                <w:rFonts w:ascii="Arial" w:hAnsi="Arial" w:cs="Arial"/>
                <w:sz w:val="20"/>
                <w:szCs w:val="20"/>
              </w:rPr>
            </w:pPr>
            <w:r>
              <w:rPr>
                <w:rFonts w:ascii="Arial" w:hAnsi="Arial" w:cs="Arial"/>
                <w:sz w:val="20"/>
                <w:szCs w:val="20"/>
              </w:rPr>
              <w:t xml:space="preserve">      64 408 568   </w:t>
            </w:r>
          </w:p>
        </w:tc>
        <w:tc>
          <w:tcPr>
            <w:tcW w:w="1720" w:type="dxa"/>
            <w:tcBorders>
              <w:top w:val="nil"/>
              <w:left w:val="nil"/>
              <w:bottom w:val="single" w:sz="4" w:space="0" w:color="auto"/>
              <w:right w:val="single" w:sz="4" w:space="0" w:color="auto"/>
            </w:tcBorders>
            <w:shd w:val="clear" w:color="auto" w:fill="EAF1DD" w:themeFill="accent3" w:themeFillTint="33"/>
            <w:noWrap/>
            <w:vAlign w:val="bottom"/>
            <w:hideMark/>
          </w:tcPr>
          <w:p w:rsidR="00F56F9A" w:rsidRDefault="00F56F9A" w:rsidP="00080DD0">
            <w:pPr>
              <w:rPr>
                <w:rFonts w:ascii="Arial" w:hAnsi="Arial" w:cs="Arial"/>
                <w:sz w:val="20"/>
                <w:szCs w:val="20"/>
              </w:rPr>
            </w:pPr>
            <w:r>
              <w:rPr>
                <w:rFonts w:ascii="Arial" w:hAnsi="Arial" w:cs="Arial"/>
                <w:sz w:val="20"/>
                <w:szCs w:val="20"/>
              </w:rPr>
              <w:t xml:space="preserve">          5 790 493   </w:t>
            </w:r>
          </w:p>
        </w:tc>
      </w:tr>
      <w:tr w:rsidR="00F56F9A" w:rsidRPr="008C5C5D" w:rsidTr="00080DD0">
        <w:trPr>
          <w:trHeight w:val="255"/>
        </w:trPr>
        <w:tc>
          <w:tcPr>
            <w:tcW w:w="1980" w:type="dxa"/>
            <w:tcBorders>
              <w:top w:val="nil"/>
              <w:left w:val="single" w:sz="8" w:space="0" w:color="auto"/>
              <w:bottom w:val="single" w:sz="4" w:space="0" w:color="auto"/>
              <w:right w:val="single" w:sz="4" w:space="0" w:color="auto"/>
            </w:tcBorders>
            <w:shd w:val="clear" w:color="auto" w:fill="auto"/>
            <w:noWrap/>
            <w:vAlign w:val="bottom"/>
            <w:hideMark/>
          </w:tcPr>
          <w:p w:rsidR="00F56F9A" w:rsidRPr="008C5C5D" w:rsidRDefault="00F56F9A" w:rsidP="00080DD0">
            <w:pPr>
              <w:rPr>
                <w:rFonts w:ascii="Arial" w:hAnsi="Arial" w:cs="Arial"/>
                <w:sz w:val="20"/>
                <w:szCs w:val="20"/>
              </w:rPr>
            </w:pPr>
            <w:r w:rsidRPr="008C5C5D">
              <w:rPr>
                <w:rFonts w:ascii="Arial" w:hAnsi="Arial" w:cs="Arial"/>
                <w:sz w:val="20"/>
                <w:szCs w:val="20"/>
              </w:rPr>
              <w:t xml:space="preserve"> </w:t>
            </w:r>
            <w:proofErr w:type="spellStart"/>
            <w:r w:rsidRPr="008C5C5D">
              <w:rPr>
                <w:rFonts w:ascii="Arial" w:hAnsi="Arial" w:cs="Arial"/>
                <w:sz w:val="20"/>
                <w:szCs w:val="20"/>
              </w:rPr>
              <w:t>Tagant</w:t>
            </w:r>
            <w:proofErr w:type="spellEnd"/>
            <w:r w:rsidRPr="008C5C5D">
              <w:rPr>
                <w:rFonts w:ascii="Arial" w:hAnsi="Arial" w:cs="Arial"/>
                <w:sz w:val="20"/>
                <w:szCs w:val="20"/>
              </w:rPr>
              <w:t xml:space="preserve"> </w:t>
            </w:r>
          </w:p>
        </w:tc>
        <w:tc>
          <w:tcPr>
            <w:tcW w:w="1620" w:type="dxa"/>
            <w:tcBorders>
              <w:top w:val="nil"/>
              <w:left w:val="nil"/>
              <w:bottom w:val="single" w:sz="4" w:space="0" w:color="auto"/>
              <w:right w:val="single" w:sz="4" w:space="0" w:color="auto"/>
            </w:tcBorders>
            <w:shd w:val="clear" w:color="auto" w:fill="auto"/>
            <w:noWrap/>
            <w:vAlign w:val="bottom"/>
            <w:hideMark/>
          </w:tcPr>
          <w:p w:rsidR="00F56F9A" w:rsidRDefault="00F56F9A" w:rsidP="00080DD0">
            <w:pPr>
              <w:rPr>
                <w:rFonts w:ascii="Arial" w:hAnsi="Arial" w:cs="Arial"/>
                <w:sz w:val="20"/>
                <w:szCs w:val="20"/>
              </w:rPr>
            </w:pPr>
            <w:r>
              <w:rPr>
                <w:rFonts w:ascii="Arial" w:hAnsi="Arial" w:cs="Arial"/>
                <w:sz w:val="20"/>
                <w:szCs w:val="20"/>
              </w:rPr>
              <w:t xml:space="preserve">      66 356 908   </w:t>
            </w:r>
          </w:p>
        </w:tc>
        <w:tc>
          <w:tcPr>
            <w:tcW w:w="1460" w:type="dxa"/>
            <w:tcBorders>
              <w:top w:val="nil"/>
              <w:left w:val="nil"/>
              <w:bottom w:val="single" w:sz="4" w:space="0" w:color="auto"/>
              <w:right w:val="single" w:sz="4" w:space="0" w:color="auto"/>
            </w:tcBorders>
            <w:shd w:val="clear" w:color="auto" w:fill="auto"/>
            <w:vAlign w:val="bottom"/>
            <w:hideMark/>
          </w:tcPr>
          <w:p w:rsidR="00F56F9A" w:rsidRDefault="00F56F9A" w:rsidP="00080DD0">
            <w:pPr>
              <w:jc w:val="center"/>
              <w:rPr>
                <w:rFonts w:ascii="Arial" w:hAnsi="Arial" w:cs="Arial"/>
                <w:sz w:val="20"/>
                <w:szCs w:val="20"/>
              </w:rPr>
            </w:pPr>
            <w:r>
              <w:rPr>
                <w:rFonts w:ascii="Arial" w:hAnsi="Arial" w:cs="Arial"/>
                <w:sz w:val="20"/>
                <w:szCs w:val="20"/>
              </w:rPr>
              <w:t xml:space="preserve">   10 657 786   </w:t>
            </w:r>
          </w:p>
        </w:tc>
        <w:tc>
          <w:tcPr>
            <w:tcW w:w="1600" w:type="dxa"/>
            <w:tcBorders>
              <w:top w:val="nil"/>
              <w:left w:val="nil"/>
              <w:bottom w:val="single" w:sz="4" w:space="0" w:color="auto"/>
              <w:right w:val="single" w:sz="4" w:space="0" w:color="auto"/>
            </w:tcBorders>
            <w:shd w:val="clear" w:color="auto" w:fill="auto"/>
            <w:vAlign w:val="bottom"/>
            <w:hideMark/>
          </w:tcPr>
          <w:p w:rsidR="00F56F9A" w:rsidRDefault="00F56F9A" w:rsidP="00080DD0">
            <w:pPr>
              <w:jc w:val="center"/>
              <w:rPr>
                <w:rFonts w:ascii="Arial" w:hAnsi="Arial" w:cs="Arial"/>
                <w:sz w:val="20"/>
                <w:szCs w:val="20"/>
              </w:rPr>
            </w:pPr>
            <w:r>
              <w:rPr>
                <w:rFonts w:ascii="Arial" w:hAnsi="Arial" w:cs="Arial"/>
                <w:sz w:val="20"/>
                <w:szCs w:val="20"/>
              </w:rPr>
              <w:t xml:space="preserve">      77 014 694   </w:t>
            </w:r>
          </w:p>
        </w:tc>
        <w:tc>
          <w:tcPr>
            <w:tcW w:w="1600" w:type="dxa"/>
            <w:tcBorders>
              <w:top w:val="nil"/>
              <w:left w:val="nil"/>
              <w:bottom w:val="single" w:sz="4" w:space="0" w:color="auto"/>
              <w:right w:val="single" w:sz="4" w:space="0" w:color="auto"/>
            </w:tcBorders>
            <w:shd w:val="clear" w:color="auto" w:fill="auto"/>
            <w:vAlign w:val="bottom"/>
            <w:hideMark/>
          </w:tcPr>
          <w:p w:rsidR="00F56F9A" w:rsidRDefault="00F56F9A" w:rsidP="00080DD0">
            <w:pPr>
              <w:jc w:val="center"/>
              <w:rPr>
                <w:rFonts w:ascii="Arial" w:hAnsi="Arial" w:cs="Arial"/>
                <w:sz w:val="20"/>
                <w:szCs w:val="20"/>
              </w:rPr>
            </w:pPr>
            <w:r>
              <w:rPr>
                <w:rFonts w:ascii="Arial" w:hAnsi="Arial" w:cs="Arial"/>
                <w:sz w:val="20"/>
                <w:szCs w:val="20"/>
              </w:rPr>
              <w:t xml:space="preserve">      61 358 469   </w:t>
            </w:r>
          </w:p>
        </w:tc>
        <w:tc>
          <w:tcPr>
            <w:tcW w:w="1720" w:type="dxa"/>
            <w:tcBorders>
              <w:top w:val="nil"/>
              <w:left w:val="nil"/>
              <w:bottom w:val="single" w:sz="4" w:space="0" w:color="auto"/>
              <w:right w:val="single" w:sz="4" w:space="0" w:color="auto"/>
            </w:tcBorders>
            <w:shd w:val="clear" w:color="auto" w:fill="auto"/>
            <w:noWrap/>
            <w:vAlign w:val="bottom"/>
            <w:hideMark/>
          </w:tcPr>
          <w:p w:rsidR="00F56F9A" w:rsidRDefault="00F56F9A" w:rsidP="00080DD0">
            <w:pPr>
              <w:rPr>
                <w:rFonts w:ascii="Arial" w:hAnsi="Arial" w:cs="Arial"/>
                <w:sz w:val="20"/>
                <w:szCs w:val="20"/>
              </w:rPr>
            </w:pPr>
            <w:r>
              <w:rPr>
                <w:rFonts w:ascii="Arial" w:hAnsi="Arial" w:cs="Arial"/>
                <w:sz w:val="20"/>
                <w:szCs w:val="20"/>
              </w:rPr>
              <w:t xml:space="preserve">        50 700 683   </w:t>
            </w:r>
          </w:p>
        </w:tc>
      </w:tr>
      <w:tr w:rsidR="00F56F9A" w:rsidRPr="008C5C5D" w:rsidTr="00080DD0">
        <w:trPr>
          <w:trHeight w:val="255"/>
        </w:trPr>
        <w:tc>
          <w:tcPr>
            <w:tcW w:w="1980" w:type="dxa"/>
            <w:tcBorders>
              <w:top w:val="nil"/>
              <w:left w:val="single" w:sz="8" w:space="0" w:color="auto"/>
              <w:bottom w:val="single" w:sz="4" w:space="0" w:color="auto"/>
              <w:right w:val="single" w:sz="4" w:space="0" w:color="auto"/>
            </w:tcBorders>
            <w:shd w:val="clear" w:color="auto" w:fill="EAF1DD" w:themeFill="accent3" w:themeFillTint="33"/>
            <w:noWrap/>
            <w:vAlign w:val="bottom"/>
            <w:hideMark/>
          </w:tcPr>
          <w:p w:rsidR="00F56F9A" w:rsidRPr="008C5C5D" w:rsidRDefault="00F56F9A" w:rsidP="00080DD0">
            <w:pPr>
              <w:rPr>
                <w:rFonts w:ascii="Arial" w:hAnsi="Arial" w:cs="Arial"/>
                <w:sz w:val="20"/>
                <w:szCs w:val="20"/>
              </w:rPr>
            </w:pPr>
            <w:r w:rsidRPr="008C5C5D">
              <w:rPr>
                <w:rFonts w:ascii="Arial" w:hAnsi="Arial" w:cs="Arial"/>
                <w:sz w:val="20"/>
                <w:szCs w:val="20"/>
              </w:rPr>
              <w:t xml:space="preserve"> </w:t>
            </w:r>
            <w:proofErr w:type="spellStart"/>
            <w:r>
              <w:rPr>
                <w:rFonts w:ascii="Arial" w:hAnsi="Arial" w:cs="Arial"/>
                <w:sz w:val="20"/>
                <w:szCs w:val="20"/>
              </w:rPr>
              <w:t>Guidimakha</w:t>
            </w:r>
            <w:proofErr w:type="spellEnd"/>
            <w:r w:rsidRPr="008C5C5D">
              <w:rPr>
                <w:rFonts w:ascii="Arial" w:hAnsi="Arial" w:cs="Arial"/>
                <w:sz w:val="20"/>
                <w:szCs w:val="20"/>
              </w:rPr>
              <w:t xml:space="preserve"> </w:t>
            </w:r>
          </w:p>
        </w:tc>
        <w:tc>
          <w:tcPr>
            <w:tcW w:w="1620" w:type="dxa"/>
            <w:tcBorders>
              <w:top w:val="nil"/>
              <w:left w:val="nil"/>
              <w:bottom w:val="single" w:sz="4" w:space="0" w:color="auto"/>
              <w:right w:val="single" w:sz="4" w:space="0" w:color="auto"/>
            </w:tcBorders>
            <w:shd w:val="clear" w:color="auto" w:fill="EAF1DD" w:themeFill="accent3" w:themeFillTint="33"/>
            <w:noWrap/>
            <w:vAlign w:val="bottom"/>
            <w:hideMark/>
          </w:tcPr>
          <w:p w:rsidR="00F56F9A" w:rsidRDefault="00F56F9A" w:rsidP="00080DD0">
            <w:pPr>
              <w:rPr>
                <w:rFonts w:ascii="Arial" w:hAnsi="Arial" w:cs="Arial"/>
                <w:sz w:val="20"/>
                <w:szCs w:val="20"/>
              </w:rPr>
            </w:pPr>
            <w:r>
              <w:rPr>
                <w:rFonts w:ascii="Arial" w:hAnsi="Arial" w:cs="Arial"/>
                <w:sz w:val="20"/>
                <w:szCs w:val="20"/>
              </w:rPr>
              <w:t xml:space="preserve">     167 536 195   </w:t>
            </w:r>
          </w:p>
        </w:tc>
        <w:tc>
          <w:tcPr>
            <w:tcW w:w="1460" w:type="dxa"/>
            <w:tcBorders>
              <w:top w:val="nil"/>
              <w:left w:val="nil"/>
              <w:bottom w:val="single" w:sz="4" w:space="0" w:color="auto"/>
              <w:right w:val="single" w:sz="4" w:space="0" w:color="auto"/>
            </w:tcBorders>
            <w:shd w:val="clear" w:color="auto" w:fill="EAF1DD" w:themeFill="accent3" w:themeFillTint="33"/>
            <w:vAlign w:val="bottom"/>
            <w:hideMark/>
          </w:tcPr>
          <w:p w:rsidR="00F56F9A" w:rsidRDefault="00F56F9A" w:rsidP="00080DD0">
            <w:pPr>
              <w:jc w:val="center"/>
              <w:rPr>
                <w:rFonts w:ascii="Arial" w:hAnsi="Arial" w:cs="Arial"/>
                <w:sz w:val="20"/>
                <w:szCs w:val="20"/>
              </w:rPr>
            </w:pPr>
            <w:r>
              <w:rPr>
                <w:rFonts w:ascii="Arial" w:hAnsi="Arial" w:cs="Arial"/>
                <w:sz w:val="20"/>
                <w:szCs w:val="20"/>
              </w:rPr>
              <w:t> </w:t>
            </w:r>
          </w:p>
        </w:tc>
        <w:tc>
          <w:tcPr>
            <w:tcW w:w="1600" w:type="dxa"/>
            <w:tcBorders>
              <w:top w:val="nil"/>
              <w:left w:val="nil"/>
              <w:bottom w:val="single" w:sz="4" w:space="0" w:color="auto"/>
              <w:right w:val="single" w:sz="4" w:space="0" w:color="auto"/>
            </w:tcBorders>
            <w:shd w:val="clear" w:color="auto" w:fill="EAF1DD" w:themeFill="accent3" w:themeFillTint="33"/>
            <w:vAlign w:val="bottom"/>
            <w:hideMark/>
          </w:tcPr>
          <w:p w:rsidR="00F56F9A" w:rsidRDefault="00F56F9A" w:rsidP="00080DD0">
            <w:pPr>
              <w:jc w:val="center"/>
              <w:rPr>
                <w:rFonts w:ascii="Arial" w:hAnsi="Arial" w:cs="Arial"/>
                <w:sz w:val="20"/>
                <w:szCs w:val="20"/>
              </w:rPr>
            </w:pPr>
            <w:r>
              <w:rPr>
                <w:rFonts w:ascii="Arial" w:hAnsi="Arial" w:cs="Arial"/>
                <w:sz w:val="20"/>
                <w:szCs w:val="20"/>
              </w:rPr>
              <w:t xml:space="preserve">    167 536 195   </w:t>
            </w:r>
          </w:p>
        </w:tc>
        <w:tc>
          <w:tcPr>
            <w:tcW w:w="1600" w:type="dxa"/>
            <w:tcBorders>
              <w:top w:val="nil"/>
              <w:left w:val="nil"/>
              <w:bottom w:val="single" w:sz="4" w:space="0" w:color="auto"/>
              <w:right w:val="single" w:sz="4" w:space="0" w:color="auto"/>
            </w:tcBorders>
            <w:shd w:val="clear" w:color="auto" w:fill="EAF1DD" w:themeFill="accent3" w:themeFillTint="33"/>
            <w:vAlign w:val="bottom"/>
            <w:hideMark/>
          </w:tcPr>
          <w:p w:rsidR="00F56F9A" w:rsidRDefault="00F56F9A" w:rsidP="00080DD0">
            <w:pPr>
              <w:jc w:val="center"/>
              <w:rPr>
                <w:rFonts w:ascii="Arial" w:hAnsi="Arial" w:cs="Arial"/>
                <w:sz w:val="20"/>
                <w:szCs w:val="20"/>
              </w:rPr>
            </w:pPr>
            <w:r>
              <w:rPr>
                <w:rFonts w:ascii="Arial" w:hAnsi="Arial" w:cs="Arial"/>
                <w:sz w:val="20"/>
                <w:szCs w:val="20"/>
              </w:rPr>
              <w:t xml:space="preserve">    187 412 862   </w:t>
            </w:r>
          </w:p>
        </w:tc>
        <w:tc>
          <w:tcPr>
            <w:tcW w:w="1720" w:type="dxa"/>
            <w:tcBorders>
              <w:top w:val="nil"/>
              <w:left w:val="nil"/>
              <w:bottom w:val="single" w:sz="4" w:space="0" w:color="auto"/>
              <w:right w:val="single" w:sz="4" w:space="0" w:color="auto"/>
            </w:tcBorders>
            <w:shd w:val="clear" w:color="auto" w:fill="EAF1DD" w:themeFill="accent3" w:themeFillTint="33"/>
            <w:noWrap/>
            <w:vAlign w:val="bottom"/>
            <w:hideMark/>
          </w:tcPr>
          <w:p w:rsidR="00F56F9A" w:rsidRDefault="00F56F9A" w:rsidP="00080DD0">
            <w:pPr>
              <w:rPr>
                <w:rFonts w:ascii="Arial" w:hAnsi="Arial" w:cs="Arial"/>
                <w:sz w:val="20"/>
                <w:szCs w:val="20"/>
              </w:rPr>
            </w:pPr>
            <w:r>
              <w:rPr>
                <w:rFonts w:ascii="Arial" w:hAnsi="Arial" w:cs="Arial"/>
                <w:sz w:val="20"/>
                <w:szCs w:val="20"/>
              </w:rPr>
              <w:t xml:space="preserve">      167 536 195   </w:t>
            </w:r>
          </w:p>
        </w:tc>
      </w:tr>
      <w:tr w:rsidR="00F56F9A" w:rsidRPr="008C5C5D" w:rsidTr="00080DD0">
        <w:trPr>
          <w:trHeight w:val="255"/>
        </w:trPr>
        <w:tc>
          <w:tcPr>
            <w:tcW w:w="1980" w:type="dxa"/>
            <w:tcBorders>
              <w:top w:val="nil"/>
              <w:left w:val="single" w:sz="8" w:space="0" w:color="auto"/>
              <w:bottom w:val="single" w:sz="4" w:space="0" w:color="auto"/>
              <w:right w:val="single" w:sz="4" w:space="0" w:color="auto"/>
            </w:tcBorders>
            <w:shd w:val="clear" w:color="auto" w:fill="auto"/>
            <w:noWrap/>
            <w:vAlign w:val="bottom"/>
            <w:hideMark/>
          </w:tcPr>
          <w:p w:rsidR="00F56F9A" w:rsidRPr="008C5C5D" w:rsidRDefault="00F56F9A" w:rsidP="00080DD0">
            <w:pPr>
              <w:rPr>
                <w:rFonts w:ascii="Arial" w:hAnsi="Arial" w:cs="Arial"/>
                <w:sz w:val="20"/>
                <w:szCs w:val="20"/>
              </w:rPr>
            </w:pPr>
            <w:r w:rsidRPr="008C5C5D">
              <w:rPr>
                <w:rFonts w:ascii="Arial" w:hAnsi="Arial" w:cs="Arial"/>
                <w:sz w:val="20"/>
                <w:szCs w:val="20"/>
              </w:rPr>
              <w:t xml:space="preserve"> </w:t>
            </w:r>
            <w:proofErr w:type="spellStart"/>
            <w:r w:rsidRPr="008C5C5D">
              <w:rPr>
                <w:rFonts w:ascii="Arial" w:hAnsi="Arial" w:cs="Arial"/>
                <w:sz w:val="20"/>
                <w:szCs w:val="20"/>
              </w:rPr>
              <w:t>Tiris</w:t>
            </w:r>
            <w:proofErr w:type="spellEnd"/>
            <w:r w:rsidRPr="008C5C5D">
              <w:rPr>
                <w:rFonts w:ascii="Arial" w:hAnsi="Arial" w:cs="Arial"/>
                <w:sz w:val="20"/>
                <w:szCs w:val="20"/>
              </w:rPr>
              <w:t>-</w:t>
            </w:r>
            <w:proofErr w:type="spellStart"/>
            <w:r w:rsidRPr="008C5C5D">
              <w:rPr>
                <w:rFonts w:ascii="Arial" w:hAnsi="Arial" w:cs="Arial"/>
                <w:sz w:val="20"/>
                <w:szCs w:val="20"/>
              </w:rPr>
              <w:t>Zemmour</w:t>
            </w:r>
            <w:proofErr w:type="spellEnd"/>
            <w:r w:rsidRPr="008C5C5D">
              <w:rPr>
                <w:rFonts w:ascii="Arial" w:hAnsi="Arial" w:cs="Arial"/>
                <w:sz w:val="20"/>
                <w:szCs w:val="20"/>
              </w:rPr>
              <w:t xml:space="preserve"> </w:t>
            </w:r>
          </w:p>
        </w:tc>
        <w:tc>
          <w:tcPr>
            <w:tcW w:w="1620" w:type="dxa"/>
            <w:tcBorders>
              <w:top w:val="nil"/>
              <w:left w:val="nil"/>
              <w:bottom w:val="single" w:sz="4" w:space="0" w:color="auto"/>
              <w:right w:val="single" w:sz="4" w:space="0" w:color="auto"/>
            </w:tcBorders>
            <w:shd w:val="clear" w:color="auto" w:fill="auto"/>
            <w:noWrap/>
            <w:vAlign w:val="bottom"/>
            <w:hideMark/>
          </w:tcPr>
          <w:p w:rsidR="00F56F9A" w:rsidRDefault="00F56F9A" w:rsidP="00080DD0">
            <w:pPr>
              <w:rPr>
                <w:rFonts w:ascii="Arial" w:hAnsi="Arial" w:cs="Arial"/>
                <w:sz w:val="20"/>
                <w:szCs w:val="20"/>
              </w:rPr>
            </w:pPr>
            <w:r>
              <w:rPr>
                <w:rFonts w:ascii="Arial" w:hAnsi="Arial" w:cs="Arial"/>
                <w:sz w:val="20"/>
                <w:szCs w:val="20"/>
              </w:rPr>
              <w:t xml:space="preserve">      34 429 797   </w:t>
            </w:r>
          </w:p>
        </w:tc>
        <w:tc>
          <w:tcPr>
            <w:tcW w:w="1460" w:type="dxa"/>
            <w:tcBorders>
              <w:top w:val="nil"/>
              <w:left w:val="nil"/>
              <w:bottom w:val="single" w:sz="4" w:space="0" w:color="auto"/>
              <w:right w:val="single" w:sz="4" w:space="0" w:color="auto"/>
            </w:tcBorders>
            <w:shd w:val="clear" w:color="auto" w:fill="auto"/>
            <w:vAlign w:val="bottom"/>
            <w:hideMark/>
          </w:tcPr>
          <w:p w:rsidR="00F56F9A" w:rsidRDefault="00F56F9A" w:rsidP="00080DD0">
            <w:pPr>
              <w:jc w:val="center"/>
              <w:rPr>
                <w:rFonts w:ascii="Arial" w:hAnsi="Arial" w:cs="Arial"/>
                <w:sz w:val="20"/>
                <w:szCs w:val="20"/>
              </w:rPr>
            </w:pPr>
            <w:r>
              <w:rPr>
                <w:rFonts w:ascii="Arial" w:hAnsi="Arial" w:cs="Arial"/>
                <w:sz w:val="20"/>
                <w:szCs w:val="20"/>
              </w:rPr>
              <w:t xml:space="preserve">   17 794 684   </w:t>
            </w:r>
          </w:p>
        </w:tc>
        <w:tc>
          <w:tcPr>
            <w:tcW w:w="1600" w:type="dxa"/>
            <w:tcBorders>
              <w:top w:val="nil"/>
              <w:left w:val="nil"/>
              <w:bottom w:val="single" w:sz="4" w:space="0" w:color="auto"/>
              <w:right w:val="single" w:sz="4" w:space="0" w:color="auto"/>
            </w:tcBorders>
            <w:shd w:val="clear" w:color="auto" w:fill="auto"/>
            <w:vAlign w:val="bottom"/>
            <w:hideMark/>
          </w:tcPr>
          <w:p w:rsidR="00F56F9A" w:rsidRDefault="00F56F9A" w:rsidP="00080DD0">
            <w:pPr>
              <w:jc w:val="center"/>
              <w:rPr>
                <w:rFonts w:ascii="Arial" w:hAnsi="Arial" w:cs="Arial"/>
                <w:sz w:val="20"/>
                <w:szCs w:val="20"/>
              </w:rPr>
            </w:pPr>
            <w:r>
              <w:rPr>
                <w:rFonts w:ascii="Arial" w:hAnsi="Arial" w:cs="Arial"/>
                <w:sz w:val="20"/>
                <w:szCs w:val="20"/>
              </w:rPr>
              <w:t xml:space="preserve">      52 224 481   </w:t>
            </w:r>
          </w:p>
        </w:tc>
        <w:tc>
          <w:tcPr>
            <w:tcW w:w="1600" w:type="dxa"/>
            <w:tcBorders>
              <w:top w:val="nil"/>
              <w:left w:val="nil"/>
              <w:bottom w:val="single" w:sz="4" w:space="0" w:color="auto"/>
              <w:right w:val="single" w:sz="4" w:space="0" w:color="auto"/>
            </w:tcBorders>
            <w:shd w:val="clear" w:color="auto" w:fill="auto"/>
            <w:vAlign w:val="bottom"/>
            <w:hideMark/>
          </w:tcPr>
          <w:p w:rsidR="00F56F9A" w:rsidRDefault="00F56F9A" w:rsidP="00080DD0">
            <w:pPr>
              <w:jc w:val="center"/>
              <w:rPr>
                <w:rFonts w:ascii="Arial" w:hAnsi="Arial" w:cs="Arial"/>
                <w:sz w:val="20"/>
                <w:szCs w:val="20"/>
              </w:rPr>
            </w:pPr>
            <w:r>
              <w:rPr>
                <w:rFonts w:ascii="Arial" w:hAnsi="Arial" w:cs="Arial"/>
                <w:sz w:val="20"/>
                <w:szCs w:val="20"/>
              </w:rPr>
              <w:t xml:space="preserve">      35 085 152   </w:t>
            </w:r>
          </w:p>
        </w:tc>
        <w:tc>
          <w:tcPr>
            <w:tcW w:w="1720" w:type="dxa"/>
            <w:tcBorders>
              <w:top w:val="nil"/>
              <w:left w:val="nil"/>
              <w:bottom w:val="single" w:sz="4" w:space="0" w:color="auto"/>
              <w:right w:val="single" w:sz="4" w:space="0" w:color="auto"/>
            </w:tcBorders>
            <w:shd w:val="clear" w:color="auto" w:fill="auto"/>
            <w:noWrap/>
            <w:vAlign w:val="bottom"/>
            <w:hideMark/>
          </w:tcPr>
          <w:p w:rsidR="00F56F9A" w:rsidRDefault="00F56F9A" w:rsidP="00080DD0">
            <w:pPr>
              <w:rPr>
                <w:rFonts w:ascii="Arial" w:hAnsi="Arial" w:cs="Arial"/>
                <w:sz w:val="20"/>
                <w:szCs w:val="20"/>
              </w:rPr>
            </w:pPr>
            <w:r>
              <w:rPr>
                <w:rFonts w:ascii="Arial" w:hAnsi="Arial" w:cs="Arial"/>
                <w:sz w:val="20"/>
                <w:szCs w:val="20"/>
              </w:rPr>
              <w:t xml:space="preserve">        17 290 468   </w:t>
            </w:r>
          </w:p>
        </w:tc>
      </w:tr>
      <w:tr w:rsidR="00F56F9A" w:rsidRPr="008C5C5D" w:rsidTr="00080DD0">
        <w:trPr>
          <w:trHeight w:val="255"/>
        </w:trPr>
        <w:tc>
          <w:tcPr>
            <w:tcW w:w="1980" w:type="dxa"/>
            <w:tcBorders>
              <w:top w:val="nil"/>
              <w:left w:val="single" w:sz="8" w:space="0" w:color="auto"/>
              <w:bottom w:val="single" w:sz="4" w:space="0" w:color="auto"/>
              <w:right w:val="single" w:sz="4" w:space="0" w:color="auto"/>
            </w:tcBorders>
            <w:shd w:val="clear" w:color="auto" w:fill="EAF1DD" w:themeFill="accent3" w:themeFillTint="33"/>
            <w:noWrap/>
            <w:vAlign w:val="bottom"/>
            <w:hideMark/>
          </w:tcPr>
          <w:p w:rsidR="00F56F9A" w:rsidRPr="008C5C5D" w:rsidRDefault="00F56F9A" w:rsidP="00080DD0">
            <w:pPr>
              <w:rPr>
                <w:rFonts w:ascii="Arial" w:hAnsi="Arial" w:cs="Arial"/>
                <w:sz w:val="20"/>
                <w:szCs w:val="20"/>
              </w:rPr>
            </w:pPr>
            <w:r w:rsidRPr="008C5C5D">
              <w:rPr>
                <w:rFonts w:ascii="Arial" w:hAnsi="Arial" w:cs="Arial"/>
                <w:sz w:val="20"/>
                <w:szCs w:val="20"/>
              </w:rPr>
              <w:t xml:space="preserve"> </w:t>
            </w:r>
            <w:proofErr w:type="spellStart"/>
            <w:r w:rsidRPr="008C5C5D">
              <w:rPr>
                <w:rFonts w:ascii="Arial" w:hAnsi="Arial" w:cs="Arial"/>
                <w:sz w:val="20"/>
                <w:szCs w:val="20"/>
              </w:rPr>
              <w:t>Inchiri</w:t>
            </w:r>
            <w:proofErr w:type="spellEnd"/>
            <w:r w:rsidRPr="008C5C5D">
              <w:rPr>
                <w:rFonts w:ascii="Arial" w:hAnsi="Arial" w:cs="Arial"/>
                <w:sz w:val="20"/>
                <w:szCs w:val="20"/>
              </w:rPr>
              <w:t xml:space="preserve"> </w:t>
            </w:r>
          </w:p>
        </w:tc>
        <w:tc>
          <w:tcPr>
            <w:tcW w:w="1620" w:type="dxa"/>
            <w:tcBorders>
              <w:top w:val="nil"/>
              <w:left w:val="nil"/>
              <w:bottom w:val="single" w:sz="4" w:space="0" w:color="auto"/>
              <w:right w:val="single" w:sz="4" w:space="0" w:color="auto"/>
            </w:tcBorders>
            <w:shd w:val="clear" w:color="auto" w:fill="EAF1DD" w:themeFill="accent3" w:themeFillTint="33"/>
            <w:noWrap/>
            <w:vAlign w:val="bottom"/>
            <w:hideMark/>
          </w:tcPr>
          <w:p w:rsidR="00F56F9A" w:rsidRDefault="00F56F9A" w:rsidP="00080DD0">
            <w:pPr>
              <w:rPr>
                <w:rFonts w:ascii="Arial" w:hAnsi="Arial" w:cs="Arial"/>
                <w:sz w:val="20"/>
                <w:szCs w:val="20"/>
              </w:rPr>
            </w:pPr>
            <w:r>
              <w:rPr>
                <w:rFonts w:ascii="Arial" w:hAnsi="Arial" w:cs="Arial"/>
                <w:sz w:val="20"/>
                <w:szCs w:val="20"/>
              </w:rPr>
              <w:t xml:space="preserve">        9 130 406   </w:t>
            </w:r>
          </w:p>
        </w:tc>
        <w:tc>
          <w:tcPr>
            <w:tcW w:w="1460" w:type="dxa"/>
            <w:tcBorders>
              <w:top w:val="nil"/>
              <w:left w:val="nil"/>
              <w:bottom w:val="single" w:sz="4" w:space="0" w:color="auto"/>
              <w:right w:val="single" w:sz="4" w:space="0" w:color="auto"/>
            </w:tcBorders>
            <w:shd w:val="clear" w:color="auto" w:fill="EAF1DD" w:themeFill="accent3" w:themeFillTint="33"/>
            <w:vAlign w:val="bottom"/>
            <w:hideMark/>
          </w:tcPr>
          <w:p w:rsidR="00F56F9A" w:rsidRDefault="00F56F9A" w:rsidP="00080DD0">
            <w:pPr>
              <w:jc w:val="center"/>
              <w:rPr>
                <w:rFonts w:ascii="Arial" w:hAnsi="Arial" w:cs="Arial"/>
                <w:sz w:val="20"/>
                <w:szCs w:val="20"/>
              </w:rPr>
            </w:pPr>
            <w:r>
              <w:rPr>
                <w:rFonts w:ascii="Arial" w:hAnsi="Arial" w:cs="Arial"/>
                <w:sz w:val="20"/>
                <w:szCs w:val="20"/>
              </w:rPr>
              <w:t xml:space="preserve">     1 766 079   </w:t>
            </w:r>
          </w:p>
        </w:tc>
        <w:tc>
          <w:tcPr>
            <w:tcW w:w="1600" w:type="dxa"/>
            <w:tcBorders>
              <w:top w:val="nil"/>
              <w:left w:val="nil"/>
              <w:bottom w:val="single" w:sz="4" w:space="0" w:color="auto"/>
              <w:right w:val="single" w:sz="4" w:space="0" w:color="auto"/>
            </w:tcBorders>
            <w:shd w:val="clear" w:color="auto" w:fill="EAF1DD" w:themeFill="accent3" w:themeFillTint="33"/>
            <w:vAlign w:val="bottom"/>
            <w:hideMark/>
          </w:tcPr>
          <w:p w:rsidR="00F56F9A" w:rsidRDefault="00F56F9A" w:rsidP="00080DD0">
            <w:pPr>
              <w:jc w:val="center"/>
              <w:rPr>
                <w:rFonts w:ascii="Arial" w:hAnsi="Arial" w:cs="Arial"/>
                <w:sz w:val="20"/>
                <w:szCs w:val="20"/>
              </w:rPr>
            </w:pPr>
            <w:r>
              <w:rPr>
                <w:rFonts w:ascii="Arial" w:hAnsi="Arial" w:cs="Arial"/>
                <w:sz w:val="20"/>
                <w:szCs w:val="20"/>
              </w:rPr>
              <w:t xml:space="preserve">      10 896 485   </w:t>
            </w:r>
          </w:p>
        </w:tc>
        <w:tc>
          <w:tcPr>
            <w:tcW w:w="1600" w:type="dxa"/>
            <w:tcBorders>
              <w:top w:val="nil"/>
              <w:left w:val="nil"/>
              <w:bottom w:val="single" w:sz="4" w:space="0" w:color="auto"/>
              <w:right w:val="single" w:sz="4" w:space="0" w:color="auto"/>
            </w:tcBorders>
            <w:shd w:val="clear" w:color="auto" w:fill="EAF1DD" w:themeFill="accent3" w:themeFillTint="33"/>
            <w:vAlign w:val="bottom"/>
            <w:hideMark/>
          </w:tcPr>
          <w:p w:rsidR="00F56F9A" w:rsidRDefault="00F56F9A" w:rsidP="00080DD0">
            <w:pPr>
              <w:jc w:val="center"/>
              <w:rPr>
                <w:rFonts w:ascii="Arial" w:hAnsi="Arial" w:cs="Arial"/>
                <w:sz w:val="20"/>
                <w:szCs w:val="20"/>
              </w:rPr>
            </w:pPr>
            <w:r>
              <w:rPr>
                <w:rFonts w:ascii="Arial" w:hAnsi="Arial" w:cs="Arial"/>
                <w:sz w:val="20"/>
                <w:szCs w:val="20"/>
              </w:rPr>
              <w:t xml:space="preserve">      10 264 262   </w:t>
            </w:r>
          </w:p>
        </w:tc>
        <w:tc>
          <w:tcPr>
            <w:tcW w:w="1720" w:type="dxa"/>
            <w:tcBorders>
              <w:top w:val="nil"/>
              <w:left w:val="nil"/>
              <w:bottom w:val="single" w:sz="4" w:space="0" w:color="auto"/>
              <w:right w:val="single" w:sz="4" w:space="0" w:color="auto"/>
            </w:tcBorders>
            <w:shd w:val="clear" w:color="auto" w:fill="EAF1DD" w:themeFill="accent3" w:themeFillTint="33"/>
            <w:noWrap/>
            <w:vAlign w:val="bottom"/>
            <w:hideMark/>
          </w:tcPr>
          <w:p w:rsidR="00F56F9A" w:rsidRDefault="00F56F9A" w:rsidP="00080DD0">
            <w:pPr>
              <w:rPr>
                <w:rFonts w:ascii="Arial" w:hAnsi="Arial" w:cs="Arial"/>
                <w:sz w:val="20"/>
                <w:szCs w:val="20"/>
              </w:rPr>
            </w:pPr>
            <w:r>
              <w:rPr>
                <w:rFonts w:ascii="Arial" w:hAnsi="Arial" w:cs="Arial"/>
                <w:sz w:val="20"/>
                <w:szCs w:val="20"/>
              </w:rPr>
              <w:t xml:space="preserve">          8 498 183   </w:t>
            </w:r>
          </w:p>
        </w:tc>
      </w:tr>
      <w:tr w:rsidR="00F56F9A" w:rsidRPr="008C5C5D" w:rsidTr="00080DD0">
        <w:trPr>
          <w:trHeight w:val="270"/>
        </w:trPr>
        <w:tc>
          <w:tcPr>
            <w:tcW w:w="1980" w:type="dxa"/>
            <w:tcBorders>
              <w:top w:val="nil"/>
              <w:left w:val="single" w:sz="8" w:space="0" w:color="auto"/>
              <w:bottom w:val="single" w:sz="8" w:space="0" w:color="auto"/>
              <w:right w:val="single" w:sz="4" w:space="0" w:color="auto"/>
            </w:tcBorders>
            <w:shd w:val="clear" w:color="auto" w:fill="auto"/>
            <w:noWrap/>
            <w:vAlign w:val="bottom"/>
            <w:hideMark/>
          </w:tcPr>
          <w:p w:rsidR="00F56F9A" w:rsidRPr="008C5C5D" w:rsidRDefault="00F56F9A" w:rsidP="00080DD0">
            <w:pPr>
              <w:rPr>
                <w:rFonts w:ascii="Arial" w:hAnsi="Arial" w:cs="Arial"/>
                <w:sz w:val="20"/>
                <w:szCs w:val="20"/>
              </w:rPr>
            </w:pPr>
            <w:r w:rsidRPr="008C5C5D">
              <w:rPr>
                <w:rFonts w:ascii="Arial" w:hAnsi="Arial" w:cs="Arial"/>
                <w:sz w:val="20"/>
                <w:szCs w:val="20"/>
              </w:rPr>
              <w:t xml:space="preserve"> Nouakchott </w:t>
            </w:r>
          </w:p>
        </w:tc>
        <w:tc>
          <w:tcPr>
            <w:tcW w:w="1620" w:type="dxa"/>
            <w:tcBorders>
              <w:top w:val="nil"/>
              <w:left w:val="nil"/>
              <w:bottom w:val="nil"/>
              <w:right w:val="single" w:sz="4" w:space="0" w:color="auto"/>
            </w:tcBorders>
            <w:shd w:val="clear" w:color="auto" w:fill="auto"/>
            <w:noWrap/>
            <w:vAlign w:val="bottom"/>
            <w:hideMark/>
          </w:tcPr>
          <w:p w:rsidR="00F56F9A" w:rsidRDefault="00F56F9A" w:rsidP="00080DD0">
            <w:pPr>
              <w:rPr>
                <w:rFonts w:ascii="Arial" w:hAnsi="Arial" w:cs="Arial"/>
                <w:sz w:val="20"/>
                <w:szCs w:val="20"/>
              </w:rPr>
            </w:pPr>
            <w:r>
              <w:rPr>
                <w:rFonts w:ascii="Arial" w:hAnsi="Arial" w:cs="Arial"/>
                <w:sz w:val="20"/>
                <w:szCs w:val="20"/>
              </w:rPr>
              <w:t xml:space="preserve">     496 028 633   </w:t>
            </w:r>
          </w:p>
        </w:tc>
        <w:tc>
          <w:tcPr>
            <w:tcW w:w="1460" w:type="dxa"/>
            <w:tcBorders>
              <w:top w:val="nil"/>
              <w:left w:val="nil"/>
              <w:bottom w:val="nil"/>
              <w:right w:val="single" w:sz="4" w:space="0" w:color="auto"/>
            </w:tcBorders>
            <w:shd w:val="clear" w:color="auto" w:fill="auto"/>
            <w:vAlign w:val="bottom"/>
            <w:hideMark/>
          </w:tcPr>
          <w:p w:rsidR="00F56F9A" w:rsidRDefault="00F56F9A" w:rsidP="00080DD0">
            <w:pPr>
              <w:jc w:val="center"/>
              <w:rPr>
                <w:rFonts w:ascii="Arial" w:hAnsi="Arial" w:cs="Arial"/>
                <w:sz w:val="20"/>
                <w:szCs w:val="20"/>
              </w:rPr>
            </w:pPr>
            <w:r>
              <w:rPr>
                <w:rFonts w:ascii="Arial" w:hAnsi="Arial" w:cs="Arial"/>
                <w:sz w:val="20"/>
                <w:szCs w:val="20"/>
              </w:rPr>
              <w:t xml:space="preserve">  165 016 076   </w:t>
            </w:r>
          </w:p>
        </w:tc>
        <w:tc>
          <w:tcPr>
            <w:tcW w:w="1600" w:type="dxa"/>
            <w:tcBorders>
              <w:top w:val="nil"/>
              <w:left w:val="nil"/>
              <w:bottom w:val="nil"/>
              <w:right w:val="single" w:sz="4" w:space="0" w:color="auto"/>
            </w:tcBorders>
            <w:shd w:val="clear" w:color="auto" w:fill="auto"/>
            <w:vAlign w:val="bottom"/>
            <w:hideMark/>
          </w:tcPr>
          <w:p w:rsidR="00F56F9A" w:rsidRDefault="00F56F9A" w:rsidP="00080DD0">
            <w:pPr>
              <w:jc w:val="center"/>
              <w:rPr>
                <w:rFonts w:ascii="Arial" w:hAnsi="Arial" w:cs="Arial"/>
                <w:sz w:val="20"/>
                <w:szCs w:val="20"/>
              </w:rPr>
            </w:pPr>
            <w:r>
              <w:rPr>
                <w:rFonts w:ascii="Arial" w:hAnsi="Arial" w:cs="Arial"/>
                <w:sz w:val="20"/>
                <w:szCs w:val="20"/>
              </w:rPr>
              <w:t xml:space="preserve">    661 044 709   </w:t>
            </w:r>
          </w:p>
        </w:tc>
        <w:tc>
          <w:tcPr>
            <w:tcW w:w="1600" w:type="dxa"/>
            <w:tcBorders>
              <w:top w:val="nil"/>
              <w:left w:val="nil"/>
              <w:bottom w:val="nil"/>
              <w:right w:val="single" w:sz="4" w:space="0" w:color="auto"/>
            </w:tcBorders>
            <w:shd w:val="clear" w:color="auto" w:fill="auto"/>
            <w:vAlign w:val="bottom"/>
            <w:hideMark/>
          </w:tcPr>
          <w:p w:rsidR="00F56F9A" w:rsidRDefault="00F56F9A" w:rsidP="00080DD0">
            <w:pPr>
              <w:jc w:val="center"/>
              <w:rPr>
                <w:rFonts w:ascii="Arial" w:hAnsi="Arial" w:cs="Arial"/>
                <w:sz w:val="20"/>
                <w:szCs w:val="20"/>
              </w:rPr>
            </w:pPr>
            <w:r>
              <w:rPr>
                <w:rFonts w:ascii="Arial" w:hAnsi="Arial" w:cs="Arial"/>
                <w:sz w:val="20"/>
                <w:szCs w:val="20"/>
              </w:rPr>
              <w:t xml:space="preserve">    410 017 373   </w:t>
            </w:r>
          </w:p>
        </w:tc>
        <w:tc>
          <w:tcPr>
            <w:tcW w:w="1720" w:type="dxa"/>
            <w:tcBorders>
              <w:top w:val="nil"/>
              <w:left w:val="nil"/>
              <w:bottom w:val="nil"/>
              <w:right w:val="single" w:sz="4" w:space="0" w:color="auto"/>
            </w:tcBorders>
            <w:shd w:val="clear" w:color="auto" w:fill="auto"/>
            <w:noWrap/>
            <w:vAlign w:val="bottom"/>
            <w:hideMark/>
          </w:tcPr>
          <w:p w:rsidR="00F56F9A" w:rsidRDefault="00F56F9A" w:rsidP="00080DD0">
            <w:pPr>
              <w:rPr>
                <w:rFonts w:ascii="Arial" w:hAnsi="Arial" w:cs="Arial"/>
                <w:sz w:val="20"/>
                <w:szCs w:val="20"/>
              </w:rPr>
            </w:pPr>
            <w:r>
              <w:rPr>
                <w:rFonts w:ascii="Arial" w:hAnsi="Arial" w:cs="Arial"/>
                <w:sz w:val="20"/>
                <w:szCs w:val="20"/>
              </w:rPr>
              <w:t xml:space="preserve">      245 001 297   </w:t>
            </w:r>
          </w:p>
        </w:tc>
      </w:tr>
      <w:tr w:rsidR="00F56F9A" w:rsidRPr="008C5C5D" w:rsidTr="00B45BB2">
        <w:trPr>
          <w:trHeight w:val="282"/>
        </w:trPr>
        <w:tc>
          <w:tcPr>
            <w:tcW w:w="1980" w:type="dxa"/>
            <w:tcBorders>
              <w:top w:val="nil"/>
              <w:left w:val="single" w:sz="8" w:space="0" w:color="auto"/>
              <w:bottom w:val="single" w:sz="8" w:space="0" w:color="auto"/>
              <w:right w:val="nil"/>
            </w:tcBorders>
            <w:shd w:val="clear" w:color="auto" w:fill="D6E3BC" w:themeFill="accent3" w:themeFillTint="66"/>
            <w:noWrap/>
            <w:vAlign w:val="bottom"/>
            <w:hideMark/>
          </w:tcPr>
          <w:p w:rsidR="00F56F9A" w:rsidRPr="008C5C5D" w:rsidRDefault="00F56F9A" w:rsidP="00080DD0">
            <w:pPr>
              <w:jc w:val="center"/>
              <w:rPr>
                <w:rFonts w:ascii="Arial" w:hAnsi="Arial" w:cs="Arial"/>
                <w:b/>
                <w:bCs/>
                <w:sz w:val="20"/>
                <w:szCs w:val="20"/>
              </w:rPr>
            </w:pPr>
            <w:r w:rsidRPr="008C5C5D">
              <w:rPr>
                <w:rFonts w:ascii="Arial" w:hAnsi="Arial" w:cs="Arial"/>
                <w:b/>
                <w:bCs/>
                <w:sz w:val="20"/>
                <w:szCs w:val="20"/>
              </w:rPr>
              <w:t xml:space="preserve"> Total </w:t>
            </w:r>
          </w:p>
        </w:tc>
        <w:tc>
          <w:tcPr>
            <w:tcW w:w="1620" w:type="dxa"/>
            <w:tcBorders>
              <w:top w:val="single" w:sz="8" w:space="0" w:color="auto"/>
              <w:left w:val="single" w:sz="8" w:space="0" w:color="auto"/>
              <w:bottom w:val="single" w:sz="8" w:space="0" w:color="auto"/>
              <w:right w:val="single" w:sz="4" w:space="0" w:color="auto"/>
            </w:tcBorders>
            <w:shd w:val="clear" w:color="auto" w:fill="D6E3BC" w:themeFill="accent3" w:themeFillTint="66"/>
            <w:noWrap/>
            <w:vAlign w:val="bottom"/>
            <w:hideMark/>
          </w:tcPr>
          <w:p w:rsidR="00F56F9A" w:rsidRDefault="00F56F9A" w:rsidP="00080DD0">
            <w:pPr>
              <w:rPr>
                <w:rFonts w:ascii="Arial" w:hAnsi="Arial" w:cs="Arial"/>
                <w:b/>
                <w:bCs/>
                <w:sz w:val="20"/>
                <w:szCs w:val="20"/>
              </w:rPr>
            </w:pPr>
            <w:r>
              <w:rPr>
                <w:rFonts w:ascii="Arial" w:hAnsi="Arial" w:cs="Arial"/>
                <w:b/>
                <w:bCs/>
                <w:sz w:val="20"/>
                <w:szCs w:val="20"/>
              </w:rPr>
              <w:t xml:space="preserve">  2 379 999 894   </w:t>
            </w:r>
          </w:p>
        </w:tc>
        <w:tc>
          <w:tcPr>
            <w:tcW w:w="1460" w:type="dxa"/>
            <w:tcBorders>
              <w:top w:val="single" w:sz="8" w:space="0" w:color="auto"/>
              <w:left w:val="nil"/>
              <w:bottom w:val="single" w:sz="8" w:space="0" w:color="auto"/>
              <w:right w:val="single" w:sz="4" w:space="0" w:color="auto"/>
            </w:tcBorders>
            <w:shd w:val="clear" w:color="auto" w:fill="D6E3BC" w:themeFill="accent3" w:themeFillTint="66"/>
            <w:vAlign w:val="bottom"/>
            <w:hideMark/>
          </w:tcPr>
          <w:p w:rsidR="00F56F9A" w:rsidRDefault="00F56F9A" w:rsidP="00080DD0">
            <w:pPr>
              <w:jc w:val="center"/>
              <w:rPr>
                <w:rFonts w:ascii="Arial" w:hAnsi="Arial" w:cs="Arial"/>
                <w:b/>
                <w:bCs/>
                <w:sz w:val="20"/>
                <w:szCs w:val="20"/>
              </w:rPr>
            </w:pPr>
            <w:r>
              <w:rPr>
                <w:rFonts w:ascii="Arial" w:hAnsi="Arial" w:cs="Arial"/>
                <w:b/>
                <w:bCs/>
                <w:sz w:val="20"/>
                <w:szCs w:val="20"/>
              </w:rPr>
              <w:t xml:space="preserve">  620 405 677   </w:t>
            </w:r>
          </w:p>
        </w:tc>
        <w:tc>
          <w:tcPr>
            <w:tcW w:w="1600" w:type="dxa"/>
            <w:tcBorders>
              <w:top w:val="single" w:sz="8" w:space="0" w:color="auto"/>
              <w:left w:val="nil"/>
              <w:bottom w:val="single" w:sz="8" w:space="0" w:color="auto"/>
              <w:right w:val="single" w:sz="4" w:space="0" w:color="auto"/>
            </w:tcBorders>
            <w:shd w:val="clear" w:color="auto" w:fill="D6E3BC" w:themeFill="accent3" w:themeFillTint="66"/>
            <w:vAlign w:val="bottom"/>
            <w:hideMark/>
          </w:tcPr>
          <w:p w:rsidR="00F56F9A" w:rsidRDefault="00F56F9A" w:rsidP="00080DD0">
            <w:pPr>
              <w:jc w:val="center"/>
              <w:rPr>
                <w:rFonts w:ascii="Arial" w:hAnsi="Arial" w:cs="Arial"/>
                <w:b/>
                <w:bCs/>
                <w:sz w:val="20"/>
                <w:szCs w:val="20"/>
              </w:rPr>
            </w:pPr>
            <w:r>
              <w:rPr>
                <w:rFonts w:ascii="Arial" w:hAnsi="Arial" w:cs="Arial"/>
                <w:b/>
                <w:bCs/>
                <w:sz w:val="20"/>
                <w:szCs w:val="20"/>
              </w:rPr>
              <w:t xml:space="preserve">  3 000 405 571   </w:t>
            </w:r>
          </w:p>
        </w:tc>
        <w:tc>
          <w:tcPr>
            <w:tcW w:w="1600" w:type="dxa"/>
            <w:tcBorders>
              <w:top w:val="single" w:sz="8" w:space="0" w:color="auto"/>
              <w:left w:val="nil"/>
              <w:bottom w:val="single" w:sz="8" w:space="0" w:color="auto"/>
              <w:right w:val="single" w:sz="4" w:space="0" w:color="auto"/>
            </w:tcBorders>
            <w:shd w:val="clear" w:color="auto" w:fill="D6E3BC" w:themeFill="accent3" w:themeFillTint="66"/>
            <w:vAlign w:val="bottom"/>
            <w:hideMark/>
          </w:tcPr>
          <w:p w:rsidR="00F56F9A" w:rsidRDefault="00F56F9A" w:rsidP="00080DD0">
            <w:pPr>
              <w:jc w:val="center"/>
              <w:rPr>
                <w:rFonts w:ascii="Arial" w:hAnsi="Arial" w:cs="Arial"/>
                <w:b/>
                <w:bCs/>
                <w:sz w:val="20"/>
                <w:szCs w:val="20"/>
              </w:rPr>
            </w:pPr>
            <w:r>
              <w:rPr>
                <w:rFonts w:ascii="Arial" w:hAnsi="Arial" w:cs="Arial"/>
                <w:b/>
                <w:bCs/>
                <w:sz w:val="20"/>
                <w:szCs w:val="20"/>
              </w:rPr>
              <w:t xml:space="preserve"> 2 228 260 832   </w:t>
            </w:r>
          </w:p>
        </w:tc>
        <w:tc>
          <w:tcPr>
            <w:tcW w:w="1720" w:type="dxa"/>
            <w:tcBorders>
              <w:top w:val="single" w:sz="8" w:space="0" w:color="auto"/>
              <w:left w:val="nil"/>
              <w:bottom w:val="single" w:sz="8" w:space="0" w:color="auto"/>
              <w:right w:val="single" w:sz="4" w:space="0" w:color="auto"/>
            </w:tcBorders>
            <w:shd w:val="clear" w:color="auto" w:fill="D6E3BC" w:themeFill="accent3" w:themeFillTint="66"/>
            <w:noWrap/>
            <w:vAlign w:val="bottom"/>
            <w:hideMark/>
          </w:tcPr>
          <w:p w:rsidR="00F56F9A" w:rsidRDefault="00F56F9A" w:rsidP="00080DD0">
            <w:pPr>
              <w:rPr>
                <w:rFonts w:ascii="Arial" w:hAnsi="Arial" w:cs="Arial"/>
                <w:b/>
                <w:bCs/>
                <w:sz w:val="20"/>
                <w:szCs w:val="20"/>
              </w:rPr>
            </w:pPr>
            <w:r>
              <w:rPr>
                <w:rFonts w:ascii="Arial" w:hAnsi="Arial" w:cs="Arial"/>
                <w:b/>
                <w:bCs/>
                <w:sz w:val="20"/>
                <w:szCs w:val="20"/>
              </w:rPr>
              <w:t xml:space="preserve">    1 587 978 488   </w:t>
            </w:r>
          </w:p>
        </w:tc>
      </w:tr>
    </w:tbl>
    <w:p w:rsidR="00F56F9A" w:rsidRPr="005B3F18" w:rsidRDefault="00F56F9A" w:rsidP="00F56F9A">
      <w:pPr>
        <w:jc w:val="both"/>
        <w:rPr>
          <w:rFonts w:asciiTheme="minorHAnsi" w:hAnsiTheme="minorHAnsi" w:cstheme="minorHAnsi"/>
          <w:b/>
          <w:i/>
          <w:sz w:val="22"/>
          <w:szCs w:val="22"/>
        </w:rPr>
      </w:pPr>
      <w:r w:rsidRPr="005B3F18">
        <w:rPr>
          <w:rFonts w:asciiTheme="minorHAnsi" w:hAnsiTheme="minorHAnsi" w:cstheme="minorHAnsi"/>
          <w:b/>
          <w:i/>
          <w:sz w:val="22"/>
          <w:szCs w:val="22"/>
        </w:rPr>
        <w:t>Présentation des méthodes de calcul du taux d’absorption du FRD</w:t>
      </w:r>
      <w:r w:rsidR="0016644E">
        <w:rPr>
          <w:rFonts w:asciiTheme="minorHAnsi" w:hAnsiTheme="minorHAnsi" w:cstheme="minorHAnsi"/>
          <w:b/>
          <w:i/>
          <w:sz w:val="22"/>
          <w:szCs w:val="22"/>
        </w:rPr>
        <w:t> :</w:t>
      </w:r>
    </w:p>
    <w:p w:rsidR="00F56F9A" w:rsidRDefault="00F56F9A" w:rsidP="00F56F9A">
      <w:pPr>
        <w:jc w:val="both"/>
        <w:rPr>
          <w:rFonts w:asciiTheme="minorHAnsi" w:hAnsiTheme="minorHAnsi" w:cstheme="minorHAnsi"/>
          <w:sz w:val="22"/>
          <w:szCs w:val="22"/>
        </w:rPr>
      </w:pPr>
    </w:p>
    <w:tbl>
      <w:tblPr>
        <w:tblW w:w="10646" w:type="dxa"/>
        <w:tblInd w:w="55" w:type="dxa"/>
        <w:tblLayout w:type="fixed"/>
        <w:tblCellMar>
          <w:left w:w="70" w:type="dxa"/>
          <w:right w:w="70" w:type="dxa"/>
        </w:tblCellMar>
        <w:tblLook w:val="04A0"/>
      </w:tblPr>
      <w:tblGrid>
        <w:gridCol w:w="1716"/>
        <w:gridCol w:w="1418"/>
        <w:gridCol w:w="1417"/>
        <w:gridCol w:w="1560"/>
        <w:gridCol w:w="1417"/>
        <w:gridCol w:w="1418"/>
        <w:gridCol w:w="1700"/>
      </w:tblGrid>
      <w:tr w:rsidR="00F56F9A" w:rsidRPr="00A8380E" w:rsidTr="00080DD0">
        <w:trPr>
          <w:trHeight w:val="1693"/>
        </w:trPr>
        <w:tc>
          <w:tcPr>
            <w:tcW w:w="1716" w:type="dxa"/>
            <w:tcBorders>
              <w:top w:val="single" w:sz="8" w:space="0" w:color="auto"/>
              <w:left w:val="single" w:sz="8" w:space="0" w:color="auto"/>
              <w:bottom w:val="single" w:sz="4" w:space="0" w:color="auto"/>
              <w:right w:val="single" w:sz="4" w:space="0" w:color="auto"/>
            </w:tcBorders>
            <w:shd w:val="clear" w:color="000000" w:fill="D8D8D8"/>
            <w:noWrap/>
            <w:vAlign w:val="center"/>
            <w:hideMark/>
          </w:tcPr>
          <w:p w:rsidR="00F56F9A" w:rsidRPr="00E668A2" w:rsidRDefault="001246CD" w:rsidP="00080DD0">
            <w:pPr>
              <w:jc w:val="center"/>
              <w:rPr>
                <w:rFonts w:ascii="Arial" w:hAnsi="Arial" w:cs="Arial"/>
                <w:sz w:val="20"/>
                <w:szCs w:val="20"/>
              </w:rPr>
            </w:pPr>
            <w:r>
              <w:rPr>
                <w:rFonts w:ascii="Arial" w:hAnsi="Arial" w:cs="Arial"/>
                <w:sz w:val="20"/>
                <w:szCs w:val="20"/>
              </w:rPr>
              <w:t>Wilaya</w:t>
            </w:r>
            <w:r w:rsidR="00F56F9A" w:rsidRPr="00E668A2">
              <w:rPr>
                <w:rFonts w:ascii="Arial" w:hAnsi="Arial" w:cs="Arial"/>
                <w:sz w:val="20"/>
                <w:szCs w:val="20"/>
              </w:rPr>
              <w:t xml:space="preserve"> </w:t>
            </w:r>
          </w:p>
        </w:tc>
        <w:tc>
          <w:tcPr>
            <w:tcW w:w="1418" w:type="dxa"/>
            <w:tcBorders>
              <w:top w:val="single" w:sz="4" w:space="0" w:color="auto"/>
              <w:left w:val="nil"/>
              <w:bottom w:val="single" w:sz="4" w:space="0" w:color="auto"/>
              <w:right w:val="single" w:sz="4" w:space="0" w:color="auto"/>
            </w:tcBorders>
            <w:shd w:val="clear" w:color="000000" w:fill="D8D8D8"/>
          </w:tcPr>
          <w:p w:rsidR="00F56F9A" w:rsidRPr="00E668A2" w:rsidRDefault="00F56F9A" w:rsidP="00080DD0">
            <w:pPr>
              <w:jc w:val="center"/>
              <w:rPr>
                <w:rFonts w:ascii="Arial" w:hAnsi="Arial" w:cs="Arial"/>
                <w:sz w:val="20"/>
                <w:szCs w:val="20"/>
              </w:rPr>
            </w:pPr>
            <w:r>
              <w:rPr>
                <w:rFonts w:ascii="Arial" w:hAnsi="Arial" w:cs="Arial"/>
                <w:sz w:val="20"/>
                <w:szCs w:val="20"/>
              </w:rPr>
              <w:t>Taux d'absorption FRD 2011</w:t>
            </w:r>
            <w:r w:rsidRPr="00E668A2">
              <w:rPr>
                <w:rFonts w:ascii="Arial" w:hAnsi="Arial" w:cs="Arial"/>
                <w:sz w:val="20"/>
                <w:szCs w:val="20"/>
              </w:rPr>
              <w:t xml:space="preserve"> selon l'ancienne méthode de </w:t>
            </w:r>
            <w:proofErr w:type="gramStart"/>
            <w:r w:rsidRPr="00E668A2">
              <w:rPr>
                <w:rFonts w:ascii="Arial" w:hAnsi="Arial" w:cs="Arial"/>
                <w:sz w:val="20"/>
                <w:szCs w:val="20"/>
              </w:rPr>
              <w:t>calcul</w:t>
            </w:r>
            <w:proofErr w:type="gramEnd"/>
            <w:r w:rsidRPr="00E668A2">
              <w:rPr>
                <w:rFonts w:ascii="Arial" w:hAnsi="Arial" w:cs="Arial"/>
                <w:sz w:val="20"/>
                <w:szCs w:val="20"/>
              </w:rPr>
              <w:br/>
              <w:t>(F</w:t>
            </w:r>
            <w:r>
              <w:rPr>
                <w:rFonts w:ascii="Arial" w:hAnsi="Arial" w:cs="Arial"/>
                <w:sz w:val="20"/>
                <w:szCs w:val="20"/>
              </w:rPr>
              <w:t>*</w:t>
            </w:r>
            <w:r w:rsidRPr="00E668A2">
              <w:rPr>
                <w:rFonts w:ascii="Arial" w:hAnsi="Arial" w:cs="Arial"/>
                <w:sz w:val="20"/>
                <w:szCs w:val="20"/>
              </w:rPr>
              <w:t>)</w:t>
            </w:r>
          </w:p>
        </w:tc>
        <w:tc>
          <w:tcPr>
            <w:tcW w:w="141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F56F9A" w:rsidRPr="00583806" w:rsidRDefault="00F56F9A" w:rsidP="00080DD0">
            <w:pPr>
              <w:jc w:val="center"/>
              <w:rPr>
                <w:rFonts w:ascii="Arial" w:hAnsi="Arial" w:cs="Arial"/>
                <w:b/>
                <w:sz w:val="20"/>
                <w:szCs w:val="20"/>
              </w:rPr>
            </w:pPr>
            <w:r w:rsidRPr="00583806">
              <w:rPr>
                <w:rFonts w:ascii="Arial" w:hAnsi="Arial" w:cs="Arial"/>
                <w:b/>
                <w:sz w:val="20"/>
                <w:szCs w:val="20"/>
              </w:rPr>
              <w:t>Taux d'absorption FRD 2012 s</w:t>
            </w:r>
            <w:r>
              <w:rPr>
                <w:rFonts w:ascii="Arial" w:hAnsi="Arial" w:cs="Arial"/>
                <w:b/>
                <w:sz w:val="20"/>
                <w:szCs w:val="20"/>
              </w:rPr>
              <w:t>elon la méthode appliquée auparavant</w:t>
            </w:r>
            <w:r w:rsidRPr="00583806">
              <w:rPr>
                <w:rFonts w:ascii="Arial" w:hAnsi="Arial" w:cs="Arial"/>
                <w:b/>
                <w:sz w:val="20"/>
                <w:szCs w:val="20"/>
              </w:rPr>
              <w:br/>
              <w:t>(F)</w:t>
            </w:r>
          </w:p>
        </w:tc>
        <w:tc>
          <w:tcPr>
            <w:tcW w:w="1560" w:type="dxa"/>
            <w:tcBorders>
              <w:top w:val="single" w:sz="4" w:space="0" w:color="auto"/>
              <w:left w:val="nil"/>
              <w:bottom w:val="single" w:sz="4" w:space="0" w:color="auto"/>
              <w:right w:val="single" w:sz="4" w:space="0" w:color="auto"/>
            </w:tcBorders>
            <w:shd w:val="clear" w:color="000000" w:fill="D8D8D8"/>
            <w:vAlign w:val="center"/>
          </w:tcPr>
          <w:p w:rsidR="00F56F9A" w:rsidRDefault="00F56F9A" w:rsidP="00080DD0">
            <w:pPr>
              <w:jc w:val="center"/>
              <w:rPr>
                <w:rFonts w:ascii="Arial" w:hAnsi="Arial" w:cs="Arial"/>
                <w:sz w:val="20"/>
                <w:szCs w:val="20"/>
              </w:rPr>
            </w:pPr>
            <w:r>
              <w:rPr>
                <w:rFonts w:ascii="Arial" w:hAnsi="Arial" w:cs="Arial"/>
                <w:sz w:val="20"/>
                <w:szCs w:val="20"/>
              </w:rPr>
              <w:t xml:space="preserve">Taux d'absorption FRD 2011 calculé % aux crédits cumulés disponibles </w:t>
            </w:r>
            <w:proofErr w:type="gramStart"/>
            <w:r>
              <w:rPr>
                <w:rFonts w:ascii="Arial" w:hAnsi="Arial" w:cs="Arial"/>
                <w:sz w:val="20"/>
                <w:szCs w:val="20"/>
              </w:rPr>
              <w:t>©</w:t>
            </w:r>
            <w:proofErr w:type="gramEnd"/>
            <w:r>
              <w:rPr>
                <w:rFonts w:ascii="Arial" w:hAnsi="Arial" w:cs="Arial"/>
                <w:sz w:val="20"/>
                <w:szCs w:val="20"/>
              </w:rPr>
              <w:br/>
              <w:t>(G*)</w:t>
            </w:r>
          </w:p>
        </w:tc>
        <w:tc>
          <w:tcPr>
            <w:tcW w:w="141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F56F9A" w:rsidRPr="008C5C5D" w:rsidRDefault="00F56F9A" w:rsidP="00080DD0">
            <w:pPr>
              <w:jc w:val="center"/>
              <w:rPr>
                <w:rFonts w:ascii="Arial" w:hAnsi="Arial" w:cs="Arial"/>
                <w:b/>
                <w:sz w:val="20"/>
                <w:szCs w:val="20"/>
              </w:rPr>
            </w:pPr>
            <w:r w:rsidRPr="008C5C5D">
              <w:rPr>
                <w:rFonts w:ascii="Arial" w:hAnsi="Arial" w:cs="Arial"/>
                <w:b/>
                <w:sz w:val="20"/>
                <w:szCs w:val="20"/>
              </w:rPr>
              <w:t>Taux d'absorption FRD 2012 à partir des crédits cumulés disponibles</w:t>
            </w:r>
            <w:r w:rsidRPr="008C5C5D">
              <w:rPr>
                <w:rFonts w:ascii="Arial" w:hAnsi="Arial" w:cs="Arial"/>
                <w:b/>
                <w:sz w:val="20"/>
                <w:szCs w:val="20"/>
              </w:rPr>
              <w:br/>
              <w:t>(G)</w:t>
            </w:r>
          </w:p>
        </w:tc>
        <w:tc>
          <w:tcPr>
            <w:tcW w:w="1418"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F56F9A" w:rsidRDefault="00F56F9A" w:rsidP="00080DD0">
            <w:pPr>
              <w:jc w:val="center"/>
              <w:rPr>
                <w:rFonts w:ascii="Arial" w:hAnsi="Arial" w:cs="Arial"/>
                <w:sz w:val="20"/>
                <w:szCs w:val="20"/>
              </w:rPr>
            </w:pPr>
            <w:r>
              <w:rPr>
                <w:rFonts w:ascii="Arial" w:hAnsi="Arial" w:cs="Arial"/>
                <w:sz w:val="20"/>
                <w:szCs w:val="20"/>
              </w:rPr>
              <w:t xml:space="preserve">Taux d'absorption FRD 2011 réellement mobilisé </w:t>
            </w:r>
            <w:r>
              <w:rPr>
                <w:rFonts w:ascii="Arial" w:hAnsi="Arial" w:cs="Arial"/>
                <w:sz w:val="20"/>
                <w:szCs w:val="20"/>
              </w:rPr>
              <w:br/>
              <w:t>(H*)</w:t>
            </w:r>
          </w:p>
        </w:tc>
        <w:tc>
          <w:tcPr>
            <w:tcW w:w="170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F56F9A" w:rsidRPr="00E668A2" w:rsidRDefault="00F56F9A" w:rsidP="00080DD0">
            <w:pPr>
              <w:jc w:val="center"/>
              <w:rPr>
                <w:rFonts w:ascii="Arial" w:hAnsi="Arial" w:cs="Arial"/>
                <w:b/>
                <w:sz w:val="20"/>
                <w:szCs w:val="20"/>
              </w:rPr>
            </w:pPr>
            <w:r w:rsidRPr="00E668A2">
              <w:rPr>
                <w:rFonts w:ascii="Arial" w:hAnsi="Arial" w:cs="Arial"/>
                <w:b/>
                <w:sz w:val="20"/>
                <w:szCs w:val="20"/>
              </w:rPr>
              <w:t xml:space="preserve">Taux d'absorption FRD 2012 réellement mobilisé </w:t>
            </w:r>
            <w:r>
              <w:rPr>
                <w:rFonts w:ascii="Arial" w:hAnsi="Arial" w:cs="Arial"/>
                <w:b/>
                <w:sz w:val="20"/>
                <w:szCs w:val="20"/>
              </w:rPr>
              <w:t>sur l’exercice d’attribution</w:t>
            </w:r>
            <w:r w:rsidRPr="00E668A2">
              <w:rPr>
                <w:rFonts w:ascii="Arial" w:hAnsi="Arial" w:cs="Arial"/>
                <w:b/>
                <w:sz w:val="20"/>
                <w:szCs w:val="20"/>
              </w:rPr>
              <w:br/>
              <w:t>(H)</w:t>
            </w:r>
          </w:p>
        </w:tc>
      </w:tr>
      <w:tr w:rsidR="00F56F9A" w:rsidRPr="00E668A2" w:rsidTr="00080DD0">
        <w:trPr>
          <w:trHeight w:val="255"/>
        </w:trPr>
        <w:tc>
          <w:tcPr>
            <w:tcW w:w="1716" w:type="dxa"/>
            <w:tcBorders>
              <w:top w:val="nil"/>
              <w:left w:val="single" w:sz="8" w:space="0" w:color="auto"/>
              <w:bottom w:val="single" w:sz="4" w:space="0" w:color="auto"/>
              <w:right w:val="single" w:sz="4" w:space="0" w:color="auto"/>
            </w:tcBorders>
            <w:shd w:val="clear" w:color="auto" w:fill="auto"/>
            <w:noWrap/>
            <w:vAlign w:val="bottom"/>
            <w:hideMark/>
          </w:tcPr>
          <w:p w:rsidR="00F56F9A" w:rsidRPr="00E668A2" w:rsidRDefault="00F56F9A" w:rsidP="00080DD0">
            <w:pPr>
              <w:rPr>
                <w:rFonts w:ascii="Arial" w:hAnsi="Arial" w:cs="Arial"/>
                <w:sz w:val="20"/>
                <w:szCs w:val="20"/>
              </w:rPr>
            </w:pPr>
            <w:r w:rsidRPr="00A8380E">
              <w:rPr>
                <w:rFonts w:ascii="Arial" w:hAnsi="Arial" w:cs="Arial"/>
                <w:sz w:val="20"/>
                <w:szCs w:val="20"/>
              </w:rPr>
              <w:t xml:space="preserve"> </w:t>
            </w:r>
            <w:proofErr w:type="spellStart"/>
            <w:r w:rsidRPr="00E668A2">
              <w:rPr>
                <w:rFonts w:ascii="Arial" w:hAnsi="Arial" w:cs="Arial"/>
                <w:sz w:val="20"/>
                <w:szCs w:val="20"/>
              </w:rPr>
              <w:t>Hodh</w:t>
            </w:r>
            <w:proofErr w:type="spellEnd"/>
            <w:r w:rsidRPr="00E668A2">
              <w:rPr>
                <w:rFonts w:ascii="Arial" w:hAnsi="Arial" w:cs="Arial"/>
                <w:sz w:val="20"/>
                <w:szCs w:val="20"/>
              </w:rPr>
              <w:t xml:space="preserve"> </w:t>
            </w:r>
            <w:proofErr w:type="spellStart"/>
            <w:r w:rsidRPr="00E668A2">
              <w:rPr>
                <w:rFonts w:ascii="Arial" w:hAnsi="Arial" w:cs="Arial"/>
                <w:sz w:val="20"/>
                <w:szCs w:val="20"/>
              </w:rPr>
              <w:t>Echargui</w:t>
            </w:r>
            <w:proofErr w:type="spellEnd"/>
            <w:r w:rsidRPr="00E668A2">
              <w:rPr>
                <w:rFonts w:ascii="Arial" w:hAnsi="Arial" w:cs="Arial"/>
                <w:sz w:val="20"/>
                <w:szCs w:val="20"/>
              </w:rPr>
              <w:t xml:space="preserve"> </w:t>
            </w:r>
          </w:p>
        </w:tc>
        <w:tc>
          <w:tcPr>
            <w:tcW w:w="1418" w:type="dxa"/>
            <w:tcBorders>
              <w:top w:val="single" w:sz="4" w:space="0" w:color="auto"/>
              <w:left w:val="nil"/>
              <w:bottom w:val="single" w:sz="4" w:space="0" w:color="auto"/>
              <w:right w:val="single" w:sz="4" w:space="0" w:color="auto"/>
            </w:tcBorders>
            <w:vAlign w:val="bottom"/>
          </w:tcPr>
          <w:p w:rsidR="00F56F9A" w:rsidRDefault="00F56F9A" w:rsidP="00080DD0">
            <w:pPr>
              <w:jc w:val="center"/>
              <w:rPr>
                <w:rFonts w:ascii="Arial" w:hAnsi="Arial" w:cs="Arial"/>
                <w:sz w:val="20"/>
                <w:szCs w:val="20"/>
              </w:rPr>
            </w:pPr>
            <w:r>
              <w:rPr>
                <w:rFonts w:ascii="Arial" w:hAnsi="Arial" w:cs="Arial"/>
                <w:sz w:val="20"/>
                <w:szCs w:val="20"/>
              </w:rPr>
              <w:t>110,43%</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F56F9A" w:rsidRPr="00583806" w:rsidRDefault="00F56F9A" w:rsidP="00080DD0">
            <w:pPr>
              <w:jc w:val="center"/>
              <w:rPr>
                <w:rFonts w:ascii="Arial" w:hAnsi="Arial" w:cs="Arial"/>
                <w:b/>
                <w:sz w:val="20"/>
                <w:szCs w:val="20"/>
              </w:rPr>
            </w:pPr>
            <w:r w:rsidRPr="00583806">
              <w:rPr>
                <w:rFonts w:ascii="Arial" w:hAnsi="Arial" w:cs="Arial"/>
                <w:b/>
                <w:sz w:val="20"/>
                <w:szCs w:val="20"/>
              </w:rPr>
              <w:t>94,02%</w:t>
            </w:r>
          </w:p>
        </w:tc>
        <w:tc>
          <w:tcPr>
            <w:tcW w:w="1560" w:type="dxa"/>
            <w:tcBorders>
              <w:top w:val="single" w:sz="4" w:space="0" w:color="auto"/>
              <w:left w:val="nil"/>
              <w:bottom w:val="single" w:sz="4" w:space="0" w:color="auto"/>
              <w:right w:val="single" w:sz="4" w:space="0" w:color="auto"/>
            </w:tcBorders>
            <w:vAlign w:val="bottom"/>
          </w:tcPr>
          <w:p w:rsidR="00F56F9A" w:rsidRDefault="00F56F9A" w:rsidP="00080DD0">
            <w:pPr>
              <w:jc w:val="center"/>
              <w:rPr>
                <w:rFonts w:ascii="Arial" w:hAnsi="Arial" w:cs="Arial"/>
                <w:sz w:val="20"/>
                <w:szCs w:val="20"/>
              </w:rPr>
            </w:pPr>
            <w:r>
              <w:rPr>
                <w:rFonts w:ascii="Arial" w:hAnsi="Arial" w:cs="Arial"/>
                <w:sz w:val="20"/>
                <w:szCs w:val="20"/>
              </w:rPr>
              <w:t>68,66%</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F56F9A" w:rsidRPr="00B624B2" w:rsidRDefault="00F56F9A" w:rsidP="00080DD0">
            <w:pPr>
              <w:jc w:val="center"/>
              <w:rPr>
                <w:rFonts w:ascii="Arial" w:hAnsi="Arial" w:cs="Arial"/>
                <w:b/>
                <w:sz w:val="20"/>
                <w:szCs w:val="20"/>
              </w:rPr>
            </w:pPr>
            <w:r w:rsidRPr="00B624B2">
              <w:rPr>
                <w:rFonts w:ascii="Arial" w:hAnsi="Arial" w:cs="Arial"/>
                <w:b/>
                <w:sz w:val="20"/>
                <w:szCs w:val="20"/>
              </w:rPr>
              <w:t>65,71%</w:t>
            </w:r>
          </w:p>
        </w:tc>
        <w:tc>
          <w:tcPr>
            <w:tcW w:w="1418" w:type="dxa"/>
            <w:tcBorders>
              <w:top w:val="single" w:sz="4" w:space="0" w:color="auto"/>
              <w:left w:val="nil"/>
              <w:bottom w:val="single" w:sz="4" w:space="0" w:color="auto"/>
              <w:right w:val="single" w:sz="4" w:space="0" w:color="auto"/>
            </w:tcBorders>
            <w:vAlign w:val="bottom"/>
          </w:tcPr>
          <w:p w:rsidR="00F56F9A" w:rsidRPr="00B41CA5" w:rsidRDefault="00F56F9A" w:rsidP="00080DD0">
            <w:pPr>
              <w:jc w:val="center"/>
              <w:rPr>
                <w:rFonts w:ascii="Arial" w:hAnsi="Arial" w:cs="Arial"/>
                <w:sz w:val="20"/>
                <w:szCs w:val="20"/>
              </w:rPr>
            </w:pPr>
            <w:r w:rsidRPr="00B41CA5">
              <w:rPr>
                <w:rFonts w:ascii="Arial" w:hAnsi="Arial" w:cs="Arial"/>
                <w:sz w:val="20"/>
                <w:szCs w:val="20"/>
              </w:rPr>
              <w:t>49,60%</w:t>
            </w:r>
          </w:p>
        </w:tc>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F56F9A" w:rsidRPr="00833434" w:rsidRDefault="00F56F9A" w:rsidP="00080DD0">
            <w:pPr>
              <w:jc w:val="center"/>
              <w:rPr>
                <w:rFonts w:ascii="Arial" w:hAnsi="Arial" w:cs="Arial"/>
                <w:b/>
                <w:sz w:val="20"/>
                <w:szCs w:val="20"/>
              </w:rPr>
            </w:pPr>
            <w:r w:rsidRPr="00833434">
              <w:rPr>
                <w:rFonts w:ascii="Arial" w:hAnsi="Arial" w:cs="Arial"/>
                <w:b/>
                <w:sz w:val="20"/>
                <w:szCs w:val="20"/>
              </w:rPr>
              <w:t>50,94%</w:t>
            </w:r>
          </w:p>
        </w:tc>
      </w:tr>
      <w:tr w:rsidR="00F56F9A" w:rsidRPr="00E668A2" w:rsidTr="00B45BB2">
        <w:trPr>
          <w:trHeight w:val="255"/>
        </w:trPr>
        <w:tc>
          <w:tcPr>
            <w:tcW w:w="1716" w:type="dxa"/>
            <w:tcBorders>
              <w:top w:val="nil"/>
              <w:left w:val="single" w:sz="8" w:space="0" w:color="auto"/>
              <w:bottom w:val="single" w:sz="4" w:space="0" w:color="auto"/>
              <w:right w:val="single" w:sz="4" w:space="0" w:color="auto"/>
            </w:tcBorders>
            <w:shd w:val="clear" w:color="auto" w:fill="EAF1DD" w:themeFill="accent3" w:themeFillTint="33"/>
            <w:noWrap/>
            <w:vAlign w:val="bottom"/>
            <w:hideMark/>
          </w:tcPr>
          <w:p w:rsidR="00F56F9A" w:rsidRPr="00E668A2" w:rsidRDefault="00F56F9A" w:rsidP="00080DD0">
            <w:pPr>
              <w:rPr>
                <w:rFonts w:ascii="Arial" w:hAnsi="Arial" w:cs="Arial"/>
                <w:sz w:val="20"/>
                <w:szCs w:val="20"/>
              </w:rPr>
            </w:pPr>
            <w:r w:rsidRPr="00E668A2">
              <w:rPr>
                <w:rFonts w:ascii="Arial" w:hAnsi="Arial" w:cs="Arial"/>
                <w:sz w:val="20"/>
                <w:szCs w:val="20"/>
              </w:rPr>
              <w:t xml:space="preserve"> </w:t>
            </w:r>
            <w:proofErr w:type="spellStart"/>
            <w:r w:rsidRPr="00E668A2">
              <w:rPr>
                <w:rFonts w:ascii="Arial" w:hAnsi="Arial" w:cs="Arial"/>
                <w:sz w:val="20"/>
                <w:szCs w:val="20"/>
              </w:rPr>
              <w:t>Hodh</w:t>
            </w:r>
            <w:proofErr w:type="spellEnd"/>
            <w:r w:rsidRPr="00E668A2">
              <w:rPr>
                <w:rFonts w:ascii="Arial" w:hAnsi="Arial" w:cs="Arial"/>
                <w:sz w:val="20"/>
                <w:szCs w:val="20"/>
              </w:rPr>
              <w:t xml:space="preserve"> El Gharbi </w:t>
            </w:r>
          </w:p>
        </w:tc>
        <w:tc>
          <w:tcPr>
            <w:tcW w:w="1418" w:type="dxa"/>
            <w:tcBorders>
              <w:top w:val="single" w:sz="4" w:space="0" w:color="auto"/>
              <w:left w:val="nil"/>
              <w:bottom w:val="single" w:sz="4" w:space="0" w:color="auto"/>
              <w:right w:val="single" w:sz="4" w:space="0" w:color="auto"/>
            </w:tcBorders>
            <w:shd w:val="clear" w:color="auto" w:fill="EAF1DD" w:themeFill="accent3" w:themeFillTint="33"/>
            <w:vAlign w:val="bottom"/>
          </w:tcPr>
          <w:p w:rsidR="00F56F9A" w:rsidRDefault="00F56F9A" w:rsidP="00080DD0">
            <w:pPr>
              <w:jc w:val="center"/>
              <w:rPr>
                <w:rFonts w:ascii="Arial" w:hAnsi="Arial" w:cs="Arial"/>
                <w:sz w:val="20"/>
                <w:szCs w:val="20"/>
              </w:rPr>
            </w:pPr>
            <w:r>
              <w:rPr>
                <w:rFonts w:ascii="Arial" w:hAnsi="Arial" w:cs="Arial"/>
                <w:sz w:val="20"/>
                <w:szCs w:val="20"/>
              </w:rPr>
              <w:t>104,47%</w:t>
            </w:r>
          </w:p>
        </w:tc>
        <w:tc>
          <w:tcPr>
            <w:tcW w:w="1417" w:type="dxa"/>
            <w:tcBorders>
              <w:top w:val="nil"/>
              <w:left w:val="single" w:sz="4" w:space="0" w:color="auto"/>
              <w:bottom w:val="single" w:sz="4" w:space="0" w:color="auto"/>
              <w:right w:val="single" w:sz="4" w:space="0" w:color="auto"/>
            </w:tcBorders>
            <w:shd w:val="clear" w:color="auto" w:fill="EAF1DD" w:themeFill="accent3" w:themeFillTint="33"/>
            <w:noWrap/>
            <w:vAlign w:val="bottom"/>
            <w:hideMark/>
          </w:tcPr>
          <w:p w:rsidR="00F56F9A" w:rsidRPr="00583806" w:rsidRDefault="00F56F9A" w:rsidP="00080DD0">
            <w:pPr>
              <w:jc w:val="center"/>
              <w:rPr>
                <w:rFonts w:ascii="Arial" w:hAnsi="Arial" w:cs="Arial"/>
                <w:b/>
                <w:sz w:val="20"/>
                <w:szCs w:val="20"/>
              </w:rPr>
            </w:pPr>
            <w:r w:rsidRPr="00583806">
              <w:rPr>
                <w:rFonts w:ascii="Arial" w:hAnsi="Arial" w:cs="Arial"/>
                <w:b/>
                <w:sz w:val="20"/>
                <w:szCs w:val="20"/>
              </w:rPr>
              <w:t>98,66%</w:t>
            </w:r>
          </w:p>
        </w:tc>
        <w:tc>
          <w:tcPr>
            <w:tcW w:w="1560" w:type="dxa"/>
            <w:tcBorders>
              <w:top w:val="single" w:sz="4" w:space="0" w:color="auto"/>
              <w:left w:val="nil"/>
              <w:bottom w:val="single" w:sz="4" w:space="0" w:color="auto"/>
              <w:right w:val="single" w:sz="4" w:space="0" w:color="auto"/>
            </w:tcBorders>
            <w:shd w:val="clear" w:color="auto" w:fill="EAF1DD" w:themeFill="accent3" w:themeFillTint="33"/>
            <w:vAlign w:val="bottom"/>
          </w:tcPr>
          <w:p w:rsidR="00F56F9A" w:rsidRDefault="00F56F9A" w:rsidP="00080DD0">
            <w:pPr>
              <w:jc w:val="center"/>
              <w:rPr>
                <w:rFonts w:ascii="Arial" w:hAnsi="Arial" w:cs="Arial"/>
                <w:sz w:val="20"/>
                <w:szCs w:val="20"/>
              </w:rPr>
            </w:pPr>
            <w:r>
              <w:rPr>
                <w:rFonts w:ascii="Arial" w:hAnsi="Arial" w:cs="Arial"/>
                <w:sz w:val="20"/>
                <w:szCs w:val="20"/>
              </w:rPr>
              <w:t>87,42%</w:t>
            </w:r>
          </w:p>
        </w:tc>
        <w:tc>
          <w:tcPr>
            <w:tcW w:w="1417" w:type="dxa"/>
            <w:tcBorders>
              <w:top w:val="nil"/>
              <w:left w:val="single" w:sz="4" w:space="0" w:color="auto"/>
              <w:bottom w:val="single" w:sz="4" w:space="0" w:color="auto"/>
              <w:right w:val="single" w:sz="4" w:space="0" w:color="auto"/>
            </w:tcBorders>
            <w:shd w:val="clear" w:color="auto" w:fill="EAF1DD" w:themeFill="accent3" w:themeFillTint="33"/>
            <w:noWrap/>
            <w:vAlign w:val="bottom"/>
            <w:hideMark/>
          </w:tcPr>
          <w:p w:rsidR="00F56F9A" w:rsidRPr="00B624B2" w:rsidRDefault="00F56F9A" w:rsidP="00080DD0">
            <w:pPr>
              <w:jc w:val="center"/>
              <w:rPr>
                <w:rFonts w:ascii="Arial" w:hAnsi="Arial" w:cs="Arial"/>
                <w:b/>
                <w:sz w:val="20"/>
                <w:szCs w:val="20"/>
              </w:rPr>
            </w:pPr>
            <w:r w:rsidRPr="00B624B2">
              <w:rPr>
                <w:rFonts w:ascii="Arial" w:hAnsi="Arial" w:cs="Arial"/>
                <w:b/>
                <w:sz w:val="20"/>
                <w:szCs w:val="20"/>
              </w:rPr>
              <w:t>87,32%</w:t>
            </w:r>
          </w:p>
        </w:tc>
        <w:tc>
          <w:tcPr>
            <w:tcW w:w="1418" w:type="dxa"/>
            <w:tcBorders>
              <w:top w:val="single" w:sz="4" w:space="0" w:color="auto"/>
              <w:left w:val="nil"/>
              <w:bottom w:val="single" w:sz="4" w:space="0" w:color="auto"/>
              <w:right w:val="single" w:sz="4" w:space="0" w:color="auto"/>
            </w:tcBorders>
            <w:shd w:val="clear" w:color="auto" w:fill="EAF1DD" w:themeFill="accent3" w:themeFillTint="33"/>
            <w:vAlign w:val="bottom"/>
          </w:tcPr>
          <w:p w:rsidR="00F56F9A" w:rsidRPr="00B41CA5" w:rsidRDefault="00F56F9A" w:rsidP="00080DD0">
            <w:pPr>
              <w:jc w:val="center"/>
              <w:rPr>
                <w:rFonts w:ascii="Arial" w:hAnsi="Arial" w:cs="Arial"/>
                <w:sz w:val="20"/>
                <w:szCs w:val="20"/>
              </w:rPr>
            </w:pPr>
            <w:r w:rsidRPr="00B41CA5">
              <w:rPr>
                <w:rFonts w:ascii="Arial" w:hAnsi="Arial" w:cs="Arial"/>
                <w:sz w:val="20"/>
                <w:szCs w:val="20"/>
              </w:rPr>
              <w:t>84,97%</w:t>
            </w:r>
          </w:p>
        </w:tc>
        <w:tc>
          <w:tcPr>
            <w:tcW w:w="1700" w:type="dxa"/>
            <w:tcBorders>
              <w:top w:val="nil"/>
              <w:left w:val="single" w:sz="4" w:space="0" w:color="auto"/>
              <w:bottom w:val="single" w:sz="4" w:space="0" w:color="auto"/>
              <w:right w:val="single" w:sz="4" w:space="0" w:color="auto"/>
            </w:tcBorders>
            <w:shd w:val="clear" w:color="auto" w:fill="EAF1DD" w:themeFill="accent3" w:themeFillTint="33"/>
            <w:noWrap/>
            <w:vAlign w:val="bottom"/>
            <w:hideMark/>
          </w:tcPr>
          <w:p w:rsidR="00F56F9A" w:rsidRPr="00833434" w:rsidRDefault="00F56F9A" w:rsidP="00080DD0">
            <w:pPr>
              <w:jc w:val="center"/>
              <w:rPr>
                <w:rFonts w:ascii="Arial" w:hAnsi="Arial" w:cs="Arial"/>
                <w:b/>
                <w:sz w:val="20"/>
                <w:szCs w:val="20"/>
              </w:rPr>
            </w:pPr>
            <w:r w:rsidRPr="00833434">
              <w:rPr>
                <w:rFonts w:ascii="Arial" w:hAnsi="Arial" w:cs="Arial"/>
                <w:b/>
                <w:sz w:val="20"/>
                <w:szCs w:val="20"/>
              </w:rPr>
              <w:t>85,67%</w:t>
            </w:r>
          </w:p>
        </w:tc>
      </w:tr>
      <w:tr w:rsidR="00F56F9A" w:rsidRPr="00E668A2" w:rsidTr="00B45BB2">
        <w:trPr>
          <w:trHeight w:val="255"/>
        </w:trPr>
        <w:tc>
          <w:tcPr>
            <w:tcW w:w="1716"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F56F9A" w:rsidRPr="00E668A2" w:rsidRDefault="00F56F9A" w:rsidP="00080DD0">
            <w:pPr>
              <w:rPr>
                <w:rFonts w:ascii="Arial" w:hAnsi="Arial" w:cs="Arial"/>
                <w:sz w:val="20"/>
                <w:szCs w:val="20"/>
              </w:rPr>
            </w:pPr>
            <w:r w:rsidRPr="00E668A2">
              <w:rPr>
                <w:rFonts w:ascii="Arial" w:hAnsi="Arial" w:cs="Arial"/>
                <w:sz w:val="20"/>
                <w:szCs w:val="20"/>
              </w:rPr>
              <w:t xml:space="preserve"> </w:t>
            </w:r>
            <w:proofErr w:type="spellStart"/>
            <w:r w:rsidRPr="00E668A2">
              <w:rPr>
                <w:rFonts w:ascii="Arial" w:hAnsi="Arial" w:cs="Arial"/>
                <w:sz w:val="20"/>
                <w:szCs w:val="20"/>
              </w:rPr>
              <w:t>Assaba</w:t>
            </w:r>
            <w:proofErr w:type="spellEnd"/>
            <w:r w:rsidRPr="00E668A2">
              <w:rPr>
                <w:rFonts w:ascii="Arial" w:hAnsi="Arial" w:cs="Arial"/>
                <w:sz w:val="20"/>
                <w:szCs w:val="20"/>
              </w:rPr>
              <w:t xml:space="preserve"> </w:t>
            </w:r>
          </w:p>
        </w:tc>
        <w:tc>
          <w:tcPr>
            <w:tcW w:w="1418" w:type="dxa"/>
            <w:tcBorders>
              <w:top w:val="single" w:sz="4" w:space="0" w:color="auto"/>
              <w:left w:val="nil"/>
              <w:bottom w:val="single" w:sz="4" w:space="0" w:color="auto"/>
              <w:right w:val="single" w:sz="4" w:space="0" w:color="auto"/>
            </w:tcBorders>
            <w:vAlign w:val="bottom"/>
          </w:tcPr>
          <w:p w:rsidR="00F56F9A" w:rsidRDefault="00F56F9A" w:rsidP="00080DD0">
            <w:pPr>
              <w:jc w:val="center"/>
              <w:rPr>
                <w:rFonts w:ascii="Arial" w:hAnsi="Arial" w:cs="Arial"/>
                <w:sz w:val="20"/>
                <w:szCs w:val="20"/>
              </w:rPr>
            </w:pPr>
            <w:r>
              <w:rPr>
                <w:rFonts w:ascii="Arial" w:hAnsi="Arial" w:cs="Arial"/>
                <w:sz w:val="20"/>
                <w:szCs w:val="20"/>
              </w:rPr>
              <w:t>90,22%</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6F9A" w:rsidRPr="00583806" w:rsidRDefault="00F56F9A" w:rsidP="00080DD0">
            <w:pPr>
              <w:jc w:val="center"/>
              <w:rPr>
                <w:rFonts w:ascii="Arial" w:hAnsi="Arial" w:cs="Arial"/>
                <w:b/>
                <w:sz w:val="20"/>
                <w:szCs w:val="20"/>
              </w:rPr>
            </w:pPr>
            <w:r w:rsidRPr="00583806">
              <w:rPr>
                <w:rFonts w:ascii="Arial" w:hAnsi="Arial" w:cs="Arial"/>
                <w:b/>
                <w:sz w:val="20"/>
                <w:szCs w:val="20"/>
              </w:rPr>
              <w:t>96,37%</w:t>
            </w:r>
          </w:p>
        </w:tc>
        <w:tc>
          <w:tcPr>
            <w:tcW w:w="1560" w:type="dxa"/>
            <w:tcBorders>
              <w:top w:val="single" w:sz="4" w:space="0" w:color="auto"/>
              <w:left w:val="nil"/>
              <w:bottom w:val="single" w:sz="4" w:space="0" w:color="auto"/>
              <w:right w:val="single" w:sz="4" w:space="0" w:color="auto"/>
            </w:tcBorders>
            <w:vAlign w:val="bottom"/>
          </w:tcPr>
          <w:p w:rsidR="00F56F9A" w:rsidRDefault="00F56F9A" w:rsidP="00080DD0">
            <w:pPr>
              <w:jc w:val="center"/>
              <w:rPr>
                <w:rFonts w:ascii="Arial" w:hAnsi="Arial" w:cs="Arial"/>
                <w:sz w:val="20"/>
                <w:szCs w:val="20"/>
              </w:rPr>
            </w:pPr>
            <w:r>
              <w:rPr>
                <w:rFonts w:ascii="Arial" w:hAnsi="Arial" w:cs="Arial"/>
                <w:sz w:val="20"/>
                <w:szCs w:val="20"/>
              </w:rPr>
              <w:t>71,24%</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6F9A" w:rsidRPr="00B624B2" w:rsidRDefault="00F56F9A" w:rsidP="00080DD0">
            <w:pPr>
              <w:jc w:val="center"/>
              <w:rPr>
                <w:rFonts w:ascii="Arial" w:hAnsi="Arial" w:cs="Arial"/>
                <w:b/>
                <w:sz w:val="20"/>
                <w:szCs w:val="20"/>
              </w:rPr>
            </w:pPr>
            <w:r w:rsidRPr="00B624B2">
              <w:rPr>
                <w:rFonts w:ascii="Arial" w:hAnsi="Arial" w:cs="Arial"/>
                <w:b/>
                <w:sz w:val="20"/>
                <w:szCs w:val="20"/>
              </w:rPr>
              <w:t>73,36%</w:t>
            </w:r>
          </w:p>
        </w:tc>
        <w:tc>
          <w:tcPr>
            <w:tcW w:w="1418" w:type="dxa"/>
            <w:tcBorders>
              <w:top w:val="single" w:sz="4" w:space="0" w:color="auto"/>
              <w:left w:val="nil"/>
              <w:bottom w:val="single" w:sz="4" w:space="0" w:color="auto"/>
              <w:right w:val="single" w:sz="4" w:space="0" w:color="auto"/>
            </w:tcBorders>
            <w:vAlign w:val="bottom"/>
          </w:tcPr>
          <w:p w:rsidR="00F56F9A" w:rsidRPr="00B41CA5" w:rsidRDefault="00F56F9A" w:rsidP="00080DD0">
            <w:pPr>
              <w:jc w:val="center"/>
              <w:rPr>
                <w:rFonts w:ascii="Arial" w:hAnsi="Arial" w:cs="Arial"/>
                <w:sz w:val="20"/>
                <w:szCs w:val="20"/>
              </w:rPr>
            </w:pPr>
            <w:r w:rsidRPr="00B41CA5">
              <w:rPr>
                <w:rFonts w:ascii="Arial" w:hAnsi="Arial" w:cs="Arial"/>
                <w:sz w:val="20"/>
                <w:szCs w:val="20"/>
              </w:rPr>
              <w:t>63,58%</w:t>
            </w:r>
          </w:p>
        </w:tc>
        <w:tc>
          <w:tcPr>
            <w:tcW w:w="1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6F9A" w:rsidRPr="00833434" w:rsidRDefault="00F56F9A" w:rsidP="00080DD0">
            <w:pPr>
              <w:jc w:val="center"/>
              <w:rPr>
                <w:rFonts w:ascii="Arial" w:hAnsi="Arial" w:cs="Arial"/>
                <w:b/>
                <w:sz w:val="20"/>
                <w:szCs w:val="20"/>
              </w:rPr>
            </w:pPr>
            <w:r w:rsidRPr="00833434">
              <w:rPr>
                <w:rFonts w:ascii="Arial" w:hAnsi="Arial" w:cs="Arial"/>
                <w:b/>
                <w:sz w:val="20"/>
                <w:szCs w:val="20"/>
              </w:rPr>
              <w:t>64,99%</w:t>
            </w:r>
          </w:p>
        </w:tc>
      </w:tr>
      <w:tr w:rsidR="00F56F9A" w:rsidRPr="00E668A2" w:rsidTr="00080DD0">
        <w:trPr>
          <w:trHeight w:val="255"/>
        </w:trPr>
        <w:tc>
          <w:tcPr>
            <w:tcW w:w="1716" w:type="dxa"/>
            <w:tcBorders>
              <w:top w:val="nil"/>
              <w:left w:val="single" w:sz="8" w:space="0" w:color="auto"/>
              <w:bottom w:val="single" w:sz="4" w:space="0" w:color="auto"/>
              <w:right w:val="single" w:sz="4" w:space="0" w:color="auto"/>
            </w:tcBorders>
            <w:shd w:val="clear" w:color="auto" w:fill="EAF1DD" w:themeFill="accent3" w:themeFillTint="33"/>
            <w:noWrap/>
            <w:vAlign w:val="bottom"/>
            <w:hideMark/>
          </w:tcPr>
          <w:p w:rsidR="00F56F9A" w:rsidRPr="00E668A2" w:rsidRDefault="00F56F9A" w:rsidP="00080DD0">
            <w:pPr>
              <w:rPr>
                <w:rFonts w:ascii="Arial" w:hAnsi="Arial" w:cs="Arial"/>
                <w:sz w:val="20"/>
                <w:szCs w:val="20"/>
              </w:rPr>
            </w:pPr>
            <w:r w:rsidRPr="00E668A2">
              <w:rPr>
                <w:rFonts w:ascii="Arial" w:hAnsi="Arial" w:cs="Arial"/>
                <w:sz w:val="20"/>
                <w:szCs w:val="20"/>
              </w:rPr>
              <w:t xml:space="preserve"> </w:t>
            </w:r>
            <w:proofErr w:type="spellStart"/>
            <w:r w:rsidRPr="00E668A2">
              <w:rPr>
                <w:rFonts w:ascii="Arial" w:hAnsi="Arial" w:cs="Arial"/>
                <w:sz w:val="20"/>
                <w:szCs w:val="20"/>
              </w:rPr>
              <w:t>Gorgol</w:t>
            </w:r>
            <w:proofErr w:type="spellEnd"/>
            <w:r w:rsidRPr="00E668A2">
              <w:rPr>
                <w:rFonts w:ascii="Arial" w:hAnsi="Arial" w:cs="Arial"/>
                <w:sz w:val="20"/>
                <w:szCs w:val="20"/>
              </w:rPr>
              <w:t xml:space="preserve"> </w:t>
            </w:r>
          </w:p>
        </w:tc>
        <w:tc>
          <w:tcPr>
            <w:tcW w:w="1418" w:type="dxa"/>
            <w:tcBorders>
              <w:top w:val="single" w:sz="4" w:space="0" w:color="auto"/>
              <w:left w:val="nil"/>
              <w:bottom w:val="single" w:sz="4" w:space="0" w:color="auto"/>
              <w:right w:val="single" w:sz="4" w:space="0" w:color="auto"/>
            </w:tcBorders>
            <w:shd w:val="clear" w:color="auto" w:fill="EAF1DD" w:themeFill="accent3" w:themeFillTint="33"/>
            <w:vAlign w:val="bottom"/>
          </w:tcPr>
          <w:p w:rsidR="00F56F9A" w:rsidRDefault="00F56F9A" w:rsidP="00080DD0">
            <w:pPr>
              <w:jc w:val="center"/>
              <w:rPr>
                <w:rFonts w:ascii="Arial" w:hAnsi="Arial" w:cs="Arial"/>
                <w:sz w:val="20"/>
                <w:szCs w:val="20"/>
              </w:rPr>
            </w:pPr>
            <w:r>
              <w:rPr>
                <w:rFonts w:ascii="Arial" w:hAnsi="Arial" w:cs="Arial"/>
                <w:sz w:val="20"/>
                <w:szCs w:val="20"/>
              </w:rPr>
              <w:t>103,21%</w:t>
            </w:r>
          </w:p>
        </w:tc>
        <w:tc>
          <w:tcPr>
            <w:tcW w:w="1417" w:type="dxa"/>
            <w:tcBorders>
              <w:top w:val="nil"/>
              <w:left w:val="single" w:sz="4" w:space="0" w:color="auto"/>
              <w:bottom w:val="single" w:sz="4" w:space="0" w:color="auto"/>
              <w:right w:val="single" w:sz="4" w:space="0" w:color="auto"/>
            </w:tcBorders>
            <w:shd w:val="clear" w:color="auto" w:fill="EAF1DD" w:themeFill="accent3" w:themeFillTint="33"/>
            <w:noWrap/>
            <w:vAlign w:val="bottom"/>
            <w:hideMark/>
          </w:tcPr>
          <w:p w:rsidR="00F56F9A" w:rsidRPr="00583806" w:rsidRDefault="00F56F9A" w:rsidP="00080DD0">
            <w:pPr>
              <w:jc w:val="center"/>
              <w:rPr>
                <w:rFonts w:ascii="Arial" w:hAnsi="Arial" w:cs="Arial"/>
                <w:b/>
                <w:sz w:val="20"/>
                <w:szCs w:val="20"/>
              </w:rPr>
            </w:pPr>
            <w:r w:rsidRPr="00583806">
              <w:rPr>
                <w:rFonts w:ascii="Arial" w:hAnsi="Arial" w:cs="Arial"/>
                <w:b/>
                <w:sz w:val="20"/>
                <w:szCs w:val="20"/>
              </w:rPr>
              <w:t>98,89%</w:t>
            </w:r>
          </w:p>
        </w:tc>
        <w:tc>
          <w:tcPr>
            <w:tcW w:w="1560" w:type="dxa"/>
            <w:tcBorders>
              <w:top w:val="single" w:sz="4" w:space="0" w:color="auto"/>
              <w:left w:val="nil"/>
              <w:bottom w:val="single" w:sz="4" w:space="0" w:color="auto"/>
              <w:right w:val="single" w:sz="4" w:space="0" w:color="auto"/>
            </w:tcBorders>
            <w:shd w:val="clear" w:color="auto" w:fill="EAF1DD" w:themeFill="accent3" w:themeFillTint="33"/>
            <w:vAlign w:val="bottom"/>
          </w:tcPr>
          <w:p w:rsidR="00F56F9A" w:rsidRDefault="00F56F9A" w:rsidP="00080DD0">
            <w:pPr>
              <w:jc w:val="center"/>
              <w:rPr>
                <w:rFonts w:ascii="Arial" w:hAnsi="Arial" w:cs="Arial"/>
                <w:sz w:val="20"/>
                <w:szCs w:val="20"/>
              </w:rPr>
            </w:pPr>
            <w:r>
              <w:rPr>
                <w:rFonts w:ascii="Arial" w:hAnsi="Arial" w:cs="Arial"/>
                <w:sz w:val="20"/>
                <w:szCs w:val="20"/>
              </w:rPr>
              <w:t>88,55%</w:t>
            </w:r>
          </w:p>
        </w:tc>
        <w:tc>
          <w:tcPr>
            <w:tcW w:w="1417" w:type="dxa"/>
            <w:tcBorders>
              <w:top w:val="nil"/>
              <w:left w:val="single" w:sz="4" w:space="0" w:color="auto"/>
              <w:bottom w:val="single" w:sz="4" w:space="0" w:color="auto"/>
              <w:right w:val="single" w:sz="4" w:space="0" w:color="auto"/>
            </w:tcBorders>
            <w:shd w:val="clear" w:color="auto" w:fill="EAF1DD" w:themeFill="accent3" w:themeFillTint="33"/>
            <w:noWrap/>
            <w:vAlign w:val="bottom"/>
            <w:hideMark/>
          </w:tcPr>
          <w:p w:rsidR="00F56F9A" w:rsidRPr="00B624B2" w:rsidRDefault="00F56F9A" w:rsidP="00080DD0">
            <w:pPr>
              <w:jc w:val="center"/>
              <w:rPr>
                <w:rFonts w:ascii="Arial" w:hAnsi="Arial" w:cs="Arial"/>
                <w:b/>
                <w:sz w:val="20"/>
                <w:szCs w:val="20"/>
              </w:rPr>
            </w:pPr>
            <w:r w:rsidRPr="00B624B2">
              <w:rPr>
                <w:rFonts w:ascii="Arial" w:hAnsi="Arial" w:cs="Arial"/>
                <w:b/>
                <w:sz w:val="20"/>
                <w:szCs w:val="20"/>
              </w:rPr>
              <w:t>88,72%</w:t>
            </w:r>
          </w:p>
        </w:tc>
        <w:tc>
          <w:tcPr>
            <w:tcW w:w="1418" w:type="dxa"/>
            <w:tcBorders>
              <w:top w:val="single" w:sz="4" w:space="0" w:color="auto"/>
              <w:left w:val="nil"/>
              <w:bottom w:val="single" w:sz="4" w:space="0" w:color="auto"/>
              <w:right w:val="single" w:sz="4" w:space="0" w:color="auto"/>
            </w:tcBorders>
            <w:shd w:val="clear" w:color="auto" w:fill="EAF1DD" w:themeFill="accent3" w:themeFillTint="33"/>
            <w:vAlign w:val="bottom"/>
          </w:tcPr>
          <w:p w:rsidR="00F56F9A" w:rsidRPr="00B41CA5" w:rsidRDefault="00F56F9A" w:rsidP="00080DD0">
            <w:pPr>
              <w:jc w:val="center"/>
              <w:rPr>
                <w:rFonts w:ascii="Arial" w:hAnsi="Arial" w:cs="Arial"/>
                <w:sz w:val="20"/>
                <w:szCs w:val="20"/>
              </w:rPr>
            </w:pPr>
            <w:r w:rsidRPr="00B41CA5">
              <w:rPr>
                <w:rFonts w:ascii="Arial" w:hAnsi="Arial" w:cs="Arial"/>
                <w:sz w:val="20"/>
                <w:szCs w:val="20"/>
              </w:rPr>
              <w:t>86,65%</w:t>
            </w:r>
          </w:p>
        </w:tc>
        <w:tc>
          <w:tcPr>
            <w:tcW w:w="1700" w:type="dxa"/>
            <w:tcBorders>
              <w:top w:val="nil"/>
              <w:left w:val="single" w:sz="4" w:space="0" w:color="auto"/>
              <w:bottom w:val="single" w:sz="4" w:space="0" w:color="auto"/>
              <w:right w:val="single" w:sz="4" w:space="0" w:color="auto"/>
            </w:tcBorders>
            <w:shd w:val="clear" w:color="auto" w:fill="EAF1DD" w:themeFill="accent3" w:themeFillTint="33"/>
            <w:noWrap/>
            <w:vAlign w:val="bottom"/>
            <w:hideMark/>
          </w:tcPr>
          <w:p w:rsidR="00F56F9A" w:rsidRPr="00833434" w:rsidRDefault="00F56F9A" w:rsidP="00080DD0">
            <w:pPr>
              <w:jc w:val="center"/>
              <w:rPr>
                <w:rFonts w:ascii="Arial" w:hAnsi="Arial" w:cs="Arial"/>
                <w:b/>
                <w:sz w:val="20"/>
                <w:szCs w:val="20"/>
              </w:rPr>
            </w:pPr>
            <w:r w:rsidRPr="00833434">
              <w:rPr>
                <w:rFonts w:ascii="Arial" w:hAnsi="Arial" w:cs="Arial"/>
                <w:b/>
                <w:sz w:val="20"/>
                <w:szCs w:val="20"/>
              </w:rPr>
              <w:t>87,43%</w:t>
            </w:r>
          </w:p>
        </w:tc>
      </w:tr>
      <w:tr w:rsidR="00F56F9A" w:rsidRPr="00E668A2" w:rsidTr="00080DD0">
        <w:trPr>
          <w:trHeight w:val="255"/>
        </w:trPr>
        <w:tc>
          <w:tcPr>
            <w:tcW w:w="1716" w:type="dxa"/>
            <w:tcBorders>
              <w:top w:val="nil"/>
              <w:left w:val="single" w:sz="8" w:space="0" w:color="auto"/>
              <w:bottom w:val="single" w:sz="4" w:space="0" w:color="auto"/>
              <w:right w:val="single" w:sz="4" w:space="0" w:color="auto"/>
            </w:tcBorders>
            <w:shd w:val="clear" w:color="auto" w:fill="auto"/>
            <w:noWrap/>
            <w:vAlign w:val="bottom"/>
            <w:hideMark/>
          </w:tcPr>
          <w:p w:rsidR="00F56F9A" w:rsidRPr="00E668A2" w:rsidRDefault="00F56F9A" w:rsidP="00080DD0">
            <w:pPr>
              <w:rPr>
                <w:rFonts w:ascii="Arial" w:hAnsi="Arial" w:cs="Arial"/>
                <w:sz w:val="20"/>
                <w:szCs w:val="20"/>
              </w:rPr>
            </w:pPr>
            <w:r w:rsidRPr="00E668A2">
              <w:rPr>
                <w:rFonts w:ascii="Arial" w:hAnsi="Arial" w:cs="Arial"/>
                <w:sz w:val="20"/>
                <w:szCs w:val="20"/>
              </w:rPr>
              <w:t xml:space="preserve"> </w:t>
            </w:r>
            <w:proofErr w:type="spellStart"/>
            <w:r w:rsidRPr="00E668A2">
              <w:rPr>
                <w:rFonts w:ascii="Arial" w:hAnsi="Arial" w:cs="Arial"/>
                <w:sz w:val="20"/>
                <w:szCs w:val="20"/>
              </w:rPr>
              <w:t>Brakna</w:t>
            </w:r>
            <w:proofErr w:type="spellEnd"/>
            <w:r w:rsidRPr="00E668A2">
              <w:rPr>
                <w:rFonts w:ascii="Arial" w:hAnsi="Arial" w:cs="Arial"/>
                <w:sz w:val="20"/>
                <w:szCs w:val="20"/>
              </w:rPr>
              <w:t xml:space="preserve"> </w:t>
            </w:r>
          </w:p>
        </w:tc>
        <w:tc>
          <w:tcPr>
            <w:tcW w:w="1418" w:type="dxa"/>
            <w:tcBorders>
              <w:top w:val="single" w:sz="4" w:space="0" w:color="auto"/>
              <w:left w:val="nil"/>
              <w:bottom w:val="single" w:sz="4" w:space="0" w:color="auto"/>
              <w:right w:val="single" w:sz="4" w:space="0" w:color="auto"/>
            </w:tcBorders>
            <w:vAlign w:val="bottom"/>
          </w:tcPr>
          <w:p w:rsidR="00F56F9A" w:rsidRDefault="00F56F9A" w:rsidP="00080DD0">
            <w:pPr>
              <w:jc w:val="center"/>
              <w:rPr>
                <w:rFonts w:ascii="Arial" w:hAnsi="Arial" w:cs="Arial"/>
                <w:sz w:val="20"/>
                <w:szCs w:val="20"/>
              </w:rPr>
            </w:pPr>
            <w:r>
              <w:rPr>
                <w:rFonts w:ascii="Arial" w:hAnsi="Arial" w:cs="Arial"/>
                <w:sz w:val="20"/>
                <w:szCs w:val="20"/>
              </w:rPr>
              <w:t>119,26%</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F56F9A" w:rsidRPr="00583806" w:rsidRDefault="00F56F9A" w:rsidP="00080DD0">
            <w:pPr>
              <w:jc w:val="center"/>
              <w:rPr>
                <w:rFonts w:ascii="Arial" w:hAnsi="Arial" w:cs="Arial"/>
                <w:b/>
                <w:sz w:val="20"/>
                <w:szCs w:val="20"/>
              </w:rPr>
            </w:pPr>
            <w:r w:rsidRPr="00583806">
              <w:rPr>
                <w:rFonts w:ascii="Arial" w:hAnsi="Arial" w:cs="Arial"/>
                <w:b/>
                <w:sz w:val="20"/>
                <w:szCs w:val="20"/>
              </w:rPr>
              <w:t>92,83%</w:t>
            </w:r>
          </w:p>
        </w:tc>
        <w:tc>
          <w:tcPr>
            <w:tcW w:w="1560" w:type="dxa"/>
            <w:tcBorders>
              <w:top w:val="single" w:sz="4" w:space="0" w:color="auto"/>
              <w:left w:val="nil"/>
              <w:bottom w:val="single" w:sz="4" w:space="0" w:color="auto"/>
              <w:right w:val="single" w:sz="4" w:space="0" w:color="auto"/>
            </w:tcBorders>
            <w:vAlign w:val="bottom"/>
          </w:tcPr>
          <w:p w:rsidR="00F56F9A" w:rsidRDefault="00F56F9A" w:rsidP="00080DD0">
            <w:pPr>
              <w:jc w:val="center"/>
              <w:rPr>
                <w:rFonts w:ascii="Arial" w:hAnsi="Arial" w:cs="Arial"/>
                <w:sz w:val="20"/>
                <w:szCs w:val="20"/>
              </w:rPr>
            </w:pPr>
            <w:r>
              <w:rPr>
                <w:rFonts w:ascii="Arial" w:hAnsi="Arial" w:cs="Arial"/>
                <w:sz w:val="20"/>
                <w:szCs w:val="20"/>
              </w:rPr>
              <w:t>96,08%</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F56F9A" w:rsidRPr="00B624B2" w:rsidRDefault="00F56F9A" w:rsidP="00080DD0">
            <w:pPr>
              <w:jc w:val="center"/>
              <w:rPr>
                <w:rFonts w:ascii="Arial" w:hAnsi="Arial" w:cs="Arial"/>
                <w:b/>
                <w:sz w:val="20"/>
                <w:szCs w:val="20"/>
              </w:rPr>
            </w:pPr>
            <w:r w:rsidRPr="00B624B2">
              <w:rPr>
                <w:rFonts w:ascii="Arial" w:hAnsi="Arial" w:cs="Arial"/>
                <w:b/>
                <w:sz w:val="20"/>
                <w:szCs w:val="20"/>
              </w:rPr>
              <w:t>89,10%</w:t>
            </w:r>
          </w:p>
        </w:tc>
        <w:tc>
          <w:tcPr>
            <w:tcW w:w="1418" w:type="dxa"/>
            <w:tcBorders>
              <w:top w:val="single" w:sz="4" w:space="0" w:color="auto"/>
              <w:left w:val="nil"/>
              <w:bottom w:val="single" w:sz="4" w:space="0" w:color="auto"/>
              <w:right w:val="single" w:sz="4" w:space="0" w:color="auto"/>
            </w:tcBorders>
            <w:vAlign w:val="bottom"/>
          </w:tcPr>
          <w:p w:rsidR="00F56F9A" w:rsidRPr="00B41CA5" w:rsidRDefault="00F56F9A" w:rsidP="00080DD0">
            <w:pPr>
              <w:jc w:val="center"/>
              <w:rPr>
                <w:rFonts w:ascii="Arial" w:hAnsi="Arial" w:cs="Arial"/>
                <w:sz w:val="20"/>
                <w:szCs w:val="20"/>
              </w:rPr>
            </w:pPr>
            <w:r w:rsidRPr="00B41CA5">
              <w:rPr>
                <w:rFonts w:ascii="Arial" w:hAnsi="Arial" w:cs="Arial"/>
                <w:sz w:val="20"/>
                <w:szCs w:val="20"/>
              </w:rPr>
              <w:t>95,13%</w:t>
            </w:r>
          </w:p>
        </w:tc>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F56F9A" w:rsidRPr="00833434" w:rsidRDefault="00F56F9A" w:rsidP="00080DD0">
            <w:pPr>
              <w:jc w:val="center"/>
              <w:rPr>
                <w:rFonts w:ascii="Arial" w:hAnsi="Arial" w:cs="Arial"/>
                <w:b/>
                <w:sz w:val="20"/>
                <w:szCs w:val="20"/>
              </w:rPr>
            </w:pPr>
            <w:r w:rsidRPr="00833434">
              <w:rPr>
                <w:rFonts w:ascii="Arial" w:hAnsi="Arial" w:cs="Arial"/>
                <w:b/>
                <w:sz w:val="20"/>
                <w:szCs w:val="20"/>
              </w:rPr>
              <w:t>88,64%</w:t>
            </w:r>
          </w:p>
        </w:tc>
      </w:tr>
      <w:tr w:rsidR="00F56F9A" w:rsidRPr="00E668A2" w:rsidTr="00080DD0">
        <w:trPr>
          <w:trHeight w:val="255"/>
        </w:trPr>
        <w:tc>
          <w:tcPr>
            <w:tcW w:w="1716" w:type="dxa"/>
            <w:tcBorders>
              <w:top w:val="nil"/>
              <w:left w:val="single" w:sz="8" w:space="0" w:color="auto"/>
              <w:bottom w:val="single" w:sz="4" w:space="0" w:color="auto"/>
              <w:right w:val="single" w:sz="4" w:space="0" w:color="auto"/>
            </w:tcBorders>
            <w:shd w:val="clear" w:color="auto" w:fill="EAF1DD" w:themeFill="accent3" w:themeFillTint="33"/>
            <w:noWrap/>
            <w:vAlign w:val="bottom"/>
            <w:hideMark/>
          </w:tcPr>
          <w:p w:rsidR="00F56F9A" w:rsidRPr="00E668A2" w:rsidRDefault="00F56F9A" w:rsidP="00080DD0">
            <w:pPr>
              <w:rPr>
                <w:rFonts w:ascii="Arial" w:hAnsi="Arial" w:cs="Arial"/>
                <w:sz w:val="20"/>
                <w:szCs w:val="20"/>
              </w:rPr>
            </w:pPr>
            <w:r w:rsidRPr="00E668A2">
              <w:rPr>
                <w:rFonts w:ascii="Arial" w:hAnsi="Arial" w:cs="Arial"/>
                <w:sz w:val="20"/>
                <w:szCs w:val="20"/>
              </w:rPr>
              <w:t xml:space="preserve"> Trarza </w:t>
            </w:r>
          </w:p>
        </w:tc>
        <w:tc>
          <w:tcPr>
            <w:tcW w:w="1418" w:type="dxa"/>
            <w:tcBorders>
              <w:top w:val="single" w:sz="4" w:space="0" w:color="auto"/>
              <w:left w:val="nil"/>
              <w:bottom w:val="single" w:sz="4" w:space="0" w:color="auto"/>
              <w:right w:val="single" w:sz="4" w:space="0" w:color="auto"/>
            </w:tcBorders>
            <w:shd w:val="clear" w:color="auto" w:fill="EAF1DD" w:themeFill="accent3" w:themeFillTint="33"/>
            <w:vAlign w:val="bottom"/>
          </w:tcPr>
          <w:p w:rsidR="00F56F9A" w:rsidRDefault="00F56F9A" w:rsidP="00080DD0">
            <w:pPr>
              <w:jc w:val="center"/>
              <w:rPr>
                <w:rFonts w:ascii="Arial" w:hAnsi="Arial" w:cs="Arial"/>
                <w:sz w:val="20"/>
                <w:szCs w:val="20"/>
              </w:rPr>
            </w:pPr>
            <w:r>
              <w:rPr>
                <w:rFonts w:ascii="Arial" w:hAnsi="Arial" w:cs="Arial"/>
                <w:sz w:val="20"/>
                <w:szCs w:val="20"/>
              </w:rPr>
              <w:t>98,28%</w:t>
            </w:r>
          </w:p>
        </w:tc>
        <w:tc>
          <w:tcPr>
            <w:tcW w:w="1417" w:type="dxa"/>
            <w:tcBorders>
              <w:top w:val="nil"/>
              <w:left w:val="single" w:sz="4" w:space="0" w:color="auto"/>
              <w:bottom w:val="single" w:sz="4" w:space="0" w:color="auto"/>
              <w:right w:val="single" w:sz="4" w:space="0" w:color="auto"/>
            </w:tcBorders>
            <w:shd w:val="clear" w:color="auto" w:fill="EAF1DD" w:themeFill="accent3" w:themeFillTint="33"/>
            <w:noWrap/>
            <w:vAlign w:val="bottom"/>
            <w:hideMark/>
          </w:tcPr>
          <w:p w:rsidR="00F56F9A" w:rsidRPr="00583806" w:rsidRDefault="00F56F9A" w:rsidP="00080DD0">
            <w:pPr>
              <w:jc w:val="center"/>
              <w:rPr>
                <w:rFonts w:ascii="Arial" w:hAnsi="Arial" w:cs="Arial"/>
                <w:b/>
                <w:sz w:val="20"/>
                <w:szCs w:val="20"/>
              </w:rPr>
            </w:pPr>
            <w:r w:rsidRPr="00583806">
              <w:rPr>
                <w:rFonts w:ascii="Arial" w:hAnsi="Arial" w:cs="Arial"/>
                <w:b/>
                <w:sz w:val="20"/>
                <w:szCs w:val="20"/>
              </w:rPr>
              <w:t>91,63%</w:t>
            </w:r>
          </w:p>
        </w:tc>
        <w:tc>
          <w:tcPr>
            <w:tcW w:w="1560" w:type="dxa"/>
            <w:tcBorders>
              <w:top w:val="single" w:sz="4" w:space="0" w:color="auto"/>
              <w:left w:val="nil"/>
              <w:bottom w:val="single" w:sz="4" w:space="0" w:color="auto"/>
              <w:right w:val="single" w:sz="4" w:space="0" w:color="auto"/>
            </w:tcBorders>
            <w:shd w:val="clear" w:color="auto" w:fill="EAF1DD" w:themeFill="accent3" w:themeFillTint="33"/>
            <w:vAlign w:val="bottom"/>
          </w:tcPr>
          <w:p w:rsidR="00F56F9A" w:rsidRDefault="00F56F9A" w:rsidP="00080DD0">
            <w:pPr>
              <w:jc w:val="center"/>
              <w:rPr>
                <w:rFonts w:ascii="Arial" w:hAnsi="Arial" w:cs="Arial"/>
                <w:sz w:val="20"/>
                <w:szCs w:val="20"/>
              </w:rPr>
            </w:pPr>
            <w:r>
              <w:rPr>
                <w:rFonts w:ascii="Arial" w:hAnsi="Arial" w:cs="Arial"/>
                <w:sz w:val="20"/>
                <w:szCs w:val="20"/>
              </w:rPr>
              <w:t>73,40%</w:t>
            </w:r>
          </w:p>
        </w:tc>
        <w:tc>
          <w:tcPr>
            <w:tcW w:w="1417" w:type="dxa"/>
            <w:tcBorders>
              <w:top w:val="nil"/>
              <w:left w:val="single" w:sz="4" w:space="0" w:color="auto"/>
              <w:bottom w:val="single" w:sz="4" w:space="0" w:color="auto"/>
              <w:right w:val="single" w:sz="4" w:space="0" w:color="auto"/>
            </w:tcBorders>
            <w:shd w:val="clear" w:color="auto" w:fill="EAF1DD" w:themeFill="accent3" w:themeFillTint="33"/>
            <w:noWrap/>
            <w:vAlign w:val="bottom"/>
            <w:hideMark/>
          </w:tcPr>
          <w:p w:rsidR="00F56F9A" w:rsidRPr="00B624B2" w:rsidRDefault="00F56F9A" w:rsidP="00080DD0">
            <w:pPr>
              <w:jc w:val="center"/>
              <w:rPr>
                <w:rFonts w:ascii="Arial" w:hAnsi="Arial" w:cs="Arial"/>
                <w:b/>
                <w:sz w:val="20"/>
                <w:szCs w:val="20"/>
              </w:rPr>
            </w:pPr>
            <w:r w:rsidRPr="00B624B2">
              <w:rPr>
                <w:rFonts w:ascii="Arial" w:hAnsi="Arial" w:cs="Arial"/>
                <w:b/>
                <w:sz w:val="20"/>
                <w:szCs w:val="20"/>
              </w:rPr>
              <w:t>70,16%</w:t>
            </w:r>
          </w:p>
        </w:tc>
        <w:tc>
          <w:tcPr>
            <w:tcW w:w="1418" w:type="dxa"/>
            <w:tcBorders>
              <w:top w:val="single" w:sz="4" w:space="0" w:color="auto"/>
              <w:left w:val="nil"/>
              <w:bottom w:val="single" w:sz="4" w:space="0" w:color="auto"/>
              <w:right w:val="single" w:sz="4" w:space="0" w:color="auto"/>
            </w:tcBorders>
            <w:shd w:val="clear" w:color="auto" w:fill="EAF1DD" w:themeFill="accent3" w:themeFillTint="33"/>
            <w:vAlign w:val="bottom"/>
          </w:tcPr>
          <w:p w:rsidR="00F56F9A" w:rsidRPr="00B41CA5" w:rsidRDefault="00F56F9A" w:rsidP="00080DD0">
            <w:pPr>
              <w:jc w:val="center"/>
              <w:rPr>
                <w:rFonts w:ascii="Arial" w:hAnsi="Arial" w:cs="Arial"/>
                <w:sz w:val="20"/>
                <w:szCs w:val="20"/>
              </w:rPr>
            </w:pPr>
            <w:r w:rsidRPr="00B41CA5">
              <w:rPr>
                <w:rFonts w:ascii="Arial" w:hAnsi="Arial" w:cs="Arial"/>
                <w:sz w:val="20"/>
                <w:szCs w:val="20"/>
              </w:rPr>
              <w:t>64,39%</w:t>
            </w:r>
          </w:p>
        </w:tc>
        <w:tc>
          <w:tcPr>
            <w:tcW w:w="1700" w:type="dxa"/>
            <w:tcBorders>
              <w:top w:val="nil"/>
              <w:left w:val="single" w:sz="4" w:space="0" w:color="auto"/>
              <w:bottom w:val="single" w:sz="4" w:space="0" w:color="auto"/>
              <w:right w:val="single" w:sz="4" w:space="0" w:color="auto"/>
            </w:tcBorders>
            <w:shd w:val="clear" w:color="auto" w:fill="EAF1DD" w:themeFill="accent3" w:themeFillTint="33"/>
            <w:noWrap/>
            <w:vAlign w:val="bottom"/>
            <w:hideMark/>
          </w:tcPr>
          <w:p w:rsidR="00F56F9A" w:rsidRPr="00833434" w:rsidRDefault="00F56F9A" w:rsidP="00080DD0">
            <w:pPr>
              <w:jc w:val="center"/>
              <w:rPr>
                <w:rFonts w:ascii="Arial" w:hAnsi="Arial" w:cs="Arial"/>
                <w:b/>
                <w:sz w:val="20"/>
                <w:szCs w:val="20"/>
              </w:rPr>
            </w:pPr>
            <w:r w:rsidRPr="00833434">
              <w:rPr>
                <w:rFonts w:ascii="Arial" w:hAnsi="Arial" w:cs="Arial"/>
                <w:b/>
                <w:sz w:val="20"/>
                <w:szCs w:val="20"/>
              </w:rPr>
              <w:t>61,03%</w:t>
            </w:r>
          </w:p>
        </w:tc>
      </w:tr>
      <w:tr w:rsidR="00F56F9A" w:rsidRPr="00E668A2" w:rsidTr="00080DD0">
        <w:trPr>
          <w:trHeight w:val="255"/>
        </w:trPr>
        <w:tc>
          <w:tcPr>
            <w:tcW w:w="1716" w:type="dxa"/>
            <w:tcBorders>
              <w:top w:val="nil"/>
              <w:left w:val="single" w:sz="8" w:space="0" w:color="auto"/>
              <w:bottom w:val="single" w:sz="4" w:space="0" w:color="auto"/>
              <w:right w:val="single" w:sz="4" w:space="0" w:color="auto"/>
            </w:tcBorders>
            <w:shd w:val="clear" w:color="auto" w:fill="auto"/>
            <w:noWrap/>
            <w:vAlign w:val="bottom"/>
            <w:hideMark/>
          </w:tcPr>
          <w:p w:rsidR="00F56F9A" w:rsidRPr="00E668A2" w:rsidRDefault="00F56F9A" w:rsidP="00080DD0">
            <w:pPr>
              <w:rPr>
                <w:rFonts w:ascii="Arial" w:hAnsi="Arial" w:cs="Arial"/>
                <w:sz w:val="20"/>
                <w:szCs w:val="20"/>
              </w:rPr>
            </w:pPr>
            <w:r w:rsidRPr="00E668A2">
              <w:rPr>
                <w:rFonts w:ascii="Arial" w:hAnsi="Arial" w:cs="Arial"/>
                <w:sz w:val="20"/>
                <w:szCs w:val="20"/>
              </w:rPr>
              <w:t xml:space="preserve"> Adrar </w:t>
            </w:r>
          </w:p>
        </w:tc>
        <w:tc>
          <w:tcPr>
            <w:tcW w:w="1418" w:type="dxa"/>
            <w:tcBorders>
              <w:top w:val="single" w:sz="4" w:space="0" w:color="auto"/>
              <w:left w:val="nil"/>
              <w:bottom w:val="single" w:sz="4" w:space="0" w:color="auto"/>
              <w:right w:val="single" w:sz="4" w:space="0" w:color="auto"/>
            </w:tcBorders>
            <w:vAlign w:val="bottom"/>
          </w:tcPr>
          <w:p w:rsidR="00F56F9A" w:rsidRDefault="00F56F9A" w:rsidP="00080DD0">
            <w:pPr>
              <w:jc w:val="center"/>
              <w:rPr>
                <w:rFonts w:ascii="Arial" w:hAnsi="Arial" w:cs="Arial"/>
                <w:sz w:val="20"/>
                <w:szCs w:val="20"/>
              </w:rPr>
            </w:pPr>
            <w:r>
              <w:rPr>
                <w:rFonts w:ascii="Arial" w:hAnsi="Arial" w:cs="Arial"/>
                <w:sz w:val="20"/>
                <w:szCs w:val="20"/>
              </w:rPr>
              <w:t>96,60%</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F56F9A" w:rsidRPr="00583806" w:rsidRDefault="00F56F9A" w:rsidP="00080DD0">
            <w:pPr>
              <w:jc w:val="center"/>
              <w:rPr>
                <w:rFonts w:ascii="Arial" w:hAnsi="Arial" w:cs="Arial"/>
                <w:b/>
                <w:sz w:val="20"/>
                <w:szCs w:val="20"/>
              </w:rPr>
            </w:pPr>
            <w:r w:rsidRPr="00583806">
              <w:rPr>
                <w:rFonts w:ascii="Arial" w:hAnsi="Arial" w:cs="Arial"/>
                <w:b/>
                <w:sz w:val="20"/>
                <w:szCs w:val="20"/>
              </w:rPr>
              <w:t>91,18%</w:t>
            </w:r>
          </w:p>
        </w:tc>
        <w:tc>
          <w:tcPr>
            <w:tcW w:w="1560" w:type="dxa"/>
            <w:tcBorders>
              <w:top w:val="single" w:sz="4" w:space="0" w:color="auto"/>
              <w:left w:val="nil"/>
              <w:bottom w:val="single" w:sz="4" w:space="0" w:color="auto"/>
              <w:right w:val="single" w:sz="4" w:space="0" w:color="auto"/>
            </w:tcBorders>
            <w:vAlign w:val="bottom"/>
          </w:tcPr>
          <w:p w:rsidR="00F56F9A" w:rsidRDefault="00F56F9A" w:rsidP="00080DD0">
            <w:pPr>
              <w:jc w:val="center"/>
              <w:rPr>
                <w:rFonts w:ascii="Arial" w:hAnsi="Arial" w:cs="Arial"/>
                <w:sz w:val="20"/>
                <w:szCs w:val="20"/>
              </w:rPr>
            </w:pPr>
            <w:r>
              <w:rPr>
                <w:rFonts w:ascii="Arial" w:hAnsi="Arial" w:cs="Arial"/>
                <w:sz w:val="20"/>
                <w:szCs w:val="20"/>
              </w:rPr>
              <w:t>85,56%</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F56F9A" w:rsidRPr="00B624B2" w:rsidRDefault="00F56F9A" w:rsidP="00080DD0">
            <w:pPr>
              <w:jc w:val="center"/>
              <w:rPr>
                <w:rFonts w:ascii="Arial" w:hAnsi="Arial" w:cs="Arial"/>
                <w:b/>
                <w:sz w:val="20"/>
                <w:szCs w:val="20"/>
              </w:rPr>
            </w:pPr>
            <w:r w:rsidRPr="00B624B2">
              <w:rPr>
                <w:rFonts w:ascii="Arial" w:hAnsi="Arial" w:cs="Arial"/>
                <w:b/>
                <w:sz w:val="20"/>
                <w:szCs w:val="20"/>
              </w:rPr>
              <w:t>79,75%</w:t>
            </w:r>
          </w:p>
        </w:tc>
        <w:tc>
          <w:tcPr>
            <w:tcW w:w="1418" w:type="dxa"/>
            <w:tcBorders>
              <w:top w:val="single" w:sz="4" w:space="0" w:color="auto"/>
              <w:left w:val="nil"/>
              <w:bottom w:val="single" w:sz="4" w:space="0" w:color="auto"/>
              <w:right w:val="single" w:sz="4" w:space="0" w:color="auto"/>
            </w:tcBorders>
            <w:vAlign w:val="bottom"/>
          </w:tcPr>
          <w:p w:rsidR="00F56F9A" w:rsidRPr="00B41CA5" w:rsidRDefault="00F56F9A" w:rsidP="00080DD0">
            <w:pPr>
              <w:jc w:val="center"/>
              <w:rPr>
                <w:rFonts w:ascii="Arial" w:hAnsi="Arial" w:cs="Arial"/>
                <w:sz w:val="20"/>
                <w:szCs w:val="20"/>
              </w:rPr>
            </w:pPr>
            <w:r w:rsidRPr="00B41CA5">
              <w:rPr>
                <w:rFonts w:ascii="Arial" w:hAnsi="Arial" w:cs="Arial"/>
                <w:sz w:val="20"/>
                <w:szCs w:val="20"/>
              </w:rPr>
              <w:t>83,70%</w:t>
            </w:r>
          </w:p>
        </w:tc>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F56F9A" w:rsidRPr="00833434" w:rsidRDefault="00F56F9A" w:rsidP="00080DD0">
            <w:pPr>
              <w:jc w:val="center"/>
              <w:rPr>
                <w:rFonts w:ascii="Arial" w:hAnsi="Arial" w:cs="Arial"/>
                <w:b/>
                <w:sz w:val="20"/>
                <w:szCs w:val="20"/>
              </w:rPr>
            </w:pPr>
            <w:r w:rsidRPr="00833434">
              <w:rPr>
                <w:rFonts w:ascii="Arial" w:hAnsi="Arial" w:cs="Arial"/>
                <w:b/>
                <w:sz w:val="20"/>
                <w:szCs w:val="20"/>
              </w:rPr>
              <w:t>76,84%</w:t>
            </w:r>
          </w:p>
        </w:tc>
      </w:tr>
      <w:tr w:rsidR="00F56F9A" w:rsidRPr="00E668A2" w:rsidTr="00080DD0">
        <w:trPr>
          <w:trHeight w:val="255"/>
        </w:trPr>
        <w:tc>
          <w:tcPr>
            <w:tcW w:w="1716" w:type="dxa"/>
            <w:tcBorders>
              <w:top w:val="nil"/>
              <w:left w:val="single" w:sz="8" w:space="0" w:color="auto"/>
              <w:bottom w:val="single" w:sz="4" w:space="0" w:color="auto"/>
              <w:right w:val="single" w:sz="4" w:space="0" w:color="auto"/>
            </w:tcBorders>
            <w:shd w:val="clear" w:color="auto" w:fill="EAF1DD" w:themeFill="accent3" w:themeFillTint="33"/>
            <w:noWrap/>
            <w:vAlign w:val="bottom"/>
            <w:hideMark/>
          </w:tcPr>
          <w:p w:rsidR="00F56F9A" w:rsidRPr="00E668A2" w:rsidRDefault="00F56F9A" w:rsidP="00080DD0">
            <w:pPr>
              <w:rPr>
                <w:rFonts w:ascii="Arial" w:hAnsi="Arial" w:cs="Arial"/>
                <w:sz w:val="20"/>
                <w:szCs w:val="20"/>
              </w:rPr>
            </w:pPr>
            <w:r w:rsidRPr="00E668A2">
              <w:rPr>
                <w:rFonts w:ascii="Arial" w:hAnsi="Arial" w:cs="Arial"/>
                <w:sz w:val="20"/>
                <w:szCs w:val="20"/>
              </w:rPr>
              <w:t xml:space="preserve"> </w:t>
            </w:r>
            <w:proofErr w:type="spellStart"/>
            <w:r w:rsidRPr="00E668A2">
              <w:rPr>
                <w:rFonts w:ascii="Arial" w:hAnsi="Arial" w:cs="Arial"/>
                <w:sz w:val="20"/>
                <w:szCs w:val="20"/>
              </w:rPr>
              <w:t>Dakhlet</w:t>
            </w:r>
            <w:proofErr w:type="spellEnd"/>
            <w:r w:rsidRPr="00E668A2">
              <w:rPr>
                <w:rFonts w:ascii="Arial" w:hAnsi="Arial" w:cs="Arial"/>
                <w:sz w:val="20"/>
                <w:szCs w:val="20"/>
              </w:rPr>
              <w:t xml:space="preserve">-Nouadhibou </w:t>
            </w:r>
          </w:p>
        </w:tc>
        <w:tc>
          <w:tcPr>
            <w:tcW w:w="1418" w:type="dxa"/>
            <w:tcBorders>
              <w:top w:val="single" w:sz="4" w:space="0" w:color="auto"/>
              <w:left w:val="nil"/>
              <w:bottom w:val="single" w:sz="4" w:space="0" w:color="auto"/>
              <w:right w:val="single" w:sz="4" w:space="0" w:color="auto"/>
            </w:tcBorders>
            <w:shd w:val="clear" w:color="auto" w:fill="EAF1DD" w:themeFill="accent3" w:themeFillTint="33"/>
            <w:vAlign w:val="bottom"/>
          </w:tcPr>
          <w:p w:rsidR="00F56F9A" w:rsidRDefault="00F56F9A" w:rsidP="00080DD0">
            <w:pPr>
              <w:jc w:val="center"/>
              <w:rPr>
                <w:rFonts w:ascii="Arial" w:hAnsi="Arial" w:cs="Arial"/>
                <w:sz w:val="20"/>
                <w:szCs w:val="20"/>
              </w:rPr>
            </w:pPr>
            <w:r>
              <w:rPr>
                <w:rFonts w:ascii="Arial" w:hAnsi="Arial" w:cs="Arial"/>
                <w:sz w:val="20"/>
                <w:szCs w:val="20"/>
              </w:rPr>
              <w:t>86,49%</w:t>
            </w:r>
          </w:p>
        </w:tc>
        <w:tc>
          <w:tcPr>
            <w:tcW w:w="1417" w:type="dxa"/>
            <w:tcBorders>
              <w:top w:val="nil"/>
              <w:left w:val="single" w:sz="4" w:space="0" w:color="auto"/>
              <w:bottom w:val="single" w:sz="4" w:space="0" w:color="auto"/>
              <w:right w:val="single" w:sz="4" w:space="0" w:color="auto"/>
            </w:tcBorders>
            <w:shd w:val="clear" w:color="auto" w:fill="EAF1DD" w:themeFill="accent3" w:themeFillTint="33"/>
            <w:noWrap/>
            <w:vAlign w:val="bottom"/>
            <w:hideMark/>
          </w:tcPr>
          <w:p w:rsidR="00F56F9A" w:rsidRPr="00583806" w:rsidRDefault="00F56F9A" w:rsidP="00080DD0">
            <w:pPr>
              <w:jc w:val="center"/>
              <w:rPr>
                <w:rFonts w:ascii="Arial" w:hAnsi="Arial" w:cs="Arial"/>
                <w:b/>
                <w:sz w:val="20"/>
                <w:szCs w:val="20"/>
              </w:rPr>
            </w:pPr>
            <w:r w:rsidRPr="00583806">
              <w:rPr>
                <w:rFonts w:ascii="Arial" w:hAnsi="Arial" w:cs="Arial"/>
                <w:b/>
                <w:sz w:val="20"/>
                <w:szCs w:val="20"/>
              </w:rPr>
              <w:t>88,83%</w:t>
            </w:r>
          </w:p>
        </w:tc>
        <w:tc>
          <w:tcPr>
            <w:tcW w:w="1560" w:type="dxa"/>
            <w:tcBorders>
              <w:top w:val="single" w:sz="4" w:space="0" w:color="auto"/>
              <w:left w:val="nil"/>
              <w:bottom w:val="single" w:sz="4" w:space="0" w:color="auto"/>
              <w:right w:val="single" w:sz="4" w:space="0" w:color="auto"/>
            </w:tcBorders>
            <w:shd w:val="clear" w:color="auto" w:fill="EAF1DD" w:themeFill="accent3" w:themeFillTint="33"/>
            <w:vAlign w:val="bottom"/>
          </w:tcPr>
          <w:p w:rsidR="00F56F9A" w:rsidRDefault="00F56F9A" w:rsidP="00080DD0">
            <w:pPr>
              <w:jc w:val="center"/>
              <w:rPr>
                <w:rFonts w:ascii="Arial" w:hAnsi="Arial" w:cs="Arial"/>
                <w:sz w:val="20"/>
                <w:szCs w:val="20"/>
              </w:rPr>
            </w:pPr>
            <w:r>
              <w:rPr>
                <w:rFonts w:ascii="Arial" w:hAnsi="Arial" w:cs="Arial"/>
                <w:sz w:val="20"/>
                <w:szCs w:val="20"/>
              </w:rPr>
              <w:t>48,15%</w:t>
            </w:r>
          </w:p>
        </w:tc>
        <w:tc>
          <w:tcPr>
            <w:tcW w:w="1417" w:type="dxa"/>
            <w:tcBorders>
              <w:top w:val="nil"/>
              <w:left w:val="single" w:sz="4" w:space="0" w:color="auto"/>
              <w:bottom w:val="single" w:sz="4" w:space="0" w:color="auto"/>
              <w:right w:val="single" w:sz="4" w:space="0" w:color="auto"/>
            </w:tcBorders>
            <w:shd w:val="clear" w:color="auto" w:fill="EAF1DD" w:themeFill="accent3" w:themeFillTint="33"/>
            <w:noWrap/>
            <w:vAlign w:val="bottom"/>
            <w:hideMark/>
          </w:tcPr>
          <w:p w:rsidR="00F56F9A" w:rsidRPr="00B624B2" w:rsidRDefault="00F56F9A" w:rsidP="00080DD0">
            <w:pPr>
              <w:jc w:val="center"/>
              <w:rPr>
                <w:rFonts w:ascii="Arial" w:hAnsi="Arial" w:cs="Arial"/>
                <w:b/>
                <w:sz w:val="20"/>
                <w:szCs w:val="20"/>
              </w:rPr>
            </w:pPr>
            <w:r w:rsidRPr="00B624B2">
              <w:rPr>
                <w:rFonts w:ascii="Arial" w:hAnsi="Arial" w:cs="Arial"/>
                <w:b/>
                <w:sz w:val="20"/>
                <w:szCs w:val="20"/>
              </w:rPr>
              <w:t>49,12%</w:t>
            </w:r>
          </w:p>
        </w:tc>
        <w:tc>
          <w:tcPr>
            <w:tcW w:w="1418" w:type="dxa"/>
            <w:tcBorders>
              <w:top w:val="single" w:sz="4" w:space="0" w:color="auto"/>
              <w:left w:val="nil"/>
              <w:bottom w:val="single" w:sz="4" w:space="0" w:color="auto"/>
              <w:right w:val="single" w:sz="4" w:space="0" w:color="auto"/>
            </w:tcBorders>
            <w:shd w:val="clear" w:color="auto" w:fill="EAF1DD" w:themeFill="accent3" w:themeFillTint="33"/>
            <w:vAlign w:val="bottom"/>
          </w:tcPr>
          <w:p w:rsidR="00F56F9A" w:rsidRPr="00B41CA5" w:rsidRDefault="00F56F9A" w:rsidP="00080DD0">
            <w:pPr>
              <w:jc w:val="center"/>
              <w:rPr>
                <w:rFonts w:ascii="Arial" w:hAnsi="Arial" w:cs="Arial"/>
                <w:sz w:val="20"/>
                <w:szCs w:val="20"/>
              </w:rPr>
            </w:pPr>
            <w:r w:rsidRPr="00B41CA5">
              <w:rPr>
                <w:rFonts w:ascii="Arial" w:hAnsi="Arial" w:cs="Arial"/>
                <w:sz w:val="20"/>
                <w:szCs w:val="20"/>
              </w:rPr>
              <w:t>6,85%</w:t>
            </w:r>
          </w:p>
        </w:tc>
        <w:tc>
          <w:tcPr>
            <w:tcW w:w="1700" w:type="dxa"/>
            <w:tcBorders>
              <w:top w:val="nil"/>
              <w:left w:val="single" w:sz="4" w:space="0" w:color="auto"/>
              <w:bottom w:val="single" w:sz="4" w:space="0" w:color="auto"/>
              <w:right w:val="single" w:sz="4" w:space="0" w:color="auto"/>
            </w:tcBorders>
            <w:shd w:val="clear" w:color="auto" w:fill="EAF1DD" w:themeFill="accent3" w:themeFillTint="33"/>
            <w:noWrap/>
            <w:vAlign w:val="bottom"/>
            <w:hideMark/>
          </w:tcPr>
          <w:p w:rsidR="00F56F9A" w:rsidRPr="00833434" w:rsidRDefault="00F56F9A" w:rsidP="00080DD0">
            <w:pPr>
              <w:jc w:val="center"/>
              <w:rPr>
                <w:rFonts w:ascii="Arial" w:hAnsi="Arial" w:cs="Arial"/>
                <w:b/>
                <w:sz w:val="20"/>
                <w:szCs w:val="20"/>
              </w:rPr>
            </w:pPr>
            <w:r w:rsidRPr="00833434">
              <w:rPr>
                <w:rFonts w:ascii="Arial" w:hAnsi="Arial" w:cs="Arial"/>
                <w:b/>
                <w:sz w:val="20"/>
                <w:szCs w:val="20"/>
              </w:rPr>
              <w:t>7,99%</w:t>
            </w:r>
          </w:p>
        </w:tc>
      </w:tr>
      <w:tr w:rsidR="00F56F9A" w:rsidRPr="00E668A2" w:rsidTr="00080DD0">
        <w:trPr>
          <w:trHeight w:val="255"/>
        </w:trPr>
        <w:tc>
          <w:tcPr>
            <w:tcW w:w="1716" w:type="dxa"/>
            <w:tcBorders>
              <w:top w:val="nil"/>
              <w:left w:val="single" w:sz="8" w:space="0" w:color="auto"/>
              <w:bottom w:val="single" w:sz="4" w:space="0" w:color="auto"/>
              <w:right w:val="single" w:sz="4" w:space="0" w:color="auto"/>
            </w:tcBorders>
            <w:shd w:val="clear" w:color="auto" w:fill="auto"/>
            <w:noWrap/>
            <w:vAlign w:val="bottom"/>
            <w:hideMark/>
          </w:tcPr>
          <w:p w:rsidR="00F56F9A" w:rsidRPr="00E668A2" w:rsidRDefault="00F56F9A" w:rsidP="00080DD0">
            <w:pPr>
              <w:rPr>
                <w:rFonts w:ascii="Arial" w:hAnsi="Arial" w:cs="Arial"/>
                <w:sz w:val="20"/>
                <w:szCs w:val="20"/>
              </w:rPr>
            </w:pPr>
            <w:r w:rsidRPr="00E668A2">
              <w:rPr>
                <w:rFonts w:ascii="Arial" w:hAnsi="Arial" w:cs="Arial"/>
                <w:sz w:val="20"/>
                <w:szCs w:val="20"/>
              </w:rPr>
              <w:t xml:space="preserve"> </w:t>
            </w:r>
            <w:proofErr w:type="spellStart"/>
            <w:r w:rsidRPr="00E668A2">
              <w:rPr>
                <w:rFonts w:ascii="Arial" w:hAnsi="Arial" w:cs="Arial"/>
                <w:sz w:val="20"/>
                <w:szCs w:val="20"/>
              </w:rPr>
              <w:t>Tagant</w:t>
            </w:r>
            <w:proofErr w:type="spellEnd"/>
            <w:r w:rsidRPr="00E668A2">
              <w:rPr>
                <w:rFonts w:ascii="Arial" w:hAnsi="Arial" w:cs="Arial"/>
                <w:sz w:val="20"/>
                <w:szCs w:val="20"/>
              </w:rPr>
              <w:t xml:space="preserve"> </w:t>
            </w:r>
          </w:p>
        </w:tc>
        <w:tc>
          <w:tcPr>
            <w:tcW w:w="1418" w:type="dxa"/>
            <w:tcBorders>
              <w:top w:val="single" w:sz="4" w:space="0" w:color="auto"/>
              <w:left w:val="nil"/>
              <w:bottom w:val="single" w:sz="4" w:space="0" w:color="auto"/>
              <w:right w:val="single" w:sz="4" w:space="0" w:color="auto"/>
            </w:tcBorders>
            <w:vAlign w:val="bottom"/>
          </w:tcPr>
          <w:p w:rsidR="00F56F9A" w:rsidRDefault="00F56F9A" w:rsidP="00080DD0">
            <w:pPr>
              <w:jc w:val="center"/>
              <w:rPr>
                <w:rFonts w:ascii="Arial" w:hAnsi="Arial" w:cs="Arial"/>
                <w:sz w:val="20"/>
                <w:szCs w:val="20"/>
              </w:rPr>
            </w:pPr>
            <w:r>
              <w:rPr>
                <w:rFonts w:ascii="Arial" w:hAnsi="Arial" w:cs="Arial"/>
                <w:sz w:val="20"/>
                <w:szCs w:val="20"/>
              </w:rPr>
              <w:t>109,88%</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F56F9A" w:rsidRPr="00583806" w:rsidRDefault="00F56F9A" w:rsidP="00080DD0">
            <w:pPr>
              <w:jc w:val="center"/>
              <w:rPr>
                <w:rFonts w:ascii="Arial" w:hAnsi="Arial" w:cs="Arial"/>
                <w:b/>
                <w:sz w:val="20"/>
                <w:szCs w:val="20"/>
              </w:rPr>
            </w:pPr>
            <w:r w:rsidRPr="00583806">
              <w:rPr>
                <w:rFonts w:ascii="Arial" w:hAnsi="Arial" w:cs="Arial"/>
                <w:b/>
                <w:sz w:val="20"/>
                <w:szCs w:val="20"/>
              </w:rPr>
              <w:t>92,47%</w:t>
            </w:r>
          </w:p>
        </w:tc>
        <w:tc>
          <w:tcPr>
            <w:tcW w:w="1560" w:type="dxa"/>
            <w:tcBorders>
              <w:top w:val="single" w:sz="4" w:space="0" w:color="auto"/>
              <w:left w:val="nil"/>
              <w:bottom w:val="single" w:sz="4" w:space="0" w:color="auto"/>
              <w:right w:val="single" w:sz="4" w:space="0" w:color="auto"/>
            </w:tcBorders>
            <w:vAlign w:val="bottom"/>
          </w:tcPr>
          <w:p w:rsidR="00F56F9A" w:rsidRDefault="00F56F9A" w:rsidP="00080DD0">
            <w:pPr>
              <w:jc w:val="center"/>
              <w:rPr>
                <w:rFonts w:ascii="Arial" w:hAnsi="Arial" w:cs="Arial"/>
                <w:sz w:val="20"/>
                <w:szCs w:val="20"/>
              </w:rPr>
            </w:pPr>
            <w:r>
              <w:rPr>
                <w:rFonts w:ascii="Arial" w:hAnsi="Arial" w:cs="Arial"/>
                <w:sz w:val="20"/>
                <w:szCs w:val="20"/>
              </w:rPr>
              <w:t>85,68%</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F56F9A" w:rsidRPr="00B624B2" w:rsidRDefault="00F56F9A" w:rsidP="00080DD0">
            <w:pPr>
              <w:jc w:val="center"/>
              <w:rPr>
                <w:rFonts w:ascii="Arial" w:hAnsi="Arial" w:cs="Arial"/>
                <w:b/>
                <w:sz w:val="20"/>
                <w:szCs w:val="20"/>
              </w:rPr>
            </w:pPr>
            <w:r w:rsidRPr="00B624B2">
              <w:rPr>
                <w:rFonts w:ascii="Arial" w:hAnsi="Arial" w:cs="Arial"/>
                <w:b/>
                <w:sz w:val="20"/>
                <w:szCs w:val="20"/>
              </w:rPr>
              <w:t>79,67%</w:t>
            </w:r>
          </w:p>
        </w:tc>
        <w:tc>
          <w:tcPr>
            <w:tcW w:w="1418" w:type="dxa"/>
            <w:tcBorders>
              <w:top w:val="single" w:sz="4" w:space="0" w:color="auto"/>
              <w:left w:val="nil"/>
              <w:bottom w:val="single" w:sz="4" w:space="0" w:color="auto"/>
              <w:right w:val="single" w:sz="4" w:space="0" w:color="auto"/>
            </w:tcBorders>
            <w:vAlign w:val="bottom"/>
          </w:tcPr>
          <w:p w:rsidR="00F56F9A" w:rsidRPr="00B41CA5" w:rsidRDefault="00F56F9A" w:rsidP="00080DD0">
            <w:pPr>
              <w:jc w:val="center"/>
              <w:rPr>
                <w:rFonts w:ascii="Arial" w:hAnsi="Arial" w:cs="Arial"/>
                <w:sz w:val="20"/>
                <w:szCs w:val="20"/>
              </w:rPr>
            </w:pPr>
            <w:r w:rsidRPr="00B41CA5">
              <w:rPr>
                <w:rFonts w:ascii="Arial" w:hAnsi="Arial" w:cs="Arial"/>
                <w:sz w:val="20"/>
                <w:szCs w:val="20"/>
              </w:rPr>
              <w:t>81,64%</w:t>
            </w:r>
          </w:p>
        </w:tc>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F56F9A" w:rsidRPr="00833434" w:rsidRDefault="00F56F9A" w:rsidP="00080DD0">
            <w:pPr>
              <w:jc w:val="center"/>
              <w:rPr>
                <w:rFonts w:ascii="Arial" w:hAnsi="Arial" w:cs="Arial"/>
                <w:b/>
                <w:sz w:val="20"/>
                <w:szCs w:val="20"/>
              </w:rPr>
            </w:pPr>
            <w:r w:rsidRPr="00833434">
              <w:rPr>
                <w:rFonts w:ascii="Arial" w:hAnsi="Arial" w:cs="Arial"/>
                <w:b/>
                <w:sz w:val="20"/>
                <w:szCs w:val="20"/>
              </w:rPr>
              <w:t>76,41%</w:t>
            </w:r>
          </w:p>
        </w:tc>
      </w:tr>
      <w:tr w:rsidR="00F56F9A" w:rsidRPr="00E668A2" w:rsidTr="00080DD0">
        <w:trPr>
          <w:trHeight w:val="255"/>
        </w:trPr>
        <w:tc>
          <w:tcPr>
            <w:tcW w:w="1716" w:type="dxa"/>
            <w:tcBorders>
              <w:top w:val="nil"/>
              <w:left w:val="single" w:sz="8" w:space="0" w:color="auto"/>
              <w:bottom w:val="single" w:sz="4" w:space="0" w:color="auto"/>
              <w:right w:val="single" w:sz="4" w:space="0" w:color="auto"/>
            </w:tcBorders>
            <w:shd w:val="clear" w:color="auto" w:fill="EAF1DD" w:themeFill="accent3" w:themeFillTint="33"/>
            <w:noWrap/>
            <w:vAlign w:val="bottom"/>
            <w:hideMark/>
          </w:tcPr>
          <w:p w:rsidR="00F56F9A" w:rsidRPr="00E668A2" w:rsidRDefault="00F56F9A" w:rsidP="00080DD0">
            <w:pPr>
              <w:rPr>
                <w:rFonts w:ascii="Arial" w:hAnsi="Arial" w:cs="Arial"/>
                <w:sz w:val="20"/>
                <w:szCs w:val="20"/>
              </w:rPr>
            </w:pPr>
            <w:r w:rsidRPr="00E668A2">
              <w:rPr>
                <w:rFonts w:ascii="Arial" w:hAnsi="Arial" w:cs="Arial"/>
                <w:sz w:val="20"/>
                <w:szCs w:val="20"/>
              </w:rPr>
              <w:t xml:space="preserve"> </w:t>
            </w:r>
            <w:proofErr w:type="spellStart"/>
            <w:r>
              <w:rPr>
                <w:rFonts w:ascii="Arial" w:hAnsi="Arial" w:cs="Arial"/>
                <w:sz w:val="20"/>
                <w:szCs w:val="20"/>
              </w:rPr>
              <w:t>Guidimakha</w:t>
            </w:r>
            <w:proofErr w:type="spellEnd"/>
            <w:r w:rsidRPr="00E668A2">
              <w:rPr>
                <w:rFonts w:ascii="Arial" w:hAnsi="Arial" w:cs="Arial"/>
                <w:sz w:val="20"/>
                <w:szCs w:val="20"/>
              </w:rPr>
              <w:t xml:space="preserve"> </w:t>
            </w:r>
          </w:p>
        </w:tc>
        <w:tc>
          <w:tcPr>
            <w:tcW w:w="1418" w:type="dxa"/>
            <w:tcBorders>
              <w:top w:val="single" w:sz="4" w:space="0" w:color="auto"/>
              <w:left w:val="nil"/>
              <w:bottom w:val="single" w:sz="4" w:space="0" w:color="auto"/>
              <w:right w:val="single" w:sz="4" w:space="0" w:color="auto"/>
            </w:tcBorders>
            <w:shd w:val="clear" w:color="auto" w:fill="EAF1DD" w:themeFill="accent3" w:themeFillTint="33"/>
            <w:vAlign w:val="bottom"/>
          </w:tcPr>
          <w:p w:rsidR="00F56F9A" w:rsidRDefault="00F56F9A" w:rsidP="00080DD0">
            <w:pPr>
              <w:jc w:val="center"/>
              <w:rPr>
                <w:rFonts w:ascii="Arial" w:hAnsi="Arial" w:cs="Arial"/>
                <w:sz w:val="20"/>
                <w:szCs w:val="20"/>
              </w:rPr>
            </w:pPr>
            <w:r>
              <w:rPr>
                <w:rFonts w:ascii="Arial" w:hAnsi="Arial" w:cs="Arial"/>
                <w:sz w:val="20"/>
                <w:szCs w:val="20"/>
              </w:rPr>
              <w:t>130,67%</w:t>
            </w:r>
          </w:p>
        </w:tc>
        <w:tc>
          <w:tcPr>
            <w:tcW w:w="1417" w:type="dxa"/>
            <w:tcBorders>
              <w:top w:val="nil"/>
              <w:left w:val="single" w:sz="4" w:space="0" w:color="auto"/>
              <w:bottom w:val="single" w:sz="4" w:space="0" w:color="auto"/>
              <w:right w:val="single" w:sz="4" w:space="0" w:color="auto"/>
            </w:tcBorders>
            <w:shd w:val="clear" w:color="auto" w:fill="EAF1DD" w:themeFill="accent3" w:themeFillTint="33"/>
            <w:noWrap/>
            <w:vAlign w:val="bottom"/>
            <w:hideMark/>
          </w:tcPr>
          <w:p w:rsidR="00F56F9A" w:rsidRPr="00583806" w:rsidRDefault="00F56F9A" w:rsidP="00080DD0">
            <w:pPr>
              <w:jc w:val="center"/>
              <w:rPr>
                <w:rFonts w:ascii="Arial" w:hAnsi="Arial" w:cs="Arial"/>
                <w:b/>
                <w:sz w:val="20"/>
                <w:szCs w:val="20"/>
              </w:rPr>
            </w:pPr>
            <w:r w:rsidRPr="00583806">
              <w:rPr>
                <w:rFonts w:ascii="Arial" w:hAnsi="Arial" w:cs="Arial"/>
                <w:b/>
                <w:sz w:val="20"/>
                <w:szCs w:val="20"/>
              </w:rPr>
              <w:t>111,86%</w:t>
            </w:r>
          </w:p>
        </w:tc>
        <w:tc>
          <w:tcPr>
            <w:tcW w:w="1560" w:type="dxa"/>
            <w:tcBorders>
              <w:top w:val="single" w:sz="4" w:space="0" w:color="auto"/>
              <w:left w:val="nil"/>
              <w:bottom w:val="single" w:sz="4" w:space="0" w:color="auto"/>
              <w:right w:val="single" w:sz="4" w:space="0" w:color="auto"/>
            </w:tcBorders>
            <w:shd w:val="clear" w:color="auto" w:fill="EAF1DD" w:themeFill="accent3" w:themeFillTint="33"/>
            <w:vAlign w:val="bottom"/>
          </w:tcPr>
          <w:p w:rsidR="00F56F9A" w:rsidRDefault="00F56F9A" w:rsidP="00080DD0">
            <w:pPr>
              <w:jc w:val="center"/>
              <w:rPr>
                <w:rFonts w:ascii="Arial" w:hAnsi="Arial" w:cs="Arial"/>
                <w:sz w:val="20"/>
                <w:szCs w:val="20"/>
              </w:rPr>
            </w:pPr>
            <w:r>
              <w:rPr>
                <w:rFonts w:ascii="Arial" w:hAnsi="Arial" w:cs="Arial"/>
                <w:sz w:val="20"/>
                <w:szCs w:val="20"/>
              </w:rPr>
              <w:t> </w:t>
            </w:r>
          </w:p>
        </w:tc>
        <w:tc>
          <w:tcPr>
            <w:tcW w:w="1417" w:type="dxa"/>
            <w:tcBorders>
              <w:top w:val="nil"/>
              <w:left w:val="single" w:sz="4" w:space="0" w:color="auto"/>
              <w:bottom w:val="single" w:sz="4" w:space="0" w:color="auto"/>
              <w:right w:val="single" w:sz="4" w:space="0" w:color="auto"/>
            </w:tcBorders>
            <w:shd w:val="clear" w:color="auto" w:fill="EAF1DD" w:themeFill="accent3" w:themeFillTint="33"/>
            <w:noWrap/>
            <w:vAlign w:val="bottom"/>
            <w:hideMark/>
          </w:tcPr>
          <w:p w:rsidR="00F56F9A" w:rsidRPr="00B624B2" w:rsidRDefault="00F56F9A" w:rsidP="00080DD0">
            <w:pPr>
              <w:jc w:val="center"/>
              <w:rPr>
                <w:rFonts w:ascii="Arial" w:hAnsi="Arial" w:cs="Arial"/>
                <w:b/>
                <w:sz w:val="20"/>
                <w:szCs w:val="20"/>
              </w:rPr>
            </w:pPr>
            <w:r w:rsidRPr="00B624B2">
              <w:rPr>
                <w:rFonts w:ascii="Arial" w:hAnsi="Arial" w:cs="Arial"/>
                <w:b/>
                <w:sz w:val="20"/>
                <w:szCs w:val="20"/>
              </w:rPr>
              <w:t> </w:t>
            </w:r>
          </w:p>
        </w:tc>
        <w:tc>
          <w:tcPr>
            <w:tcW w:w="1418" w:type="dxa"/>
            <w:tcBorders>
              <w:top w:val="single" w:sz="4" w:space="0" w:color="auto"/>
              <w:left w:val="nil"/>
              <w:bottom w:val="single" w:sz="4" w:space="0" w:color="auto"/>
              <w:right w:val="single" w:sz="4" w:space="0" w:color="auto"/>
            </w:tcBorders>
            <w:shd w:val="clear" w:color="auto" w:fill="EAF1DD" w:themeFill="accent3" w:themeFillTint="33"/>
            <w:vAlign w:val="bottom"/>
          </w:tcPr>
          <w:p w:rsidR="00F56F9A" w:rsidRPr="00B41CA5" w:rsidRDefault="00F56F9A" w:rsidP="00080DD0">
            <w:pPr>
              <w:jc w:val="center"/>
              <w:rPr>
                <w:rFonts w:ascii="Arial" w:hAnsi="Arial" w:cs="Arial"/>
                <w:sz w:val="20"/>
                <w:szCs w:val="20"/>
              </w:rPr>
            </w:pPr>
            <w:r w:rsidRPr="00B41CA5">
              <w:rPr>
                <w:rFonts w:ascii="Arial" w:hAnsi="Arial" w:cs="Arial"/>
                <w:sz w:val="20"/>
                <w:szCs w:val="20"/>
              </w:rPr>
              <w:t> </w:t>
            </w:r>
          </w:p>
        </w:tc>
        <w:tc>
          <w:tcPr>
            <w:tcW w:w="1700" w:type="dxa"/>
            <w:tcBorders>
              <w:top w:val="nil"/>
              <w:left w:val="single" w:sz="4" w:space="0" w:color="auto"/>
              <w:bottom w:val="single" w:sz="4" w:space="0" w:color="auto"/>
              <w:right w:val="single" w:sz="4" w:space="0" w:color="auto"/>
            </w:tcBorders>
            <w:shd w:val="clear" w:color="auto" w:fill="EAF1DD" w:themeFill="accent3" w:themeFillTint="33"/>
            <w:noWrap/>
            <w:vAlign w:val="bottom"/>
            <w:hideMark/>
          </w:tcPr>
          <w:p w:rsidR="00F56F9A" w:rsidRPr="00833434" w:rsidRDefault="00F56F9A" w:rsidP="00080DD0">
            <w:pPr>
              <w:jc w:val="center"/>
              <w:rPr>
                <w:rFonts w:ascii="Arial" w:hAnsi="Arial" w:cs="Arial"/>
                <w:b/>
                <w:sz w:val="20"/>
                <w:szCs w:val="20"/>
              </w:rPr>
            </w:pPr>
            <w:r w:rsidRPr="00833434">
              <w:rPr>
                <w:rFonts w:ascii="Arial" w:hAnsi="Arial" w:cs="Arial"/>
                <w:b/>
                <w:sz w:val="20"/>
                <w:szCs w:val="20"/>
              </w:rPr>
              <w:t> </w:t>
            </w:r>
          </w:p>
        </w:tc>
      </w:tr>
      <w:tr w:rsidR="00F56F9A" w:rsidRPr="00E668A2" w:rsidTr="00080DD0">
        <w:trPr>
          <w:trHeight w:val="255"/>
        </w:trPr>
        <w:tc>
          <w:tcPr>
            <w:tcW w:w="1716" w:type="dxa"/>
            <w:tcBorders>
              <w:top w:val="nil"/>
              <w:left w:val="single" w:sz="8" w:space="0" w:color="auto"/>
              <w:bottom w:val="single" w:sz="4" w:space="0" w:color="auto"/>
              <w:right w:val="single" w:sz="4" w:space="0" w:color="auto"/>
            </w:tcBorders>
            <w:shd w:val="clear" w:color="auto" w:fill="auto"/>
            <w:noWrap/>
            <w:vAlign w:val="bottom"/>
            <w:hideMark/>
          </w:tcPr>
          <w:p w:rsidR="00F56F9A" w:rsidRPr="00E668A2" w:rsidRDefault="00F56F9A" w:rsidP="00080DD0">
            <w:pPr>
              <w:rPr>
                <w:rFonts w:ascii="Arial" w:hAnsi="Arial" w:cs="Arial"/>
                <w:sz w:val="20"/>
                <w:szCs w:val="20"/>
              </w:rPr>
            </w:pPr>
            <w:r w:rsidRPr="00E668A2">
              <w:rPr>
                <w:rFonts w:ascii="Arial" w:hAnsi="Arial" w:cs="Arial"/>
                <w:sz w:val="20"/>
                <w:szCs w:val="20"/>
              </w:rPr>
              <w:t xml:space="preserve"> </w:t>
            </w:r>
            <w:proofErr w:type="spellStart"/>
            <w:r w:rsidRPr="00E668A2">
              <w:rPr>
                <w:rFonts w:ascii="Arial" w:hAnsi="Arial" w:cs="Arial"/>
                <w:sz w:val="20"/>
                <w:szCs w:val="20"/>
              </w:rPr>
              <w:t>Tiris</w:t>
            </w:r>
            <w:proofErr w:type="spellEnd"/>
            <w:r w:rsidRPr="00E668A2">
              <w:rPr>
                <w:rFonts w:ascii="Arial" w:hAnsi="Arial" w:cs="Arial"/>
                <w:sz w:val="20"/>
                <w:szCs w:val="20"/>
              </w:rPr>
              <w:t>-</w:t>
            </w:r>
            <w:proofErr w:type="spellStart"/>
            <w:r w:rsidRPr="00E668A2">
              <w:rPr>
                <w:rFonts w:ascii="Arial" w:hAnsi="Arial" w:cs="Arial"/>
                <w:sz w:val="20"/>
                <w:szCs w:val="20"/>
              </w:rPr>
              <w:t>Zemmour</w:t>
            </w:r>
            <w:proofErr w:type="spellEnd"/>
            <w:r w:rsidRPr="00E668A2">
              <w:rPr>
                <w:rFonts w:ascii="Arial" w:hAnsi="Arial" w:cs="Arial"/>
                <w:sz w:val="20"/>
                <w:szCs w:val="20"/>
              </w:rPr>
              <w:t xml:space="preserve"> </w:t>
            </w:r>
          </w:p>
        </w:tc>
        <w:tc>
          <w:tcPr>
            <w:tcW w:w="1418" w:type="dxa"/>
            <w:tcBorders>
              <w:top w:val="single" w:sz="4" w:space="0" w:color="auto"/>
              <w:left w:val="nil"/>
              <w:bottom w:val="single" w:sz="4" w:space="0" w:color="auto"/>
              <w:right w:val="single" w:sz="4" w:space="0" w:color="auto"/>
            </w:tcBorders>
            <w:vAlign w:val="bottom"/>
          </w:tcPr>
          <w:p w:rsidR="00F56F9A" w:rsidRDefault="00F56F9A" w:rsidP="00080DD0">
            <w:pPr>
              <w:jc w:val="center"/>
              <w:rPr>
                <w:rFonts w:ascii="Arial" w:hAnsi="Arial" w:cs="Arial"/>
                <w:sz w:val="20"/>
                <w:szCs w:val="20"/>
              </w:rPr>
            </w:pPr>
            <w:r>
              <w:rPr>
                <w:rFonts w:ascii="Arial" w:hAnsi="Arial" w:cs="Arial"/>
                <w:sz w:val="20"/>
                <w:szCs w:val="20"/>
              </w:rPr>
              <w:t>68,56%</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F56F9A" w:rsidRPr="00583806" w:rsidRDefault="00F56F9A" w:rsidP="00080DD0">
            <w:pPr>
              <w:jc w:val="center"/>
              <w:rPr>
                <w:rFonts w:ascii="Arial" w:hAnsi="Arial" w:cs="Arial"/>
                <w:b/>
                <w:sz w:val="20"/>
                <w:szCs w:val="20"/>
              </w:rPr>
            </w:pPr>
            <w:r w:rsidRPr="00583806">
              <w:rPr>
                <w:rFonts w:ascii="Arial" w:hAnsi="Arial" w:cs="Arial"/>
                <w:b/>
                <w:sz w:val="20"/>
                <w:szCs w:val="20"/>
              </w:rPr>
              <w:t>101,90%</w:t>
            </w:r>
          </w:p>
        </w:tc>
        <w:tc>
          <w:tcPr>
            <w:tcW w:w="1560" w:type="dxa"/>
            <w:tcBorders>
              <w:top w:val="single" w:sz="4" w:space="0" w:color="auto"/>
              <w:left w:val="nil"/>
              <w:bottom w:val="single" w:sz="4" w:space="0" w:color="auto"/>
              <w:right w:val="single" w:sz="4" w:space="0" w:color="auto"/>
            </w:tcBorders>
            <w:vAlign w:val="bottom"/>
          </w:tcPr>
          <w:p w:rsidR="00F56F9A" w:rsidRDefault="00F56F9A" w:rsidP="00080DD0">
            <w:pPr>
              <w:jc w:val="center"/>
              <w:rPr>
                <w:rFonts w:ascii="Arial" w:hAnsi="Arial" w:cs="Arial"/>
                <w:sz w:val="20"/>
                <w:szCs w:val="20"/>
              </w:rPr>
            </w:pPr>
            <w:r>
              <w:rPr>
                <w:rFonts w:ascii="Arial" w:hAnsi="Arial" w:cs="Arial"/>
                <w:sz w:val="20"/>
                <w:szCs w:val="20"/>
              </w:rPr>
              <w:t>53,48%</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F56F9A" w:rsidRPr="00B624B2" w:rsidRDefault="00F56F9A" w:rsidP="00080DD0">
            <w:pPr>
              <w:jc w:val="center"/>
              <w:rPr>
                <w:rFonts w:ascii="Arial" w:hAnsi="Arial" w:cs="Arial"/>
                <w:b/>
                <w:sz w:val="20"/>
                <w:szCs w:val="20"/>
              </w:rPr>
            </w:pPr>
            <w:r w:rsidRPr="00B624B2">
              <w:rPr>
                <w:rFonts w:ascii="Arial" w:hAnsi="Arial" w:cs="Arial"/>
                <w:b/>
                <w:sz w:val="20"/>
                <w:szCs w:val="20"/>
              </w:rPr>
              <w:t>67,18%</w:t>
            </w:r>
          </w:p>
        </w:tc>
        <w:tc>
          <w:tcPr>
            <w:tcW w:w="1418" w:type="dxa"/>
            <w:tcBorders>
              <w:top w:val="single" w:sz="4" w:space="0" w:color="auto"/>
              <w:left w:val="nil"/>
              <w:bottom w:val="single" w:sz="4" w:space="0" w:color="auto"/>
              <w:right w:val="single" w:sz="4" w:space="0" w:color="auto"/>
            </w:tcBorders>
            <w:vAlign w:val="bottom"/>
          </w:tcPr>
          <w:p w:rsidR="00F56F9A" w:rsidRPr="00B41CA5" w:rsidRDefault="00F56F9A" w:rsidP="00080DD0">
            <w:pPr>
              <w:jc w:val="center"/>
              <w:rPr>
                <w:rFonts w:ascii="Arial" w:hAnsi="Arial" w:cs="Arial"/>
                <w:sz w:val="20"/>
                <w:szCs w:val="20"/>
              </w:rPr>
            </w:pPr>
            <w:r w:rsidRPr="00B41CA5">
              <w:rPr>
                <w:rFonts w:ascii="Arial" w:hAnsi="Arial" w:cs="Arial"/>
                <w:sz w:val="20"/>
                <w:szCs w:val="20"/>
              </w:rPr>
              <w:t>40,35%</w:t>
            </w:r>
          </w:p>
        </w:tc>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F56F9A" w:rsidRPr="00833434" w:rsidRDefault="00F56F9A" w:rsidP="00080DD0">
            <w:pPr>
              <w:jc w:val="center"/>
              <w:rPr>
                <w:rFonts w:ascii="Arial" w:hAnsi="Arial" w:cs="Arial"/>
                <w:b/>
                <w:sz w:val="20"/>
                <w:szCs w:val="20"/>
              </w:rPr>
            </w:pPr>
            <w:r w:rsidRPr="00833434">
              <w:rPr>
                <w:rFonts w:ascii="Arial" w:hAnsi="Arial" w:cs="Arial"/>
                <w:b/>
                <w:sz w:val="20"/>
                <w:szCs w:val="20"/>
              </w:rPr>
              <w:t>50,22%</w:t>
            </w:r>
          </w:p>
        </w:tc>
      </w:tr>
      <w:tr w:rsidR="00F56F9A" w:rsidRPr="00E668A2" w:rsidTr="00080DD0">
        <w:trPr>
          <w:trHeight w:val="255"/>
        </w:trPr>
        <w:tc>
          <w:tcPr>
            <w:tcW w:w="1716" w:type="dxa"/>
            <w:tcBorders>
              <w:top w:val="nil"/>
              <w:left w:val="single" w:sz="8" w:space="0" w:color="auto"/>
              <w:bottom w:val="single" w:sz="4" w:space="0" w:color="auto"/>
              <w:right w:val="single" w:sz="4" w:space="0" w:color="auto"/>
            </w:tcBorders>
            <w:shd w:val="clear" w:color="auto" w:fill="EAF1DD" w:themeFill="accent3" w:themeFillTint="33"/>
            <w:noWrap/>
            <w:vAlign w:val="bottom"/>
            <w:hideMark/>
          </w:tcPr>
          <w:p w:rsidR="00F56F9A" w:rsidRPr="00E668A2" w:rsidRDefault="00F56F9A" w:rsidP="00080DD0">
            <w:pPr>
              <w:rPr>
                <w:rFonts w:ascii="Arial" w:hAnsi="Arial" w:cs="Arial"/>
                <w:sz w:val="20"/>
                <w:szCs w:val="20"/>
              </w:rPr>
            </w:pPr>
            <w:r w:rsidRPr="00E668A2">
              <w:rPr>
                <w:rFonts w:ascii="Arial" w:hAnsi="Arial" w:cs="Arial"/>
                <w:sz w:val="20"/>
                <w:szCs w:val="20"/>
              </w:rPr>
              <w:t xml:space="preserve"> </w:t>
            </w:r>
            <w:proofErr w:type="spellStart"/>
            <w:r w:rsidRPr="00E668A2">
              <w:rPr>
                <w:rFonts w:ascii="Arial" w:hAnsi="Arial" w:cs="Arial"/>
                <w:sz w:val="20"/>
                <w:szCs w:val="20"/>
              </w:rPr>
              <w:t>Inchiri</w:t>
            </w:r>
            <w:proofErr w:type="spellEnd"/>
            <w:r w:rsidRPr="00E668A2">
              <w:rPr>
                <w:rFonts w:ascii="Arial" w:hAnsi="Arial" w:cs="Arial"/>
                <w:sz w:val="20"/>
                <w:szCs w:val="20"/>
              </w:rPr>
              <w:t xml:space="preserve"> </w:t>
            </w:r>
          </w:p>
        </w:tc>
        <w:tc>
          <w:tcPr>
            <w:tcW w:w="1418" w:type="dxa"/>
            <w:tcBorders>
              <w:top w:val="single" w:sz="4" w:space="0" w:color="auto"/>
              <w:left w:val="nil"/>
              <w:bottom w:val="single" w:sz="4" w:space="0" w:color="auto"/>
              <w:right w:val="single" w:sz="4" w:space="0" w:color="auto"/>
            </w:tcBorders>
            <w:shd w:val="clear" w:color="auto" w:fill="EAF1DD" w:themeFill="accent3" w:themeFillTint="33"/>
            <w:vAlign w:val="bottom"/>
          </w:tcPr>
          <w:p w:rsidR="00F56F9A" w:rsidRDefault="00F56F9A" w:rsidP="00080DD0">
            <w:pPr>
              <w:jc w:val="center"/>
              <w:rPr>
                <w:rFonts w:ascii="Arial" w:hAnsi="Arial" w:cs="Arial"/>
                <w:sz w:val="20"/>
                <w:szCs w:val="20"/>
              </w:rPr>
            </w:pPr>
            <w:r>
              <w:rPr>
                <w:rFonts w:ascii="Arial" w:hAnsi="Arial" w:cs="Arial"/>
                <w:sz w:val="20"/>
                <w:szCs w:val="20"/>
              </w:rPr>
              <w:t>104,69%</w:t>
            </w:r>
          </w:p>
        </w:tc>
        <w:tc>
          <w:tcPr>
            <w:tcW w:w="1417" w:type="dxa"/>
            <w:tcBorders>
              <w:top w:val="nil"/>
              <w:left w:val="single" w:sz="4" w:space="0" w:color="auto"/>
              <w:bottom w:val="single" w:sz="4" w:space="0" w:color="auto"/>
              <w:right w:val="single" w:sz="4" w:space="0" w:color="auto"/>
            </w:tcBorders>
            <w:shd w:val="clear" w:color="auto" w:fill="EAF1DD" w:themeFill="accent3" w:themeFillTint="33"/>
            <w:noWrap/>
            <w:vAlign w:val="bottom"/>
            <w:hideMark/>
          </w:tcPr>
          <w:p w:rsidR="00F56F9A" w:rsidRPr="00583806" w:rsidRDefault="00F56F9A" w:rsidP="00080DD0">
            <w:pPr>
              <w:jc w:val="center"/>
              <w:rPr>
                <w:rFonts w:ascii="Arial" w:hAnsi="Arial" w:cs="Arial"/>
                <w:b/>
                <w:sz w:val="20"/>
                <w:szCs w:val="20"/>
              </w:rPr>
            </w:pPr>
            <w:r w:rsidRPr="00583806">
              <w:rPr>
                <w:rFonts w:ascii="Arial" w:hAnsi="Arial" w:cs="Arial"/>
                <w:b/>
                <w:sz w:val="20"/>
                <w:szCs w:val="20"/>
              </w:rPr>
              <w:t>112,42%</w:t>
            </w:r>
          </w:p>
        </w:tc>
        <w:tc>
          <w:tcPr>
            <w:tcW w:w="1560" w:type="dxa"/>
            <w:tcBorders>
              <w:top w:val="single" w:sz="4" w:space="0" w:color="auto"/>
              <w:left w:val="nil"/>
              <w:bottom w:val="single" w:sz="4" w:space="0" w:color="auto"/>
              <w:right w:val="single" w:sz="4" w:space="0" w:color="auto"/>
            </w:tcBorders>
            <w:shd w:val="clear" w:color="auto" w:fill="EAF1DD" w:themeFill="accent3" w:themeFillTint="33"/>
            <w:vAlign w:val="bottom"/>
          </w:tcPr>
          <w:p w:rsidR="00F56F9A" w:rsidRDefault="00F56F9A" w:rsidP="00080DD0">
            <w:pPr>
              <w:jc w:val="center"/>
              <w:rPr>
                <w:rFonts w:ascii="Arial" w:hAnsi="Arial" w:cs="Arial"/>
                <w:sz w:val="20"/>
                <w:szCs w:val="20"/>
              </w:rPr>
            </w:pPr>
            <w:r>
              <w:rPr>
                <w:rFonts w:ascii="Arial" w:hAnsi="Arial" w:cs="Arial"/>
                <w:sz w:val="20"/>
                <w:szCs w:val="20"/>
              </w:rPr>
              <w:t>82,60%</w:t>
            </w:r>
          </w:p>
        </w:tc>
        <w:tc>
          <w:tcPr>
            <w:tcW w:w="1417" w:type="dxa"/>
            <w:tcBorders>
              <w:top w:val="nil"/>
              <w:left w:val="single" w:sz="4" w:space="0" w:color="auto"/>
              <w:bottom w:val="single" w:sz="4" w:space="0" w:color="auto"/>
              <w:right w:val="single" w:sz="4" w:space="0" w:color="auto"/>
            </w:tcBorders>
            <w:shd w:val="clear" w:color="auto" w:fill="EAF1DD" w:themeFill="accent3" w:themeFillTint="33"/>
            <w:noWrap/>
            <w:vAlign w:val="bottom"/>
            <w:hideMark/>
          </w:tcPr>
          <w:p w:rsidR="00F56F9A" w:rsidRPr="00B624B2" w:rsidRDefault="00F56F9A" w:rsidP="00080DD0">
            <w:pPr>
              <w:jc w:val="center"/>
              <w:rPr>
                <w:rFonts w:ascii="Arial" w:hAnsi="Arial" w:cs="Arial"/>
                <w:b/>
                <w:sz w:val="20"/>
                <w:szCs w:val="20"/>
              </w:rPr>
            </w:pPr>
            <w:r w:rsidRPr="00B624B2">
              <w:rPr>
                <w:rFonts w:ascii="Arial" w:hAnsi="Arial" w:cs="Arial"/>
                <w:b/>
                <w:sz w:val="20"/>
                <w:szCs w:val="20"/>
              </w:rPr>
              <w:t>94,20%</w:t>
            </w:r>
          </w:p>
        </w:tc>
        <w:tc>
          <w:tcPr>
            <w:tcW w:w="1418" w:type="dxa"/>
            <w:tcBorders>
              <w:top w:val="single" w:sz="4" w:space="0" w:color="auto"/>
              <w:left w:val="nil"/>
              <w:bottom w:val="single" w:sz="4" w:space="0" w:color="auto"/>
              <w:right w:val="single" w:sz="4" w:space="0" w:color="auto"/>
            </w:tcBorders>
            <w:shd w:val="clear" w:color="auto" w:fill="EAF1DD" w:themeFill="accent3" w:themeFillTint="33"/>
            <w:vAlign w:val="bottom"/>
          </w:tcPr>
          <w:p w:rsidR="00F56F9A" w:rsidRPr="00B41CA5" w:rsidRDefault="00F56F9A" w:rsidP="00080DD0">
            <w:pPr>
              <w:jc w:val="center"/>
              <w:rPr>
                <w:rFonts w:ascii="Arial" w:hAnsi="Arial" w:cs="Arial"/>
                <w:sz w:val="20"/>
                <w:szCs w:val="20"/>
              </w:rPr>
            </w:pPr>
            <w:r w:rsidRPr="00B41CA5">
              <w:rPr>
                <w:rFonts w:ascii="Arial" w:hAnsi="Arial" w:cs="Arial"/>
                <w:sz w:val="20"/>
                <w:szCs w:val="20"/>
              </w:rPr>
              <w:t>77,94%</w:t>
            </w:r>
          </w:p>
        </w:tc>
        <w:tc>
          <w:tcPr>
            <w:tcW w:w="1700" w:type="dxa"/>
            <w:tcBorders>
              <w:top w:val="nil"/>
              <w:left w:val="single" w:sz="4" w:space="0" w:color="auto"/>
              <w:bottom w:val="single" w:sz="4" w:space="0" w:color="auto"/>
              <w:right w:val="single" w:sz="4" w:space="0" w:color="auto"/>
            </w:tcBorders>
            <w:shd w:val="clear" w:color="auto" w:fill="EAF1DD" w:themeFill="accent3" w:themeFillTint="33"/>
            <w:noWrap/>
            <w:vAlign w:val="bottom"/>
            <w:hideMark/>
          </w:tcPr>
          <w:p w:rsidR="00F56F9A" w:rsidRPr="00833434" w:rsidRDefault="00F56F9A" w:rsidP="00080DD0">
            <w:pPr>
              <w:jc w:val="center"/>
              <w:rPr>
                <w:rFonts w:ascii="Arial" w:hAnsi="Arial" w:cs="Arial"/>
                <w:b/>
                <w:sz w:val="20"/>
                <w:szCs w:val="20"/>
              </w:rPr>
            </w:pPr>
            <w:r w:rsidRPr="00833434">
              <w:rPr>
                <w:rFonts w:ascii="Arial" w:hAnsi="Arial" w:cs="Arial"/>
                <w:b/>
                <w:sz w:val="20"/>
                <w:szCs w:val="20"/>
              </w:rPr>
              <w:t>93,08%</w:t>
            </w:r>
          </w:p>
        </w:tc>
      </w:tr>
      <w:tr w:rsidR="00F56F9A" w:rsidRPr="00E668A2" w:rsidTr="00080DD0">
        <w:trPr>
          <w:trHeight w:val="270"/>
        </w:trPr>
        <w:tc>
          <w:tcPr>
            <w:tcW w:w="1716" w:type="dxa"/>
            <w:tcBorders>
              <w:top w:val="nil"/>
              <w:left w:val="single" w:sz="8" w:space="0" w:color="auto"/>
              <w:bottom w:val="single" w:sz="4" w:space="0" w:color="auto"/>
              <w:right w:val="single" w:sz="4" w:space="0" w:color="auto"/>
            </w:tcBorders>
            <w:shd w:val="clear" w:color="auto" w:fill="auto"/>
            <w:noWrap/>
            <w:vAlign w:val="bottom"/>
            <w:hideMark/>
          </w:tcPr>
          <w:p w:rsidR="00F56F9A" w:rsidRPr="00E668A2" w:rsidRDefault="00F56F9A" w:rsidP="00080DD0">
            <w:pPr>
              <w:rPr>
                <w:rFonts w:ascii="Arial" w:hAnsi="Arial" w:cs="Arial"/>
                <w:sz w:val="20"/>
                <w:szCs w:val="20"/>
              </w:rPr>
            </w:pPr>
            <w:r w:rsidRPr="00E668A2">
              <w:rPr>
                <w:rFonts w:ascii="Arial" w:hAnsi="Arial" w:cs="Arial"/>
                <w:sz w:val="20"/>
                <w:szCs w:val="20"/>
              </w:rPr>
              <w:t xml:space="preserve"> Nouakchott </w:t>
            </w:r>
          </w:p>
        </w:tc>
        <w:tc>
          <w:tcPr>
            <w:tcW w:w="1418" w:type="dxa"/>
            <w:tcBorders>
              <w:top w:val="single" w:sz="4" w:space="0" w:color="auto"/>
              <w:left w:val="nil"/>
              <w:bottom w:val="single" w:sz="4" w:space="0" w:color="auto"/>
              <w:right w:val="single" w:sz="4" w:space="0" w:color="auto"/>
            </w:tcBorders>
            <w:vAlign w:val="bottom"/>
          </w:tcPr>
          <w:p w:rsidR="00F56F9A" w:rsidRDefault="00F56F9A" w:rsidP="00080DD0">
            <w:pPr>
              <w:jc w:val="center"/>
              <w:rPr>
                <w:rFonts w:ascii="Arial" w:hAnsi="Arial" w:cs="Arial"/>
                <w:sz w:val="20"/>
                <w:szCs w:val="20"/>
              </w:rPr>
            </w:pPr>
            <w:r>
              <w:rPr>
                <w:rFonts w:ascii="Arial" w:hAnsi="Arial" w:cs="Arial"/>
                <w:sz w:val="20"/>
                <w:szCs w:val="20"/>
              </w:rPr>
              <w:t>89,18%</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F56F9A" w:rsidRPr="00583806" w:rsidRDefault="00F56F9A" w:rsidP="00080DD0">
            <w:pPr>
              <w:jc w:val="center"/>
              <w:rPr>
                <w:rFonts w:ascii="Arial" w:hAnsi="Arial" w:cs="Arial"/>
                <w:b/>
                <w:sz w:val="20"/>
                <w:szCs w:val="20"/>
              </w:rPr>
            </w:pPr>
            <w:r w:rsidRPr="00583806">
              <w:rPr>
                <w:rFonts w:ascii="Arial" w:hAnsi="Arial" w:cs="Arial"/>
                <w:b/>
                <w:sz w:val="20"/>
                <w:szCs w:val="20"/>
              </w:rPr>
              <w:t>82,66%</w:t>
            </w:r>
          </w:p>
        </w:tc>
        <w:tc>
          <w:tcPr>
            <w:tcW w:w="1560" w:type="dxa"/>
            <w:tcBorders>
              <w:top w:val="single" w:sz="4" w:space="0" w:color="auto"/>
              <w:left w:val="nil"/>
              <w:bottom w:val="single" w:sz="4" w:space="0" w:color="auto"/>
              <w:right w:val="single" w:sz="4" w:space="0" w:color="auto"/>
            </w:tcBorders>
            <w:vAlign w:val="bottom"/>
          </w:tcPr>
          <w:p w:rsidR="00F56F9A" w:rsidRDefault="00F56F9A" w:rsidP="00080DD0">
            <w:pPr>
              <w:jc w:val="center"/>
              <w:rPr>
                <w:rFonts w:ascii="Arial" w:hAnsi="Arial" w:cs="Arial"/>
                <w:sz w:val="20"/>
                <w:szCs w:val="20"/>
              </w:rPr>
            </w:pPr>
            <w:r>
              <w:rPr>
                <w:rFonts w:ascii="Arial" w:hAnsi="Arial" w:cs="Arial"/>
                <w:sz w:val="20"/>
                <w:szCs w:val="20"/>
              </w:rPr>
              <w:t>69,32%</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F56F9A" w:rsidRPr="00B624B2" w:rsidRDefault="00F56F9A" w:rsidP="00080DD0">
            <w:pPr>
              <w:jc w:val="center"/>
              <w:rPr>
                <w:rFonts w:ascii="Arial" w:hAnsi="Arial" w:cs="Arial"/>
                <w:b/>
                <w:sz w:val="20"/>
                <w:szCs w:val="20"/>
              </w:rPr>
            </w:pPr>
            <w:r w:rsidRPr="00B624B2">
              <w:rPr>
                <w:rFonts w:ascii="Arial" w:hAnsi="Arial" w:cs="Arial"/>
                <w:b/>
                <w:sz w:val="20"/>
                <w:szCs w:val="20"/>
              </w:rPr>
              <w:t>62,03%</w:t>
            </w:r>
          </w:p>
        </w:tc>
        <w:tc>
          <w:tcPr>
            <w:tcW w:w="1418" w:type="dxa"/>
            <w:tcBorders>
              <w:top w:val="single" w:sz="4" w:space="0" w:color="auto"/>
              <w:left w:val="nil"/>
              <w:bottom w:val="single" w:sz="4" w:space="0" w:color="auto"/>
              <w:right w:val="single" w:sz="4" w:space="0" w:color="auto"/>
            </w:tcBorders>
            <w:vAlign w:val="bottom"/>
          </w:tcPr>
          <w:p w:rsidR="00F56F9A" w:rsidRPr="00B41CA5" w:rsidRDefault="00F56F9A" w:rsidP="00080DD0">
            <w:pPr>
              <w:jc w:val="center"/>
              <w:rPr>
                <w:rFonts w:ascii="Arial" w:hAnsi="Arial" w:cs="Arial"/>
                <w:sz w:val="20"/>
                <w:szCs w:val="20"/>
              </w:rPr>
            </w:pPr>
            <w:r w:rsidRPr="00B41CA5">
              <w:rPr>
                <w:rFonts w:ascii="Arial" w:hAnsi="Arial" w:cs="Arial"/>
                <w:sz w:val="20"/>
                <w:szCs w:val="20"/>
              </w:rPr>
              <w:t>60,54%</w:t>
            </w:r>
          </w:p>
        </w:tc>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F56F9A" w:rsidRPr="00833434" w:rsidRDefault="00F56F9A" w:rsidP="00080DD0">
            <w:pPr>
              <w:jc w:val="center"/>
              <w:rPr>
                <w:rFonts w:ascii="Arial" w:hAnsi="Arial" w:cs="Arial"/>
                <w:b/>
                <w:sz w:val="20"/>
                <w:szCs w:val="20"/>
              </w:rPr>
            </w:pPr>
            <w:r w:rsidRPr="00833434">
              <w:rPr>
                <w:rFonts w:ascii="Arial" w:hAnsi="Arial" w:cs="Arial"/>
                <w:b/>
                <w:sz w:val="20"/>
                <w:szCs w:val="20"/>
              </w:rPr>
              <w:t>49,39%</w:t>
            </w:r>
          </w:p>
        </w:tc>
      </w:tr>
      <w:tr w:rsidR="00F56F9A" w:rsidRPr="00E668A2" w:rsidTr="00080DD0">
        <w:trPr>
          <w:trHeight w:val="270"/>
        </w:trPr>
        <w:tc>
          <w:tcPr>
            <w:tcW w:w="1716"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bottom"/>
            <w:hideMark/>
          </w:tcPr>
          <w:p w:rsidR="00F56F9A" w:rsidRPr="00E668A2" w:rsidRDefault="00F56F9A" w:rsidP="00080DD0">
            <w:pPr>
              <w:jc w:val="center"/>
              <w:rPr>
                <w:rFonts w:ascii="Arial" w:hAnsi="Arial" w:cs="Arial"/>
                <w:b/>
                <w:bCs/>
                <w:sz w:val="20"/>
                <w:szCs w:val="20"/>
              </w:rPr>
            </w:pPr>
            <w:r w:rsidRPr="00E668A2">
              <w:rPr>
                <w:rFonts w:ascii="Arial" w:hAnsi="Arial" w:cs="Arial"/>
                <w:b/>
                <w:bCs/>
                <w:sz w:val="20"/>
                <w:szCs w:val="20"/>
              </w:rPr>
              <w:t xml:space="preserve"> Total </w:t>
            </w:r>
          </w:p>
        </w:tc>
        <w:tc>
          <w:tcPr>
            <w:tcW w:w="1418"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bottom"/>
          </w:tcPr>
          <w:p w:rsidR="00F56F9A" w:rsidRPr="00EB7F2A" w:rsidRDefault="00F56F9A" w:rsidP="00080DD0">
            <w:pPr>
              <w:jc w:val="center"/>
              <w:rPr>
                <w:rFonts w:ascii="Arial" w:hAnsi="Arial" w:cs="Arial"/>
                <w:sz w:val="20"/>
                <w:szCs w:val="20"/>
              </w:rPr>
            </w:pPr>
            <w:r>
              <w:rPr>
                <w:rFonts w:ascii="Arial" w:hAnsi="Arial" w:cs="Arial"/>
                <w:sz w:val="20"/>
                <w:szCs w:val="20"/>
              </w:rPr>
              <w:t>102,16</w:t>
            </w:r>
            <w:r w:rsidRPr="00EB7F2A">
              <w:rPr>
                <w:rFonts w:ascii="Arial" w:hAnsi="Arial" w:cs="Arial"/>
                <w:sz w:val="20"/>
                <w:szCs w:val="20"/>
              </w:rPr>
              <w:t>%</w:t>
            </w:r>
          </w:p>
        </w:tc>
        <w:tc>
          <w:tcPr>
            <w:tcW w:w="1417"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bottom"/>
            <w:hideMark/>
          </w:tcPr>
          <w:p w:rsidR="00F56F9A" w:rsidRPr="00E668A2" w:rsidRDefault="00F56F9A" w:rsidP="00080DD0">
            <w:pPr>
              <w:jc w:val="center"/>
              <w:rPr>
                <w:rFonts w:ascii="Arial" w:hAnsi="Arial" w:cs="Arial"/>
                <w:b/>
                <w:bCs/>
                <w:sz w:val="20"/>
                <w:szCs w:val="20"/>
              </w:rPr>
            </w:pPr>
            <w:r w:rsidRPr="00E668A2">
              <w:rPr>
                <w:rFonts w:ascii="Arial" w:hAnsi="Arial" w:cs="Arial"/>
                <w:b/>
                <w:bCs/>
                <w:sz w:val="20"/>
                <w:szCs w:val="20"/>
              </w:rPr>
              <w:t>93,62%</w:t>
            </w:r>
          </w:p>
        </w:tc>
        <w:tc>
          <w:tcPr>
            <w:tcW w:w="1560" w:type="dxa"/>
            <w:tcBorders>
              <w:top w:val="single" w:sz="4" w:space="0" w:color="auto"/>
              <w:left w:val="nil"/>
              <w:bottom w:val="single" w:sz="4" w:space="0" w:color="auto"/>
              <w:right w:val="single" w:sz="4" w:space="0" w:color="auto"/>
            </w:tcBorders>
            <w:shd w:val="clear" w:color="auto" w:fill="D6E3BC" w:themeFill="accent3" w:themeFillTint="66"/>
            <w:vAlign w:val="bottom"/>
          </w:tcPr>
          <w:p w:rsidR="00F56F9A" w:rsidRPr="00B624B2" w:rsidRDefault="00F56F9A" w:rsidP="00080DD0">
            <w:pPr>
              <w:jc w:val="center"/>
              <w:rPr>
                <w:rFonts w:ascii="Arial" w:hAnsi="Arial" w:cs="Arial"/>
                <w:bCs/>
                <w:sz w:val="20"/>
                <w:szCs w:val="20"/>
              </w:rPr>
            </w:pPr>
            <w:r w:rsidRPr="00B624B2">
              <w:rPr>
                <w:rFonts w:ascii="Arial" w:hAnsi="Arial" w:cs="Arial"/>
                <w:bCs/>
                <w:sz w:val="20"/>
                <w:szCs w:val="20"/>
              </w:rPr>
              <w:t>78,34%</w:t>
            </w:r>
          </w:p>
        </w:tc>
        <w:tc>
          <w:tcPr>
            <w:tcW w:w="1417"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bottom"/>
            <w:hideMark/>
          </w:tcPr>
          <w:p w:rsidR="00F56F9A" w:rsidRPr="00B624B2" w:rsidRDefault="00F56F9A" w:rsidP="00080DD0">
            <w:pPr>
              <w:jc w:val="center"/>
              <w:rPr>
                <w:rFonts w:ascii="Arial" w:hAnsi="Arial" w:cs="Arial"/>
                <w:b/>
                <w:bCs/>
                <w:sz w:val="20"/>
                <w:szCs w:val="20"/>
              </w:rPr>
            </w:pPr>
            <w:r w:rsidRPr="00B624B2">
              <w:rPr>
                <w:rFonts w:ascii="Arial" w:hAnsi="Arial" w:cs="Arial"/>
                <w:b/>
                <w:bCs/>
                <w:sz w:val="20"/>
                <w:szCs w:val="20"/>
              </w:rPr>
              <w:t>74,27%</w:t>
            </w:r>
          </w:p>
        </w:tc>
        <w:tc>
          <w:tcPr>
            <w:tcW w:w="1418" w:type="dxa"/>
            <w:tcBorders>
              <w:top w:val="single" w:sz="4" w:space="0" w:color="auto"/>
              <w:left w:val="nil"/>
              <w:bottom w:val="single" w:sz="4" w:space="0" w:color="auto"/>
              <w:right w:val="single" w:sz="4" w:space="0" w:color="auto"/>
            </w:tcBorders>
            <w:shd w:val="clear" w:color="auto" w:fill="D6E3BC" w:themeFill="accent3" w:themeFillTint="66"/>
            <w:vAlign w:val="bottom"/>
          </w:tcPr>
          <w:p w:rsidR="00F56F9A" w:rsidRPr="00B41CA5" w:rsidRDefault="00F56F9A" w:rsidP="00080DD0">
            <w:pPr>
              <w:jc w:val="center"/>
              <w:rPr>
                <w:rFonts w:ascii="Arial" w:hAnsi="Arial" w:cs="Arial"/>
                <w:bCs/>
                <w:sz w:val="20"/>
                <w:szCs w:val="20"/>
              </w:rPr>
            </w:pPr>
            <w:r w:rsidRPr="00B41CA5">
              <w:rPr>
                <w:rFonts w:ascii="Arial" w:hAnsi="Arial" w:cs="Arial"/>
                <w:bCs/>
                <w:sz w:val="20"/>
                <w:szCs w:val="20"/>
              </w:rPr>
              <w:t>71,75%</w:t>
            </w:r>
          </w:p>
        </w:tc>
        <w:tc>
          <w:tcPr>
            <w:tcW w:w="1700"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bottom"/>
            <w:hideMark/>
          </w:tcPr>
          <w:p w:rsidR="00F56F9A" w:rsidRPr="00833434" w:rsidRDefault="00F56F9A" w:rsidP="00080DD0">
            <w:pPr>
              <w:jc w:val="center"/>
              <w:rPr>
                <w:rFonts w:ascii="Arial" w:hAnsi="Arial" w:cs="Arial"/>
                <w:b/>
                <w:bCs/>
                <w:sz w:val="20"/>
                <w:szCs w:val="20"/>
              </w:rPr>
            </w:pPr>
            <w:r w:rsidRPr="00833434">
              <w:rPr>
                <w:rFonts w:ascii="Arial" w:hAnsi="Arial" w:cs="Arial"/>
                <w:b/>
                <w:bCs/>
                <w:sz w:val="20"/>
                <w:szCs w:val="20"/>
              </w:rPr>
              <w:t>66,72%</w:t>
            </w:r>
          </w:p>
        </w:tc>
      </w:tr>
    </w:tbl>
    <w:p w:rsidR="00F56F9A" w:rsidRDefault="00F56F9A" w:rsidP="00F56F9A">
      <w:pPr>
        <w:jc w:val="both"/>
        <w:rPr>
          <w:rFonts w:asciiTheme="minorHAnsi" w:hAnsiTheme="minorHAnsi" w:cstheme="minorHAnsi"/>
          <w:sz w:val="22"/>
          <w:szCs w:val="22"/>
        </w:rPr>
      </w:pPr>
    </w:p>
    <w:p w:rsidR="00F56F9A" w:rsidRDefault="00F56F9A" w:rsidP="00F56F9A">
      <w:pPr>
        <w:jc w:val="both"/>
        <w:rPr>
          <w:rFonts w:asciiTheme="minorHAnsi" w:hAnsiTheme="minorHAnsi" w:cstheme="minorHAnsi"/>
          <w:sz w:val="22"/>
          <w:szCs w:val="22"/>
        </w:rPr>
      </w:pPr>
      <w:r>
        <w:rPr>
          <w:rFonts w:asciiTheme="minorHAnsi" w:hAnsiTheme="minorHAnsi" w:cstheme="minorHAnsi"/>
          <w:sz w:val="22"/>
          <w:szCs w:val="22"/>
        </w:rPr>
        <w:t>La comparaison entre les trois méthodes de calcul appliqué</w:t>
      </w:r>
      <w:r w:rsidR="008D517E">
        <w:rPr>
          <w:rFonts w:asciiTheme="minorHAnsi" w:hAnsiTheme="minorHAnsi" w:cstheme="minorHAnsi"/>
          <w:sz w:val="22"/>
          <w:szCs w:val="22"/>
        </w:rPr>
        <w:t>es</w:t>
      </w:r>
      <w:r>
        <w:rPr>
          <w:rFonts w:asciiTheme="minorHAnsi" w:hAnsiTheme="minorHAnsi" w:cstheme="minorHAnsi"/>
          <w:sz w:val="22"/>
          <w:szCs w:val="22"/>
        </w:rPr>
        <w:t xml:space="preserve"> aux exercices 2011 et 2012 est instructive dans la mesure où elle relativise fortement les taux d’absorption indiqués dans les rapports au cours des exercices antérieurs. En effet, ces derniers ne prenaient pas en compte les reliquats, lesquels augmentaient d’exercice en exercice pour aboutir à des taux supérieurs à 100%.</w:t>
      </w:r>
    </w:p>
    <w:p w:rsidR="00F56F9A" w:rsidRDefault="00F56F9A" w:rsidP="00F56F9A">
      <w:pPr>
        <w:jc w:val="both"/>
        <w:rPr>
          <w:rFonts w:asciiTheme="minorHAnsi" w:hAnsiTheme="minorHAnsi" w:cstheme="minorHAnsi"/>
          <w:sz w:val="22"/>
          <w:szCs w:val="22"/>
        </w:rPr>
      </w:pPr>
    </w:p>
    <w:p w:rsidR="00F56F9A" w:rsidRDefault="00F56F9A" w:rsidP="00F56F9A">
      <w:pPr>
        <w:jc w:val="both"/>
        <w:rPr>
          <w:rFonts w:asciiTheme="minorHAnsi" w:hAnsiTheme="minorHAnsi" w:cstheme="minorHAnsi"/>
          <w:sz w:val="22"/>
          <w:szCs w:val="22"/>
        </w:rPr>
      </w:pPr>
      <w:r w:rsidRPr="00A6351B">
        <w:rPr>
          <w:rFonts w:asciiTheme="minorHAnsi" w:hAnsiTheme="minorHAnsi" w:cstheme="minorHAnsi"/>
          <w:noProof/>
          <w:sz w:val="22"/>
          <w:szCs w:val="22"/>
        </w:rPr>
        <w:drawing>
          <wp:inline distT="0" distB="0" distL="0" distR="0">
            <wp:extent cx="6600825" cy="3839845"/>
            <wp:effectExtent l="19050" t="0" r="9525" b="8255"/>
            <wp:docPr id="30" name="Graphique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F56F9A" w:rsidRDefault="00F56F9A" w:rsidP="00F56F9A">
      <w:pPr>
        <w:jc w:val="both"/>
        <w:rPr>
          <w:rFonts w:asciiTheme="minorHAnsi" w:hAnsiTheme="minorHAnsi" w:cstheme="minorHAnsi"/>
          <w:sz w:val="22"/>
          <w:szCs w:val="22"/>
        </w:rPr>
      </w:pPr>
    </w:p>
    <w:p w:rsidR="00F56F9A" w:rsidRDefault="00F56F9A" w:rsidP="00F56F9A">
      <w:pPr>
        <w:jc w:val="both"/>
        <w:rPr>
          <w:rFonts w:asciiTheme="minorHAnsi" w:hAnsiTheme="minorHAnsi" w:cstheme="minorHAnsi"/>
          <w:sz w:val="22"/>
          <w:szCs w:val="22"/>
        </w:rPr>
      </w:pPr>
      <w:r>
        <w:rPr>
          <w:rFonts w:asciiTheme="minorHAnsi" w:hAnsiTheme="minorHAnsi" w:cstheme="minorHAnsi"/>
          <w:sz w:val="22"/>
          <w:szCs w:val="22"/>
        </w:rPr>
        <w:t>D’autre part, le tableau met également en exergue une cohérence entre les taux d’un exercice sur l’autre en raison de la permanence des méthodes.</w:t>
      </w:r>
    </w:p>
    <w:p w:rsidR="00F56F9A" w:rsidRDefault="00F56F9A" w:rsidP="00F56F9A">
      <w:pPr>
        <w:jc w:val="both"/>
        <w:rPr>
          <w:rFonts w:asciiTheme="minorHAnsi" w:hAnsiTheme="minorHAnsi" w:cstheme="minorHAnsi"/>
          <w:sz w:val="22"/>
          <w:szCs w:val="22"/>
        </w:rPr>
      </w:pPr>
      <w:r>
        <w:rPr>
          <w:rFonts w:asciiTheme="minorHAnsi" w:hAnsiTheme="minorHAnsi" w:cstheme="minorHAnsi"/>
          <w:sz w:val="22"/>
          <w:szCs w:val="22"/>
        </w:rPr>
        <w:t>À titre d’illustration, la colonne (F*) nous indique au moyen de l’ancienne méthode que le taux d’absorption a baissé d</w:t>
      </w:r>
      <w:r w:rsidR="008D517E">
        <w:rPr>
          <w:rFonts w:asciiTheme="minorHAnsi" w:hAnsiTheme="minorHAnsi" w:cstheme="minorHAnsi"/>
          <w:sz w:val="22"/>
          <w:szCs w:val="22"/>
        </w:rPr>
        <w:t>e 102,16% en 2011 à 93,62% à 2012</w:t>
      </w:r>
      <w:r>
        <w:rPr>
          <w:rFonts w:asciiTheme="minorHAnsi" w:hAnsiTheme="minorHAnsi" w:cstheme="minorHAnsi"/>
          <w:sz w:val="22"/>
          <w:szCs w:val="22"/>
        </w:rPr>
        <w:t xml:space="preserve"> (-8,36%).</w:t>
      </w:r>
    </w:p>
    <w:p w:rsidR="00F56F9A" w:rsidRDefault="00F56F9A" w:rsidP="00F56F9A">
      <w:pPr>
        <w:jc w:val="both"/>
        <w:rPr>
          <w:rFonts w:asciiTheme="minorHAnsi" w:hAnsiTheme="minorHAnsi" w:cstheme="minorHAnsi"/>
          <w:sz w:val="22"/>
          <w:szCs w:val="22"/>
        </w:rPr>
      </w:pPr>
      <w:r>
        <w:rPr>
          <w:rFonts w:asciiTheme="minorHAnsi" w:hAnsiTheme="minorHAnsi" w:cstheme="minorHAnsi"/>
          <w:sz w:val="22"/>
          <w:szCs w:val="22"/>
        </w:rPr>
        <w:t>Les deux nouvelles méthodes affichent un taux d’absorption moins élevé (74,27% et 66,72%) et font subir des variations m</w:t>
      </w:r>
      <w:r w:rsidR="00E7026B">
        <w:rPr>
          <w:rFonts w:asciiTheme="minorHAnsi" w:hAnsiTheme="minorHAnsi" w:cstheme="minorHAnsi"/>
          <w:sz w:val="22"/>
          <w:szCs w:val="22"/>
        </w:rPr>
        <w:t xml:space="preserve">oins fortes entre 2011 et 2012 : </w:t>
      </w:r>
      <w:r>
        <w:rPr>
          <w:rFonts w:asciiTheme="minorHAnsi" w:hAnsiTheme="minorHAnsi" w:cstheme="minorHAnsi"/>
          <w:sz w:val="22"/>
          <w:szCs w:val="22"/>
        </w:rPr>
        <w:t>respectivement -5,20% pour la méthode dite « du cumul des crédits » colonne (G), et -7,01% pour la méthode retenue dite « du FRD réellement mobilisé</w:t>
      </w:r>
      <w:r w:rsidR="00E7026B">
        <w:rPr>
          <w:rFonts w:asciiTheme="minorHAnsi" w:hAnsiTheme="minorHAnsi" w:cstheme="minorHAnsi"/>
          <w:sz w:val="22"/>
          <w:szCs w:val="22"/>
        </w:rPr>
        <w:t> »</w:t>
      </w:r>
      <w:r>
        <w:rPr>
          <w:rFonts w:asciiTheme="minorHAnsi" w:hAnsiTheme="minorHAnsi" w:cstheme="minorHAnsi"/>
          <w:sz w:val="22"/>
          <w:szCs w:val="22"/>
        </w:rPr>
        <w:t xml:space="preserve"> colonne (H).</w:t>
      </w:r>
    </w:p>
    <w:p w:rsidR="00F56F9A" w:rsidRDefault="00F56F9A" w:rsidP="00F56F9A">
      <w:pPr>
        <w:jc w:val="both"/>
        <w:rPr>
          <w:rFonts w:asciiTheme="minorHAnsi" w:hAnsiTheme="minorHAnsi" w:cstheme="minorHAnsi"/>
          <w:sz w:val="22"/>
          <w:szCs w:val="22"/>
        </w:rPr>
      </w:pPr>
    </w:p>
    <w:p w:rsidR="00F56F9A" w:rsidRDefault="00F56F9A" w:rsidP="00924015">
      <w:pPr>
        <w:pBdr>
          <w:bottom w:val="single" w:sz="4" w:space="1" w:color="auto"/>
        </w:pBdr>
        <w:jc w:val="both"/>
        <w:rPr>
          <w:rFonts w:asciiTheme="minorHAnsi" w:hAnsiTheme="minorHAnsi" w:cstheme="minorHAnsi"/>
          <w:sz w:val="22"/>
          <w:szCs w:val="22"/>
        </w:rPr>
      </w:pPr>
      <w:r w:rsidRPr="00F75A7E">
        <w:rPr>
          <w:rFonts w:asciiTheme="minorHAnsi" w:hAnsiTheme="minorHAnsi" w:cstheme="minorHAnsi"/>
          <w:noProof/>
          <w:sz w:val="22"/>
          <w:szCs w:val="22"/>
        </w:rPr>
        <w:drawing>
          <wp:inline distT="0" distB="0" distL="0" distR="0">
            <wp:extent cx="6619875" cy="2847975"/>
            <wp:effectExtent l="19050" t="0" r="9525" b="0"/>
            <wp:docPr id="32" name="Graphique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F56F9A" w:rsidRDefault="00F56F9A" w:rsidP="00F56F9A">
      <w:pPr>
        <w:jc w:val="both"/>
        <w:rPr>
          <w:rFonts w:asciiTheme="minorHAnsi" w:hAnsiTheme="minorHAnsi" w:cstheme="minorHAnsi"/>
          <w:sz w:val="22"/>
          <w:szCs w:val="22"/>
        </w:rPr>
      </w:pPr>
    </w:p>
    <w:p w:rsidR="00F56F9A" w:rsidRDefault="00F56F9A" w:rsidP="00F56F9A">
      <w:pPr>
        <w:jc w:val="both"/>
        <w:rPr>
          <w:rFonts w:asciiTheme="minorHAnsi" w:hAnsiTheme="minorHAnsi" w:cstheme="minorHAnsi"/>
          <w:sz w:val="22"/>
          <w:szCs w:val="22"/>
        </w:rPr>
      </w:pPr>
      <w:r>
        <w:rPr>
          <w:rFonts w:asciiTheme="minorHAnsi" w:hAnsiTheme="minorHAnsi" w:cstheme="minorHAnsi"/>
          <w:sz w:val="22"/>
          <w:szCs w:val="22"/>
        </w:rPr>
        <w:t>Au-delà de ces considérations méthodologiques, et quelle que soit la méthode utilisée pour calculer le taux, il faut admettre que l’absorption des crédits du FRD 2012 a été moindre par rapport à l’exercice 2011. Le principal facteur d’explication serait donc à mettre sur le compte de l’augmentation du volume des crédits alloués (+16,67% de 2011 à 2012, et +44,24% de 2010 à 2012) mais le coefficient de corrélation quasi nul entre taux d’absorption et volume du FRD réparti (-0,06) tend nettement à prouver le contraire.</w:t>
      </w:r>
    </w:p>
    <w:p w:rsidR="00F56F9A" w:rsidRDefault="00F56F9A" w:rsidP="00F56F9A">
      <w:pPr>
        <w:jc w:val="both"/>
        <w:rPr>
          <w:rFonts w:asciiTheme="minorHAnsi" w:hAnsiTheme="minorHAnsi" w:cstheme="minorHAnsi"/>
          <w:sz w:val="22"/>
          <w:szCs w:val="22"/>
        </w:rPr>
      </w:pPr>
      <w:r>
        <w:rPr>
          <w:rFonts w:asciiTheme="minorHAnsi" w:hAnsiTheme="minorHAnsi" w:cstheme="minorHAnsi"/>
          <w:sz w:val="22"/>
          <w:szCs w:val="22"/>
        </w:rPr>
        <w:t xml:space="preserve">Il faudrait donc chercher du côté des capacités d’absorption des collectivités territoriales. Avec en arrière-plan les problématiques afférentes à leurs capacités en maîtrise d’ouvrage … ou bien la volonté de cumuler sur plusieurs exercices suffisamment de crédits pour entreprendre des opérations d’investissement d’envergure, ce qui pourrait par exemple être le cas des communes de la </w:t>
      </w:r>
      <w:r w:rsidR="001246CD">
        <w:rPr>
          <w:rFonts w:asciiTheme="minorHAnsi" w:hAnsiTheme="minorHAnsi" w:cstheme="minorHAnsi"/>
          <w:sz w:val="22"/>
          <w:szCs w:val="22"/>
        </w:rPr>
        <w:t>Wilaya</w:t>
      </w:r>
      <w:r>
        <w:rPr>
          <w:rFonts w:asciiTheme="minorHAnsi" w:hAnsiTheme="minorHAnsi" w:cstheme="minorHAnsi"/>
          <w:sz w:val="22"/>
          <w:szCs w:val="22"/>
        </w:rPr>
        <w:t xml:space="preserve"> de Nouakchott.</w:t>
      </w:r>
    </w:p>
    <w:p w:rsidR="00F56F9A" w:rsidRDefault="00F56F9A" w:rsidP="00F56F9A">
      <w:pPr>
        <w:jc w:val="both"/>
        <w:rPr>
          <w:rFonts w:asciiTheme="minorHAnsi" w:hAnsiTheme="minorHAnsi" w:cstheme="minorHAnsi"/>
          <w:sz w:val="22"/>
          <w:szCs w:val="22"/>
        </w:rPr>
      </w:pPr>
    </w:p>
    <w:p w:rsidR="00F56F9A" w:rsidRDefault="00F56F9A" w:rsidP="00F56F9A">
      <w:pPr>
        <w:jc w:val="both"/>
        <w:rPr>
          <w:rFonts w:asciiTheme="minorHAnsi" w:hAnsiTheme="minorHAnsi" w:cstheme="minorHAnsi"/>
          <w:sz w:val="22"/>
          <w:szCs w:val="22"/>
        </w:rPr>
      </w:pPr>
      <w:r>
        <w:rPr>
          <w:rFonts w:asciiTheme="minorHAnsi" w:hAnsiTheme="minorHAnsi" w:cstheme="minorHAnsi"/>
          <w:sz w:val="22"/>
          <w:szCs w:val="22"/>
        </w:rPr>
        <w:t xml:space="preserve">En ce qui concerne l’analyse des taux observés, revenons sur les cas spécifiques de quelques </w:t>
      </w:r>
      <w:r w:rsidR="001246CD">
        <w:rPr>
          <w:rFonts w:asciiTheme="minorHAnsi" w:hAnsiTheme="minorHAnsi" w:cstheme="minorHAnsi"/>
          <w:sz w:val="22"/>
          <w:szCs w:val="22"/>
        </w:rPr>
        <w:t>Wilayas</w:t>
      </w:r>
      <w:r>
        <w:rPr>
          <w:rFonts w:asciiTheme="minorHAnsi" w:hAnsiTheme="minorHAnsi" w:cstheme="minorHAnsi"/>
          <w:sz w:val="22"/>
          <w:szCs w:val="22"/>
        </w:rPr>
        <w:t xml:space="preserve"> aux résultats les plus contrastés :</w:t>
      </w:r>
    </w:p>
    <w:p w:rsidR="00F56F9A" w:rsidRDefault="00F56F9A" w:rsidP="00F56F9A">
      <w:pPr>
        <w:jc w:val="both"/>
        <w:rPr>
          <w:rFonts w:asciiTheme="minorHAnsi" w:hAnsiTheme="minorHAnsi" w:cstheme="minorHAnsi"/>
          <w:sz w:val="22"/>
          <w:szCs w:val="22"/>
        </w:rPr>
      </w:pPr>
      <w:r w:rsidRPr="002D7782">
        <w:rPr>
          <w:rFonts w:asciiTheme="minorHAnsi" w:hAnsiTheme="minorHAnsi" w:cstheme="minorHAnsi"/>
          <w:sz w:val="22"/>
          <w:szCs w:val="22"/>
        </w:rPr>
        <w:t xml:space="preserve">La </w:t>
      </w:r>
      <w:r w:rsidR="001246CD">
        <w:rPr>
          <w:rFonts w:asciiTheme="minorHAnsi" w:hAnsiTheme="minorHAnsi" w:cstheme="minorHAnsi"/>
          <w:b/>
          <w:sz w:val="22"/>
          <w:szCs w:val="22"/>
        </w:rPr>
        <w:t>Wilaya</w:t>
      </w:r>
      <w:r w:rsidRPr="002D7782">
        <w:rPr>
          <w:rFonts w:asciiTheme="minorHAnsi" w:hAnsiTheme="minorHAnsi" w:cstheme="minorHAnsi"/>
          <w:b/>
          <w:sz w:val="22"/>
          <w:szCs w:val="22"/>
        </w:rPr>
        <w:t xml:space="preserve"> du </w:t>
      </w:r>
      <w:proofErr w:type="spellStart"/>
      <w:r w:rsidR="009948B1">
        <w:rPr>
          <w:rFonts w:asciiTheme="minorHAnsi" w:hAnsiTheme="minorHAnsi" w:cstheme="minorHAnsi"/>
          <w:b/>
          <w:sz w:val="22"/>
          <w:szCs w:val="22"/>
        </w:rPr>
        <w:t>Guidimak</w:t>
      </w:r>
      <w:r>
        <w:rPr>
          <w:rFonts w:asciiTheme="minorHAnsi" w:hAnsiTheme="minorHAnsi" w:cstheme="minorHAnsi"/>
          <w:b/>
          <w:sz w:val="22"/>
          <w:szCs w:val="22"/>
        </w:rPr>
        <w:t>ha</w:t>
      </w:r>
      <w:proofErr w:type="spellEnd"/>
      <w:r>
        <w:rPr>
          <w:rFonts w:asciiTheme="minorHAnsi" w:hAnsiTheme="minorHAnsi" w:cstheme="minorHAnsi"/>
          <w:sz w:val="22"/>
          <w:szCs w:val="22"/>
        </w:rPr>
        <w:t xml:space="preserve"> n’a pas fait l’objet de retraitement dans la mesure où toute tentative de calcul des reliquats n’a pu aboutir à un résultat probant. L’interprétation des données la concernant nécessite la plus grande prudence.</w:t>
      </w:r>
    </w:p>
    <w:p w:rsidR="00F56F9A" w:rsidRDefault="00F56F9A" w:rsidP="00F56F9A">
      <w:pPr>
        <w:jc w:val="both"/>
        <w:rPr>
          <w:rFonts w:asciiTheme="minorHAnsi" w:hAnsiTheme="minorHAnsi" w:cstheme="minorHAnsi"/>
          <w:sz w:val="22"/>
          <w:szCs w:val="22"/>
        </w:rPr>
      </w:pPr>
      <w:r>
        <w:rPr>
          <w:rFonts w:asciiTheme="minorHAnsi" w:hAnsiTheme="minorHAnsi" w:cstheme="minorHAnsi"/>
          <w:sz w:val="22"/>
          <w:szCs w:val="22"/>
        </w:rPr>
        <w:t>Selon le rapport établi l’année dernière, « l</w:t>
      </w:r>
      <w:r w:rsidR="009948B1">
        <w:rPr>
          <w:rFonts w:asciiTheme="minorHAnsi" w:hAnsiTheme="minorHAnsi" w:cstheme="minorHAnsi"/>
          <w:sz w:val="22"/>
          <w:szCs w:val="22"/>
        </w:rPr>
        <w:t xml:space="preserve">e cas du </w:t>
      </w:r>
      <w:proofErr w:type="spellStart"/>
      <w:r w:rsidR="009948B1">
        <w:rPr>
          <w:rFonts w:asciiTheme="minorHAnsi" w:hAnsiTheme="minorHAnsi" w:cstheme="minorHAnsi"/>
          <w:sz w:val="22"/>
          <w:szCs w:val="22"/>
        </w:rPr>
        <w:t>Guidimak</w:t>
      </w:r>
      <w:r w:rsidRPr="009B1470">
        <w:rPr>
          <w:rFonts w:asciiTheme="minorHAnsi" w:hAnsiTheme="minorHAnsi" w:cstheme="minorHAnsi"/>
          <w:sz w:val="22"/>
          <w:szCs w:val="22"/>
        </w:rPr>
        <w:t>ha</w:t>
      </w:r>
      <w:proofErr w:type="spellEnd"/>
      <w:r w:rsidRPr="009B1470">
        <w:rPr>
          <w:rFonts w:asciiTheme="minorHAnsi" w:hAnsiTheme="minorHAnsi" w:cstheme="minorHAnsi"/>
          <w:sz w:val="22"/>
          <w:szCs w:val="22"/>
        </w:rPr>
        <w:t xml:space="preserve"> est particulier puisque mathématiquement impossible, les reliquats issus de l’exercice 2009 étant insuffisants pour pouvoir expliquer des taux 2010 et 2011 supérieurs à 140 et 130 %</w:t>
      </w:r>
      <w:r>
        <w:rPr>
          <w:rFonts w:asciiTheme="minorHAnsi" w:hAnsiTheme="minorHAnsi" w:cstheme="minorHAnsi"/>
          <w:sz w:val="22"/>
          <w:szCs w:val="22"/>
        </w:rPr>
        <w:t xml:space="preserve"> » : […] après avoir produit un reliquat d’environ 42 millions sur 2009, elle a engagé 49 millions de plus que le montant de son FRD en 2010 et à nouveau 44 millions de plus que le montant de son FRD en 2011. Au final la </w:t>
      </w:r>
      <w:r w:rsidR="001246CD">
        <w:rPr>
          <w:rFonts w:asciiTheme="minorHAnsi" w:hAnsiTheme="minorHAnsi" w:cstheme="minorHAnsi"/>
          <w:sz w:val="22"/>
          <w:szCs w:val="22"/>
        </w:rPr>
        <w:t>Wilaya</w:t>
      </w:r>
      <w:r>
        <w:rPr>
          <w:rFonts w:asciiTheme="minorHAnsi" w:hAnsiTheme="minorHAnsi" w:cstheme="minorHAnsi"/>
          <w:sz w:val="22"/>
          <w:szCs w:val="22"/>
        </w:rPr>
        <w:t xml:space="preserve"> est soit en déficit de plus de 51 millions, soit les communes qui la composent ont inscrit à leurs rapports des engagements hors FRD, soit il existait un fort reliquat sur les années antérieures à 2009 pour lesquelles nous n’avons pas de données (ce qui est fort peu probable). »</w:t>
      </w:r>
    </w:p>
    <w:p w:rsidR="00F56F9A" w:rsidRDefault="00F56F9A" w:rsidP="00F56F9A">
      <w:pPr>
        <w:jc w:val="both"/>
        <w:rPr>
          <w:rFonts w:asciiTheme="minorHAnsi" w:hAnsiTheme="minorHAnsi" w:cstheme="minorHAnsi"/>
          <w:sz w:val="22"/>
          <w:szCs w:val="22"/>
        </w:rPr>
      </w:pPr>
    </w:p>
    <w:p w:rsidR="00A56988" w:rsidRDefault="00A56988" w:rsidP="009948B1">
      <w:pPr>
        <w:shd w:val="clear" w:color="auto" w:fill="92D050"/>
        <w:jc w:val="both"/>
        <w:rPr>
          <w:rFonts w:asciiTheme="minorHAnsi" w:hAnsiTheme="minorHAnsi" w:cstheme="minorHAnsi"/>
          <w:b/>
          <w:sz w:val="22"/>
          <w:szCs w:val="22"/>
        </w:rPr>
      </w:pPr>
    </w:p>
    <w:p w:rsidR="00F56F9A" w:rsidRDefault="00F56F9A" w:rsidP="009948B1">
      <w:pPr>
        <w:shd w:val="clear" w:color="auto" w:fill="92D050"/>
        <w:jc w:val="both"/>
        <w:rPr>
          <w:rFonts w:asciiTheme="minorHAnsi" w:hAnsiTheme="minorHAnsi" w:cstheme="minorHAnsi"/>
          <w:sz w:val="22"/>
          <w:szCs w:val="22"/>
        </w:rPr>
      </w:pPr>
      <w:r w:rsidRPr="009C50E1">
        <w:rPr>
          <w:rFonts w:asciiTheme="minorHAnsi" w:hAnsiTheme="minorHAnsi" w:cstheme="minorHAnsi"/>
          <w:b/>
          <w:sz w:val="22"/>
          <w:szCs w:val="22"/>
        </w:rPr>
        <w:t>Pour une évaluation incontestable des reliquats, il conviendra de rassembler tous les comptes administratifs, voire le cas échéant, les comptes de gestion des communes pour retracer les excédents reportés en section d’équipement.</w:t>
      </w:r>
      <w:r w:rsidR="003A442D">
        <w:rPr>
          <w:rFonts w:asciiTheme="minorHAnsi" w:hAnsiTheme="minorHAnsi" w:cstheme="minorHAnsi"/>
          <w:b/>
          <w:sz w:val="22"/>
          <w:szCs w:val="22"/>
        </w:rPr>
        <w:t xml:space="preserve"> </w:t>
      </w:r>
      <w:r w:rsidR="00307BAC">
        <w:rPr>
          <w:rFonts w:asciiTheme="minorHAnsi" w:hAnsiTheme="minorHAnsi" w:cstheme="minorHAnsi"/>
          <w:b/>
          <w:sz w:val="22"/>
          <w:szCs w:val="22"/>
        </w:rPr>
        <w:t>De même, la présence d’autres sources</w:t>
      </w:r>
      <w:r w:rsidR="001C262A">
        <w:rPr>
          <w:rFonts w:asciiTheme="minorHAnsi" w:hAnsiTheme="minorHAnsi" w:cstheme="minorHAnsi"/>
          <w:b/>
          <w:sz w:val="22"/>
          <w:szCs w:val="22"/>
        </w:rPr>
        <w:t xml:space="preserve"> de financement des équipements </w:t>
      </w:r>
      <w:r w:rsidR="00307BAC">
        <w:rPr>
          <w:rFonts w:asciiTheme="minorHAnsi" w:hAnsiTheme="minorHAnsi" w:cstheme="minorHAnsi"/>
          <w:b/>
          <w:sz w:val="22"/>
          <w:szCs w:val="22"/>
        </w:rPr>
        <w:t xml:space="preserve">pourra être </w:t>
      </w:r>
      <w:r w:rsidR="001C262A">
        <w:rPr>
          <w:rFonts w:asciiTheme="minorHAnsi" w:hAnsiTheme="minorHAnsi" w:cstheme="minorHAnsi"/>
          <w:b/>
          <w:sz w:val="22"/>
          <w:szCs w:val="22"/>
        </w:rPr>
        <w:t xml:space="preserve">retracée au moyen des mêmes documents. </w:t>
      </w:r>
      <w:r w:rsidR="009948B1">
        <w:rPr>
          <w:rFonts w:asciiTheme="minorHAnsi" w:hAnsiTheme="minorHAnsi" w:cstheme="minorHAnsi"/>
          <w:sz w:val="22"/>
          <w:szCs w:val="22"/>
        </w:rPr>
        <w:t xml:space="preserve">Le cas du </w:t>
      </w:r>
      <w:proofErr w:type="spellStart"/>
      <w:r w:rsidR="009948B1">
        <w:rPr>
          <w:rFonts w:asciiTheme="minorHAnsi" w:hAnsiTheme="minorHAnsi" w:cstheme="minorHAnsi"/>
          <w:sz w:val="22"/>
          <w:szCs w:val="22"/>
        </w:rPr>
        <w:t>Guidimak</w:t>
      </w:r>
      <w:r w:rsidRPr="009948B1">
        <w:rPr>
          <w:rFonts w:asciiTheme="minorHAnsi" w:hAnsiTheme="minorHAnsi" w:cstheme="minorHAnsi"/>
          <w:sz w:val="22"/>
          <w:szCs w:val="22"/>
        </w:rPr>
        <w:t>ha</w:t>
      </w:r>
      <w:proofErr w:type="spellEnd"/>
      <w:r w:rsidRPr="009948B1">
        <w:rPr>
          <w:rFonts w:asciiTheme="minorHAnsi" w:hAnsiTheme="minorHAnsi" w:cstheme="minorHAnsi"/>
          <w:sz w:val="22"/>
          <w:szCs w:val="22"/>
        </w:rPr>
        <w:t xml:space="preserve"> cessera dès lors de </w:t>
      </w:r>
      <w:r w:rsidR="008B4F05">
        <w:rPr>
          <w:rFonts w:asciiTheme="minorHAnsi" w:hAnsiTheme="minorHAnsi" w:cstheme="minorHAnsi"/>
          <w:sz w:val="22"/>
          <w:szCs w:val="22"/>
        </w:rPr>
        <w:t xml:space="preserve">poser cet épineux </w:t>
      </w:r>
      <w:r w:rsidRPr="009948B1">
        <w:rPr>
          <w:rFonts w:asciiTheme="minorHAnsi" w:hAnsiTheme="minorHAnsi" w:cstheme="minorHAnsi"/>
          <w:sz w:val="22"/>
          <w:szCs w:val="22"/>
        </w:rPr>
        <w:t>problème des « reliquats négatifs » mis en exergue au cours des exercices antérieurs.</w:t>
      </w:r>
    </w:p>
    <w:p w:rsidR="00A56988" w:rsidRPr="009948B1" w:rsidRDefault="00A56988" w:rsidP="009948B1">
      <w:pPr>
        <w:shd w:val="clear" w:color="auto" w:fill="92D050"/>
        <w:jc w:val="both"/>
        <w:rPr>
          <w:rFonts w:asciiTheme="minorHAnsi" w:hAnsiTheme="minorHAnsi" w:cstheme="minorHAnsi"/>
          <w:sz w:val="22"/>
          <w:szCs w:val="22"/>
        </w:rPr>
      </w:pPr>
    </w:p>
    <w:p w:rsidR="003259B6" w:rsidRDefault="003259B6" w:rsidP="009948B1">
      <w:pPr>
        <w:shd w:val="clear" w:color="auto" w:fill="92D050"/>
        <w:jc w:val="both"/>
        <w:rPr>
          <w:rFonts w:asciiTheme="minorHAnsi" w:hAnsiTheme="minorHAnsi" w:cstheme="minorHAnsi"/>
          <w:sz w:val="22"/>
          <w:szCs w:val="22"/>
        </w:rPr>
      </w:pPr>
      <w:r w:rsidRPr="006E5B96">
        <w:rPr>
          <w:rFonts w:asciiTheme="minorHAnsi" w:hAnsiTheme="minorHAnsi" w:cstheme="minorHAnsi"/>
          <w:sz w:val="22"/>
          <w:szCs w:val="22"/>
        </w:rPr>
        <w:t xml:space="preserve">Il convient également de garder en mémoire que le FRD ne constitue pas l’unique source de financement des opérations d’investissement des communes mauritaniennes. </w:t>
      </w:r>
      <w:r w:rsidRPr="006E5B96">
        <w:rPr>
          <w:rFonts w:asciiTheme="minorHAnsi" w:hAnsiTheme="minorHAnsi" w:cstheme="minorHAnsi"/>
          <w:b/>
          <w:i/>
          <w:sz w:val="22"/>
          <w:szCs w:val="22"/>
        </w:rPr>
        <w:t xml:space="preserve">Des engagements supérieurs à l’attribution annuelle de FRD </w:t>
      </w:r>
      <w:r w:rsidR="006E5B96">
        <w:rPr>
          <w:rFonts w:asciiTheme="minorHAnsi" w:hAnsiTheme="minorHAnsi" w:cstheme="minorHAnsi"/>
          <w:b/>
          <w:i/>
          <w:sz w:val="22"/>
          <w:szCs w:val="22"/>
        </w:rPr>
        <w:t xml:space="preserve">et </w:t>
      </w:r>
      <w:r w:rsidRPr="006E5B96">
        <w:rPr>
          <w:rFonts w:asciiTheme="minorHAnsi" w:hAnsiTheme="minorHAnsi" w:cstheme="minorHAnsi"/>
          <w:b/>
          <w:i/>
          <w:sz w:val="22"/>
          <w:szCs w:val="22"/>
        </w:rPr>
        <w:t>aboutissant à un taux d’absorption de FRD supérieur à 100%, outre l’explication fournie par l’utilisation des reliquats, peuvent simplement s’expliquer par l’utilisation</w:t>
      </w:r>
      <w:r w:rsidR="006E5B96" w:rsidRPr="006E5B96">
        <w:rPr>
          <w:rFonts w:asciiTheme="minorHAnsi" w:hAnsiTheme="minorHAnsi" w:cstheme="minorHAnsi"/>
          <w:b/>
          <w:i/>
          <w:sz w:val="22"/>
          <w:szCs w:val="22"/>
        </w:rPr>
        <w:t xml:space="preserve"> de ces autres sources de financement</w:t>
      </w:r>
      <w:r w:rsidR="006E5B96" w:rsidRPr="006E5B96">
        <w:rPr>
          <w:rFonts w:asciiTheme="minorHAnsi" w:hAnsiTheme="minorHAnsi" w:cstheme="minorHAnsi"/>
          <w:sz w:val="22"/>
          <w:szCs w:val="22"/>
        </w:rPr>
        <w:t>.</w:t>
      </w:r>
    </w:p>
    <w:p w:rsidR="00A56988" w:rsidRDefault="00A56988" w:rsidP="009948B1">
      <w:pPr>
        <w:shd w:val="clear" w:color="auto" w:fill="92D050"/>
        <w:jc w:val="both"/>
        <w:rPr>
          <w:rFonts w:asciiTheme="minorHAnsi" w:hAnsiTheme="minorHAnsi" w:cstheme="minorHAnsi"/>
          <w:sz w:val="22"/>
          <w:szCs w:val="22"/>
        </w:rPr>
      </w:pPr>
    </w:p>
    <w:p w:rsidR="001C262A" w:rsidRDefault="001C262A" w:rsidP="009948B1">
      <w:pPr>
        <w:shd w:val="clear" w:color="auto" w:fill="92D050"/>
        <w:jc w:val="both"/>
        <w:rPr>
          <w:rFonts w:asciiTheme="minorHAnsi" w:hAnsiTheme="minorHAnsi" w:cstheme="minorHAnsi"/>
          <w:sz w:val="22"/>
          <w:szCs w:val="22"/>
        </w:rPr>
      </w:pPr>
      <w:r>
        <w:rPr>
          <w:rFonts w:asciiTheme="minorHAnsi" w:hAnsiTheme="minorHAnsi" w:cstheme="minorHAnsi"/>
          <w:sz w:val="22"/>
          <w:szCs w:val="22"/>
        </w:rPr>
        <w:t>Même si la multiplication des taux d’absorption supérieurs à 100% peut émousser son intérêt, ce taux garde tout de même sa pertinence en tant qu’indicateur d’alerte d’une « </w:t>
      </w:r>
      <w:proofErr w:type="spellStart"/>
      <w:r>
        <w:rPr>
          <w:rFonts w:asciiTheme="minorHAnsi" w:hAnsiTheme="minorHAnsi" w:cstheme="minorHAnsi"/>
          <w:sz w:val="22"/>
          <w:szCs w:val="22"/>
        </w:rPr>
        <w:t>sous-utilisation</w:t>
      </w:r>
      <w:proofErr w:type="spellEnd"/>
      <w:r>
        <w:rPr>
          <w:rFonts w:asciiTheme="minorHAnsi" w:hAnsiTheme="minorHAnsi" w:cstheme="minorHAnsi"/>
          <w:sz w:val="22"/>
          <w:szCs w:val="22"/>
        </w:rPr>
        <w:t> » des crédits du FRD.</w:t>
      </w:r>
    </w:p>
    <w:p w:rsidR="001C262A" w:rsidRPr="006E5B96" w:rsidRDefault="001C262A" w:rsidP="009948B1">
      <w:pPr>
        <w:shd w:val="clear" w:color="auto" w:fill="92D050"/>
        <w:jc w:val="both"/>
        <w:rPr>
          <w:rFonts w:asciiTheme="minorHAnsi" w:hAnsiTheme="minorHAnsi" w:cstheme="minorHAnsi"/>
          <w:sz w:val="22"/>
          <w:szCs w:val="22"/>
        </w:rPr>
      </w:pPr>
    </w:p>
    <w:p w:rsidR="003259B6" w:rsidRDefault="003259B6" w:rsidP="009948B1">
      <w:pPr>
        <w:shd w:val="clear" w:color="auto" w:fill="92D050"/>
        <w:jc w:val="both"/>
        <w:rPr>
          <w:rFonts w:asciiTheme="minorHAnsi" w:hAnsiTheme="minorHAnsi" w:cstheme="minorHAnsi"/>
          <w:sz w:val="22"/>
          <w:szCs w:val="22"/>
        </w:rPr>
      </w:pPr>
      <w:r w:rsidRPr="006E5B96">
        <w:rPr>
          <w:rFonts w:asciiTheme="minorHAnsi" w:hAnsiTheme="minorHAnsi" w:cstheme="minorHAnsi"/>
          <w:sz w:val="22"/>
          <w:szCs w:val="22"/>
        </w:rPr>
        <w:t>La problématique du taux d’absorption et des reliquats peut et doit être traité au niveau de la commune, souveraine dans ses stratégies pluriannuelles d’investissement et ses choix budgétaires. Ce credo à la fois méthodologique et opérationnel doit guider en toutes circonstan</w:t>
      </w:r>
      <w:r w:rsidR="00A56988">
        <w:rPr>
          <w:rFonts w:asciiTheme="minorHAnsi" w:hAnsiTheme="minorHAnsi" w:cstheme="minorHAnsi"/>
          <w:sz w:val="22"/>
          <w:szCs w:val="22"/>
        </w:rPr>
        <w:t>ces nos réflexions en matière d’analyse des finances locales</w:t>
      </w:r>
      <w:r w:rsidRPr="006E5B96">
        <w:rPr>
          <w:rFonts w:asciiTheme="minorHAnsi" w:hAnsiTheme="minorHAnsi" w:cstheme="minorHAnsi"/>
          <w:sz w:val="22"/>
          <w:szCs w:val="22"/>
        </w:rPr>
        <w:t>.</w:t>
      </w:r>
    </w:p>
    <w:p w:rsidR="00A56988" w:rsidRPr="006E5B96" w:rsidRDefault="00A56988" w:rsidP="009948B1">
      <w:pPr>
        <w:shd w:val="clear" w:color="auto" w:fill="92D050"/>
        <w:jc w:val="both"/>
        <w:rPr>
          <w:rFonts w:asciiTheme="minorHAnsi" w:hAnsiTheme="minorHAnsi" w:cstheme="minorHAnsi"/>
          <w:sz w:val="22"/>
          <w:szCs w:val="22"/>
        </w:rPr>
      </w:pPr>
    </w:p>
    <w:p w:rsidR="009948B1" w:rsidRDefault="009948B1" w:rsidP="00F56F9A">
      <w:pPr>
        <w:jc w:val="both"/>
        <w:rPr>
          <w:rFonts w:asciiTheme="minorHAnsi" w:hAnsiTheme="minorHAnsi" w:cstheme="minorHAnsi"/>
          <w:sz w:val="22"/>
          <w:szCs w:val="22"/>
        </w:rPr>
      </w:pPr>
    </w:p>
    <w:p w:rsidR="00F56F9A" w:rsidRDefault="00F56F9A" w:rsidP="00F56F9A">
      <w:pPr>
        <w:jc w:val="both"/>
        <w:rPr>
          <w:rFonts w:asciiTheme="minorHAnsi" w:hAnsiTheme="minorHAnsi" w:cstheme="minorHAnsi"/>
          <w:sz w:val="22"/>
          <w:szCs w:val="22"/>
        </w:rPr>
      </w:pPr>
      <w:r>
        <w:rPr>
          <w:rFonts w:asciiTheme="minorHAnsi" w:hAnsiTheme="minorHAnsi" w:cstheme="minorHAnsi"/>
          <w:sz w:val="22"/>
          <w:szCs w:val="22"/>
        </w:rPr>
        <w:t xml:space="preserve">La </w:t>
      </w:r>
      <w:r w:rsidR="001246CD">
        <w:rPr>
          <w:rFonts w:asciiTheme="minorHAnsi" w:hAnsiTheme="minorHAnsi" w:cstheme="minorHAnsi"/>
          <w:b/>
          <w:sz w:val="22"/>
          <w:szCs w:val="22"/>
        </w:rPr>
        <w:t>Wilaya</w:t>
      </w:r>
      <w:r w:rsidRPr="000202D8">
        <w:rPr>
          <w:rFonts w:asciiTheme="minorHAnsi" w:hAnsiTheme="minorHAnsi" w:cstheme="minorHAnsi"/>
          <w:b/>
          <w:sz w:val="22"/>
          <w:szCs w:val="22"/>
        </w:rPr>
        <w:t xml:space="preserve"> du </w:t>
      </w:r>
      <w:proofErr w:type="spellStart"/>
      <w:r w:rsidRPr="000202D8">
        <w:rPr>
          <w:rFonts w:asciiTheme="minorHAnsi" w:hAnsiTheme="minorHAnsi" w:cstheme="minorHAnsi"/>
          <w:b/>
          <w:sz w:val="22"/>
          <w:szCs w:val="22"/>
        </w:rPr>
        <w:t>Dakhlet</w:t>
      </w:r>
      <w:proofErr w:type="spellEnd"/>
      <w:r w:rsidRPr="000202D8">
        <w:rPr>
          <w:rFonts w:asciiTheme="minorHAnsi" w:hAnsiTheme="minorHAnsi" w:cstheme="minorHAnsi"/>
          <w:b/>
          <w:sz w:val="22"/>
          <w:szCs w:val="22"/>
        </w:rPr>
        <w:t>-Nouadhibou</w:t>
      </w:r>
      <w:r>
        <w:rPr>
          <w:rFonts w:asciiTheme="minorHAnsi" w:hAnsiTheme="minorHAnsi" w:cstheme="minorHAnsi"/>
          <w:sz w:val="22"/>
          <w:szCs w:val="22"/>
        </w:rPr>
        <w:t xml:space="preserve"> se singularise également, comme évoqué dans le précédent rapport, par un taux d’absorption faible (la méthode dite du « FRD réellement mobilisé » colonne H fait même chuter à 7,99% le taux d’absorption</w:t>
      </w:r>
      <w:r w:rsidR="007603BF">
        <w:rPr>
          <w:rFonts w:asciiTheme="minorHAnsi" w:hAnsiTheme="minorHAnsi" w:cstheme="minorHAnsi"/>
          <w:sz w:val="22"/>
          <w:szCs w:val="22"/>
        </w:rPr>
        <w:t>,</w:t>
      </w:r>
      <w:r>
        <w:rPr>
          <w:rFonts w:asciiTheme="minorHAnsi" w:hAnsiTheme="minorHAnsi" w:cstheme="minorHAnsi"/>
          <w:sz w:val="22"/>
          <w:szCs w:val="22"/>
        </w:rPr>
        <w:t xml:space="preserve"> qui serait de 88</w:t>
      </w:r>
      <w:r w:rsidR="008B4F05">
        <w:rPr>
          <w:rFonts w:asciiTheme="minorHAnsi" w:hAnsiTheme="minorHAnsi" w:cstheme="minorHAnsi"/>
          <w:sz w:val="22"/>
          <w:szCs w:val="22"/>
        </w:rPr>
        <w:t>,83% en 2012 en reprenant la précédent</w:t>
      </w:r>
      <w:r>
        <w:rPr>
          <w:rFonts w:asciiTheme="minorHAnsi" w:hAnsiTheme="minorHAnsi" w:cstheme="minorHAnsi"/>
          <w:sz w:val="22"/>
          <w:szCs w:val="22"/>
        </w:rPr>
        <w:t>e méthode de calcul). Ce taux est à relativiser dans la mesure où les rapports de</w:t>
      </w:r>
      <w:r w:rsidR="007603BF">
        <w:rPr>
          <w:rFonts w:asciiTheme="minorHAnsi" w:hAnsiTheme="minorHAnsi" w:cstheme="minorHAnsi"/>
          <w:sz w:val="22"/>
          <w:szCs w:val="22"/>
        </w:rPr>
        <w:t>s</w:t>
      </w:r>
      <w:r>
        <w:rPr>
          <w:rFonts w:asciiTheme="minorHAnsi" w:hAnsiTheme="minorHAnsi" w:cstheme="minorHAnsi"/>
          <w:sz w:val="22"/>
          <w:szCs w:val="22"/>
        </w:rPr>
        <w:t xml:space="preserve"> quatre communes </w:t>
      </w:r>
      <w:proofErr w:type="spellStart"/>
      <w:r>
        <w:rPr>
          <w:rFonts w:asciiTheme="minorHAnsi" w:hAnsiTheme="minorHAnsi" w:cstheme="minorHAnsi"/>
          <w:sz w:val="22"/>
          <w:szCs w:val="22"/>
        </w:rPr>
        <w:t>Tmeïmichatt</w:t>
      </w:r>
      <w:proofErr w:type="spellEnd"/>
      <w:r>
        <w:rPr>
          <w:rFonts w:asciiTheme="minorHAnsi" w:hAnsiTheme="minorHAnsi" w:cstheme="minorHAnsi"/>
          <w:sz w:val="22"/>
          <w:szCs w:val="22"/>
        </w:rPr>
        <w:t xml:space="preserve">, </w:t>
      </w:r>
      <w:proofErr w:type="spellStart"/>
      <w:r>
        <w:rPr>
          <w:rFonts w:asciiTheme="minorHAnsi" w:hAnsiTheme="minorHAnsi" w:cstheme="minorHAnsi"/>
          <w:sz w:val="22"/>
          <w:szCs w:val="22"/>
        </w:rPr>
        <w:t>Inal</w:t>
      </w:r>
      <w:proofErr w:type="spellEnd"/>
      <w:r>
        <w:rPr>
          <w:rFonts w:asciiTheme="minorHAnsi" w:hAnsiTheme="minorHAnsi" w:cstheme="minorHAnsi"/>
          <w:sz w:val="22"/>
          <w:szCs w:val="22"/>
        </w:rPr>
        <w:t xml:space="preserve">, Nouamghar, </w:t>
      </w:r>
      <w:proofErr w:type="spellStart"/>
      <w:r>
        <w:rPr>
          <w:rFonts w:asciiTheme="minorHAnsi" w:hAnsiTheme="minorHAnsi" w:cstheme="minorHAnsi"/>
          <w:sz w:val="22"/>
          <w:szCs w:val="22"/>
        </w:rPr>
        <w:t>Boulenouar</w:t>
      </w:r>
      <w:proofErr w:type="spellEnd"/>
      <w:r>
        <w:rPr>
          <w:rFonts w:asciiTheme="minorHAnsi" w:hAnsiTheme="minorHAnsi" w:cstheme="minorHAnsi"/>
          <w:sz w:val="22"/>
          <w:szCs w:val="22"/>
        </w:rPr>
        <w:t xml:space="preserve"> n’ont pas été réceptionnés par la DGCT.</w:t>
      </w:r>
    </w:p>
    <w:p w:rsidR="00A56988" w:rsidRDefault="00A56988" w:rsidP="00F56F9A">
      <w:pPr>
        <w:jc w:val="both"/>
        <w:rPr>
          <w:rFonts w:asciiTheme="minorHAnsi" w:hAnsiTheme="minorHAnsi" w:cstheme="minorHAnsi"/>
          <w:sz w:val="22"/>
          <w:szCs w:val="22"/>
        </w:rPr>
      </w:pPr>
    </w:p>
    <w:p w:rsidR="00F56F9A" w:rsidRDefault="00F56F9A" w:rsidP="00F56F9A">
      <w:pPr>
        <w:jc w:val="both"/>
        <w:rPr>
          <w:rFonts w:asciiTheme="minorHAnsi" w:hAnsiTheme="minorHAnsi" w:cstheme="minorHAnsi"/>
          <w:sz w:val="22"/>
          <w:szCs w:val="22"/>
        </w:rPr>
      </w:pPr>
      <w:r>
        <w:rPr>
          <w:rFonts w:asciiTheme="minorHAnsi" w:hAnsiTheme="minorHAnsi" w:cstheme="minorHAnsi"/>
          <w:sz w:val="22"/>
          <w:szCs w:val="22"/>
        </w:rPr>
        <w:t xml:space="preserve">La </w:t>
      </w:r>
      <w:r w:rsidR="001246CD">
        <w:rPr>
          <w:rFonts w:asciiTheme="minorHAnsi" w:hAnsiTheme="minorHAnsi" w:cstheme="minorHAnsi"/>
          <w:b/>
          <w:sz w:val="22"/>
          <w:szCs w:val="22"/>
        </w:rPr>
        <w:t>Wilaya</w:t>
      </w:r>
      <w:r w:rsidRPr="00BA33E9">
        <w:rPr>
          <w:rFonts w:asciiTheme="minorHAnsi" w:hAnsiTheme="minorHAnsi" w:cstheme="minorHAnsi"/>
          <w:b/>
          <w:sz w:val="22"/>
          <w:szCs w:val="22"/>
        </w:rPr>
        <w:t xml:space="preserve"> de Nouakchott</w:t>
      </w:r>
      <w:r>
        <w:rPr>
          <w:rFonts w:asciiTheme="minorHAnsi" w:hAnsiTheme="minorHAnsi" w:cstheme="minorHAnsi"/>
          <w:sz w:val="22"/>
          <w:szCs w:val="22"/>
        </w:rPr>
        <w:t xml:space="preserve"> comprend des communes dont le comportement en matière d’investissement diffère des autres communes du pays. Faut-il y voir une certaine maturité dans la mesure </w:t>
      </w:r>
      <w:r w:rsidR="007603BF">
        <w:rPr>
          <w:rFonts w:asciiTheme="minorHAnsi" w:hAnsiTheme="minorHAnsi" w:cstheme="minorHAnsi"/>
          <w:sz w:val="22"/>
          <w:szCs w:val="22"/>
        </w:rPr>
        <w:t xml:space="preserve">où </w:t>
      </w:r>
      <w:r>
        <w:rPr>
          <w:rFonts w:asciiTheme="minorHAnsi" w:hAnsiTheme="minorHAnsi" w:cstheme="minorHAnsi"/>
          <w:sz w:val="22"/>
          <w:szCs w:val="22"/>
        </w:rPr>
        <w:t>les projets seraient différés comme suggéré plus haut (passant de 89,18%</w:t>
      </w:r>
      <w:r w:rsidR="007603BF">
        <w:rPr>
          <w:rFonts w:asciiTheme="minorHAnsi" w:hAnsiTheme="minorHAnsi" w:cstheme="minorHAnsi"/>
          <w:sz w:val="22"/>
          <w:szCs w:val="22"/>
        </w:rPr>
        <w:t xml:space="preserve"> en 2011 </w:t>
      </w:r>
      <w:r>
        <w:rPr>
          <w:rFonts w:asciiTheme="minorHAnsi" w:hAnsiTheme="minorHAnsi" w:cstheme="minorHAnsi"/>
          <w:sz w:val="22"/>
          <w:szCs w:val="22"/>
        </w:rPr>
        <w:t xml:space="preserve"> à 82,66% en 2012) ?</w:t>
      </w:r>
    </w:p>
    <w:p w:rsidR="00A56988" w:rsidRDefault="00A56988" w:rsidP="00F56F9A">
      <w:pPr>
        <w:jc w:val="both"/>
        <w:rPr>
          <w:rFonts w:asciiTheme="minorHAnsi" w:hAnsiTheme="minorHAnsi" w:cstheme="minorHAnsi"/>
          <w:sz w:val="22"/>
          <w:szCs w:val="22"/>
        </w:rPr>
      </w:pPr>
    </w:p>
    <w:p w:rsidR="00F56F9A" w:rsidRDefault="00F56F9A" w:rsidP="00F56F9A">
      <w:pPr>
        <w:jc w:val="both"/>
        <w:rPr>
          <w:rFonts w:asciiTheme="minorHAnsi" w:hAnsiTheme="minorHAnsi" w:cstheme="minorHAnsi"/>
          <w:sz w:val="22"/>
          <w:szCs w:val="22"/>
        </w:rPr>
      </w:pPr>
      <w:r>
        <w:rPr>
          <w:rFonts w:asciiTheme="minorHAnsi" w:hAnsiTheme="minorHAnsi" w:cstheme="minorHAnsi"/>
          <w:sz w:val="22"/>
          <w:szCs w:val="22"/>
        </w:rPr>
        <w:t>Une inversion des tendances est à souligner en ce qui concerne :</w:t>
      </w:r>
    </w:p>
    <w:p w:rsidR="00A56988" w:rsidRDefault="00A56988" w:rsidP="00F56F9A">
      <w:pPr>
        <w:jc w:val="both"/>
        <w:rPr>
          <w:rFonts w:asciiTheme="minorHAnsi" w:hAnsiTheme="minorHAnsi" w:cstheme="minorHAnsi"/>
          <w:sz w:val="22"/>
          <w:szCs w:val="22"/>
        </w:rPr>
      </w:pPr>
    </w:p>
    <w:p w:rsidR="00F56F9A" w:rsidRDefault="00F56F9A" w:rsidP="002F04D1">
      <w:pPr>
        <w:pStyle w:val="Paragraphedeliste"/>
        <w:numPr>
          <w:ilvl w:val="0"/>
          <w:numId w:val="11"/>
        </w:numPr>
        <w:jc w:val="both"/>
        <w:rPr>
          <w:rFonts w:asciiTheme="minorHAnsi" w:hAnsiTheme="minorHAnsi" w:cstheme="minorHAnsi"/>
          <w:sz w:val="22"/>
          <w:szCs w:val="22"/>
        </w:rPr>
      </w:pPr>
      <w:r>
        <w:rPr>
          <w:rFonts w:asciiTheme="minorHAnsi" w:hAnsiTheme="minorHAnsi" w:cstheme="minorHAnsi"/>
          <w:sz w:val="22"/>
          <w:szCs w:val="22"/>
        </w:rPr>
        <w:t xml:space="preserve">La </w:t>
      </w:r>
      <w:r w:rsidR="001246CD">
        <w:rPr>
          <w:rFonts w:asciiTheme="minorHAnsi" w:hAnsiTheme="minorHAnsi" w:cstheme="minorHAnsi"/>
          <w:b/>
          <w:sz w:val="22"/>
          <w:szCs w:val="22"/>
        </w:rPr>
        <w:t>Wilaya</w:t>
      </w:r>
      <w:r w:rsidRPr="004C36D1">
        <w:rPr>
          <w:rFonts w:asciiTheme="minorHAnsi" w:hAnsiTheme="minorHAnsi" w:cstheme="minorHAnsi"/>
          <w:b/>
          <w:sz w:val="22"/>
          <w:szCs w:val="22"/>
        </w:rPr>
        <w:t xml:space="preserve"> du </w:t>
      </w:r>
      <w:proofErr w:type="spellStart"/>
      <w:r w:rsidRPr="004C36D1">
        <w:rPr>
          <w:rFonts w:asciiTheme="minorHAnsi" w:hAnsiTheme="minorHAnsi" w:cstheme="minorHAnsi"/>
          <w:b/>
          <w:sz w:val="22"/>
          <w:szCs w:val="22"/>
        </w:rPr>
        <w:t>Tiris</w:t>
      </w:r>
      <w:proofErr w:type="spellEnd"/>
      <w:r w:rsidRPr="004C36D1">
        <w:rPr>
          <w:rFonts w:asciiTheme="minorHAnsi" w:hAnsiTheme="minorHAnsi" w:cstheme="minorHAnsi"/>
          <w:b/>
          <w:sz w:val="22"/>
          <w:szCs w:val="22"/>
        </w:rPr>
        <w:t>-</w:t>
      </w:r>
      <w:proofErr w:type="spellStart"/>
      <w:r w:rsidRPr="004C36D1">
        <w:rPr>
          <w:rFonts w:asciiTheme="minorHAnsi" w:hAnsiTheme="minorHAnsi" w:cstheme="minorHAnsi"/>
          <w:b/>
          <w:sz w:val="22"/>
          <w:szCs w:val="22"/>
        </w:rPr>
        <w:t>Zemmou</w:t>
      </w:r>
      <w:r w:rsidR="008B4F05">
        <w:rPr>
          <w:rFonts w:asciiTheme="minorHAnsi" w:hAnsiTheme="minorHAnsi" w:cstheme="minorHAnsi"/>
          <w:b/>
          <w:sz w:val="22"/>
          <w:szCs w:val="22"/>
        </w:rPr>
        <w:t>r</w:t>
      </w:r>
      <w:proofErr w:type="spellEnd"/>
      <w:r>
        <w:rPr>
          <w:rFonts w:asciiTheme="minorHAnsi" w:hAnsiTheme="minorHAnsi" w:cstheme="minorHAnsi"/>
          <w:sz w:val="22"/>
          <w:szCs w:val="22"/>
        </w:rPr>
        <w:t>, qui faisait partie du trio des régions les moins bien loties en matière d’absorption l’ann</w:t>
      </w:r>
      <w:r w:rsidR="007603BF">
        <w:rPr>
          <w:rFonts w:asciiTheme="minorHAnsi" w:hAnsiTheme="minorHAnsi" w:cstheme="minorHAnsi"/>
          <w:sz w:val="22"/>
          <w:szCs w:val="22"/>
        </w:rPr>
        <w:t>ée dernière, fait un bond de plus de 48%, passant de 68,56% à 101,90</w:t>
      </w:r>
      <w:r>
        <w:rPr>
          <w:rFonts w:asciiTheme="minorHAnsi" w:hAnsiTheme="minorHAnsi" w:cstheme="minorHAnsi"/>
          <w:sz w:val="22"/>
          <w:szCs w:val="22"/>
        </w:rPr>
        <w:t xml:space="preserve">% en un an. L’interprétation est toujours double : les communes de cette </w:t>
      </w:r>
      <w:r w:rsidR="001246CD">
        <w:rPr>
          <w:rFonts w:asciiTheme="minorHAnsi" w:hAnsiTheme="minorHAnsi" w:cstheme="minorHAnsi"/>
          <w:sz w:val="22"/>
          <w:szCs w:val="22"/>
        </w:rPr>
        <w:t>Wilaya</w:t>
      </w:r>
      <w:r>
        <w:rPr>
          <w:rFonts w:asciiTheme="minorHAnsi" w:hAnsiTheme="minorHAnsi" w:cstheme="minorHAnsi"/>
          <w:sz w:val="22"/>
          <w:szCs w:val="22"/>
        </w:rPr>
        <w:t xml:space="preserve"> ont-elles surmonté leurs difficultés ou ont-elles lancé leurs projets en 2012 après avoir accumulé assez de crédits, cette hypothèse n’étant pas irréaliste eu égard au volume important des reliquats accumulés au </w:t>
      </w:r>
      <w:r w:rsidR="008B4F05">
        <w:rPr>
          <w:rFonts w:asciiTheme="minorHAnsi" w:hAnsiTheme="minorHAnsi" w:cstheme="minorHAnsi"/>
          <w:sz w:val="22"/>
          <w:szCs w:val="22"/>
        </w:rPr>
        <w:t>cours des exercices antérieurs ?</w:t>
      </w:r>
    </w:p>
    <w:p w:rsidR="00F56F9A" w:rsidRDefault="00F56F9A" w:rsidP="00F56F9A">
      <w:pPr>
        <w:pStyle w:val="Paragraphedeliste"/>
        <w:jc w:val="both"/>
        <w:rPr>
          <w:rFonts w:asciiTheme="minorHAnsi" w:hAnsiTheme="minorHAnsi" w:cstheme="minorHAnsi"/>
          <w:sz w:val="22"/>
          <w:szCs w:val="22"/>
        </w:rPr>
      </w:pPr>
    </w:p>
    <w:p w:rsidR="00F56F9A" w:rsidRPr="002E3DE1" w:rsidRDefault="00F56F9A" w:rsidP="002F04D1">
      <w:pPr>
        <w:pStyle w:val="Paragraphedeliste"/>
        <w:numPr>
          <w:ilvl w:val="0"/>
          <w:numId w:val="11"/>
        </w:numPr>
        <w:jc w:val="both"/>
        <w:rPr>
          <w:rFonts w:asciiTheme="minorHAnsi" w:hAnsiTheme="minorHAnsi" w:cstheme="minorHAnsi"/>
          <w:sz w:val="22"/>
          <w:szCs w:val="22"/>
        </w:rPr>
      </w:pPr>
      <w:r>
        <w:rPr>
          <w:rFonts w:asciiTheme="minorHAnsi" w:hAnsiTheme="minorHAnsi" w:cstheme="minorHAnsi"/>
          <w:sz w:val="22"/>
          <w:szCs w:val="22"/>
        </w:rPr>
        <w:t xml:space="preserve">Les </w:t>
      </w:r>
      <w:r w:rsidR="001246CD">
        <w:rPr>
          <w:rFonts w:asciiTheme="minorHAnsi" w:hAnsiTheme="minorHAnsi" w:cstheme="minorHAnsi"/>
          <w:b/>
          <w:sz w:val="22"/>
          <w:szCs w:val="22"/>
        </w:rPr>
        <w:t>Wilayas</w:t>
      </w:r>
      <w:r w:rsidRPr="00264789">
        <w:rPr>
          <w:rFonts w:asciiTheme="minorHAnsi" w:hAnsiTheme="minorHAnsi" w:cstheme="minorHAnsi"/>
          <w:b/>
          <w:sz w:val="22"/>
          <w:szCs w:val="22"/>
        </w:rPr>
        <w:t xml:space="preserve"> du </w:t>
      </w:r>
      <w:proofErr w:type="spellStart"/>
      <w:r w:rsidRPr="00264789">
        <w:rPr>
          <w:rFonts w:asciiTheme="minorHAnsi" w:hAnsiTheme="minorHAnsi" w:cstheme="minorHAnsi"/>
          <w:b/>
          <w:sz w:val="22"/>
          <w:szCs w:val="22"/>
        </w:rPr>
        <w:t>Hodh</w:t>
      </w:r>
      <w:proofErr w:type="spellEnd"/>
      <w:r w:rsidRPr="00264789">
        <w:rPr>
          <w:rFonts w:asciiTheme="minorHAnsi" w:hAnsiTheme="minorHAnsi" w:cstheme="minorHAnsi"/>
          <w:b/>
          <w:sz w:val="22"/>
          <w:szCs w:val="22"/>
        </w:rPr>
        <w:t xml:space="preserve"> </w:t>
      </w:r>
      <w:proofErr w:type="spellStart"/>
      <w:r w:rsidRPr="00264789">
        <w:rPr>
          <w:rFonts w:asciiTheme="minorHAnsi" w:hAnsiTheme="minorHAnsi" w:cstheme="minorHAnsi"/>
          <w:b/>
          <w:sz w:val="22"/>
          <w:szCs w:val="22"/>
        </w:rPr>
        <w:t>Echargui</w:t>
      </w:r>
      <w:proofErr w:type="spellEnd"/>
      <w:r w:rsidRPr="00264789">
        <w:rPr>
          <w:rFonts w:asciiTheme="minorHAnsi" w:hAnsiTheme="minorHAnsi" w:cstheme="minorHAnsi"/>
          <w:b/>
          <w:sz w:val="22"/>
          <w:szCs w:val="22"/>
        </w:rPr>
        <w:t xml:space="preserve"> et du </w:t>
      </w:r>
      <w:proofErr w:type="spellStart"/>
      <w:r w:rsidRPr="00264789">
        <w:rPr>
          <w:rFonts w:asciiTheme="minorHAnsi" w:hAnsiTheme="minorHAnsi" w:cstheme="minorHAnsi"/>
          <w:b/>
          <w:sz w:val="22"/>
          <w:szCs w:val="22"/>
        </w:rPr>
        <w:t>Brakna</w:t>
      </w:r>
      <w:proofErr w:type="spellEnd"/>
      <w:r>
        <w:rPr>
          <w:rFonts w:asciiTheme="minorHAnsi" w:hAnsiTheme="minorHAnsi" w:cstheme="minorHAnsi"/>
          <w:sz w:val="22"/>
          <w:szCs w:val="22"/>
        </w:rPr>
        <w:t xml:space="preserve">, très actives l’année dernière, ont des taux qui chutent respectivement de 14,86% et 22,26%. S’agit-il d’une pause ou bien la conséquence d’un afflux trop important de crédits supplémentaires (la </w:t>
      </w:r>
      <w:r w:rsidR="001246CD">
        <w:rPr>
          <w:rFonts w:asciiTheme="minorHAnsi" w:hAnsiTheme="minorHAnsi" w:cstheme="minorHAnsi"/>
          <w:sz w:val="22"/>
          <w:szCs w:val="22"/>
        </w:rPr>
        <w:t>Wilaya</w:t>
      </w:r>
      <w:r>
        <w:rPr>
          <w:rFonts w:asciiTheme="minorHAnsi" w:hAnsiTheme="minorHAnsi" w:cstheme="minorHAnsi"/>
          <w:sz w:val="22"/>
          <w:szCs w:val="22"/>
        </w:rPr>
        <w:t xml:space="preserve"> du </w:t>
      </w:r>
      <w:proofErr w:type="spellStart"/>
      <w:r>
        <w:rPr>
          <w:rFonts w:asciiTheme="minorHAnsi" w:hAnsiTheme="minorHAnsi" w:cstheme="minorHAnsi"/>
          <w:sz w:val="22"/>
          <w:szCs w:val="22"/>
        </w:rPr>
        <w:t>Hodh</w:t>
      </w:r>
      <w:proofErr w:type="spellEnd"/>
      <w:r>
        <w:rPr>
          <w:rFonts w:asciiTheme="minorHAnsi" w:hAnsiTheme="minorHAnsi" w:cstheme="minorHAnsi"/>
          <w:sz w:val="22"/>
          <w:szCs w:val="22"/>
        </w:rPr>
        <w:t xml:space="preserve"> </w:t>
      </w:r>
      <w:proofErr w:type="spellStart"/>
      <w:r>
        <w:rPr>
          <w:rFonts w:asciiTheme="minorHAnsi" w:hAnsiTheme="minorHAnsi" w:cstheme="minorHAnsi"/>
          <w:sz w:val="22"/>
          <w:szCs w:val="22"/>
        </w:rPr>
        <w:t>Echargui</w:t>
      </w:r>
      <w:proofErr w:type="spellEnd"/>
      <w:r>
        <w:rPr>
          <w:rFonts w:asciiTheme="minorHAnsi" w:hAnsiTheme="minorHAnsi" w:cstheme="minorHAnsi"/>
          <w:sz w:val="22"/>
          <w:szCs w:val="22"/>
        </w:rPr>
        <w:t xml:space="preserve"> représente par exemple près de 15% des crédits alloués) ?</w:t>
      </w:r>
    </w:p>
    <w:p w:rsidR="00F56F9A" w:rsidRDefault="00F56F9A" w:rsidP="00F56F9A">
      <w:pPr>
        <w:jc w:val="both"/>
        <w:rPr>
          <w:rFonts w:asciiTheme="minorHAnsi" w:hAnsiTheme="minorHAnsi" w:cstheme="minorHAnsi"/>
          <w:sz w:val="22"/>
          <w:szCs w:val="22"/>
        </w:rPr>
      </w:pPr>
    </w:p>
    <w:p w:rsidR="00F56F9A" w:rsidRDefault="00F56F9A" w:rsidP="00F56F9A">
      <w:pPr>
        <w:jc w:val="both"/>
        <w:rPr>
          <w:rFonts w:asciiTheme="minorHAnsi" w:hAnsiTheme="minorHAnsi" w:cstheme="minorHAnsi"/>
          <w:sz w:val="22"/>
          <w:szCs w:val="22"/>
        </w:rPr>
      </w:pPr>
      <w:r>
        <w:rPr>
          <w:rFonts w:asciiTheme="minorHAnsi" w:hAnsiTheme="minorHAnsi" w:cstheme="minorHAnsi"/>
          <w:sz w:val="22"/>
          <w:szCs w:val="22"/>
        </w:rPr>
        <w:t xml:space="preserve">La </w:t>
      </w:r>
      <w:r w:rsidR="001246CD">
        <w:rPr>
          <w:rFonts w:asciiTheme="minorHAnsi" w:hAnsiTheme="minorHAnsi" w:cstheme="minorHAnsi"/>
          <w:b/>
          <w:sz w:val="22"/>
          <w:szCs w:val="22"/>
        </w:rPr>
        <w:t>Wilaya</w:t>
      </w:r>
      <w:r w:rsidRPr="008962F7">
        <w:rPr>
          <w:rFonts w:asciiTheme="minorHAnsi" w:hAnsiTheme="minorHAnsi" w:cstheme="minorHAnsi"/>
          <w:b/>
          <w:sz w:val="22"/>
          <w:szCs w:val="22"/>
        </w:rPr>
        <w:t xml:space="preserve"> de l’</w:t>
      </w:r>
      <w:proofErr w:type="spellStart"/>
      <w:r w:rsidRPr="008962F7">
        <w:rPr>
          <w:rFonts w:asciiTheme="minorHAnsi" w:hAnsiTheme="minorHAnsi" w:cstheme="minorHAnsi"/>
          <w:b/>
          <w:sz w:val="22"/>
          <w:szCs w:val="22"/>
        </w:rPr>
        <w:t>Inchiri</w:t>
      </w:r>
      <w:proofErr w:type="spellEnd"/>
      <w:r>
        <w:rPr>
          <w:rFonts w:asciiTheme="minorHAnsi" w:hAnsiTheme="minorHAnsi" w:cstheme="minorHAnsi"/>
          <w:sz w:val="22"/>
          <w:szCs w:val="22"/>
        </w:rPr>
        <w:t xml:space="preserve"> est celle qui connaît le taux d’absorption le plus important (passant de 104,69% à 112,42% soit + 7,38% selon la première méthode). Les taux constatés lorsque l’on prend en compte l’utilisation des reliquats tendent à démontrer que les communes de la </w:t>
      </w:r>
      <w:r w:rsidR="001246CD">
        <w:rPr>
          <w:rFonts w:asciiTheme="minorHAnsi" w:hAnsiTheme="minorHAnsi" w:cstheme="minorHAnsi"/>
          <w:sz w:val="22"/>
          <w:szCs w:val="22"/>
        </w:rPr>
        <w:t>Wilaya</w:t>
      </w:r>
      <w:r>
        <w:rPr>
          <w:rFonts w:asciiTheme="minorHAnsi" w:hAnsiTheme="minorHAnsi" w:cstheme="minorHAnsi"/>
          <w:sz w:val="22"/>
          <w:szCs w:val="22"/>
        </w:rPr>
        <w:t xml:space="preserve"> puisent dans les reliquats pour financer leurs projets d’investissement 2012.</w:t>
      </w:r>
    </w:p>
    <w:p w:rsidR="00F56F9A" w:rsidRDefault="00F56F9A" w:rsidP="00F56F9A">
      <w:pPr>
        <w:jc w:val="both"/>
        <w:rPr>
          <w:rFonts w:asciiTheme="minorHAnsi" w:hAnsiTheme="minorHAnsi" w:cstheme="minorHAnsi"/>
          <w:sz w:val="22"/>
          <w:szCs w:val="22"/>
        </w:rPr>
      </w:pPr>
      <w:r>
        <w:rPr>
          <w:rFonts w:asciiTheme="minorHAnsi" w:hAnsiTheme="minorHAnsi" w:cstheme="minorHAnsi"/>
          <w:sz w:val="22"/>
          <w:szCs w:val="22"/>
        </w:rPr>
        <w:t xml:space="preserve">Il n’est donc pas étonnant que le tableau ci-dessous montre une baisse de 64,20% du volume des reliquats concernant la </w:t>
      </w:r>
      <w:r w:rsidR="001246CD">
        <w:rPr>
          <w:rFonts w:asciiTheme="minorHAnsi" w:hAnsiTheme="minorHAnsi" w:cstheme="minorHAnsi"/>
          <w:sz w:val="22"/>
          <w:szCs w:val="22"/>
        </w:rPr>
        <w:t>Wilaya</w:t>
      </w:r>
      <w:r>
        <w:rPr>
          <w:rFonts w:asciiTheme="minorHAnsi" w:hAnsiTheme="minorHAnsi" w:cstheme="minorHAnsi"/>
          <w:sz w:val="22"/>
          <w:szCs w:val="22"/>
        </w:rPr>
        <w:t xml:space="preserve"> de l’</w:t>
      </w:r>
      <w:proofErr w:type="spellStart"/>
      <w:r>
        <w:rPr>
          <w:rFonts w:asciiTheme="minorHAnsi" w:hAnsiTheme="minorHAnsi" w:cstheme="minorHAnsi"/>
          <w:sz w:val="22"/>
          <w:szCs w:val="22"/>
        </w:rPr>
        <w:t>Inchiri</w:t>
      </w:r>
      <w:proofErr w:type="spellEnd"/>
      <w:r>
        <w:rPr>
          <w:rFonts w:asciiTheme="minorHAnsi" w:hAnsiTheme="minorHAnsi" w:cstheme="minorHAnsi"/>
          <w:sz w:val="22"/>
          <w:szCs w:val="22"/>
        </w:rPr>
        <w:t xml:space="preserve"> à l’issue de l’exercice 2012. Ainsi, le reliquat 2012 ne représente plus que 6,92% du FRD accordé au titre de l’exercice, un taux d’autant plus remarquable comparé au taux national de 33,28% (colonne h).</w:t>
      </w:r>
    </w:p>
    <w:p w:rsidR="00F56F9A" w:rsidRDefault="00F56F9A" w:rsidP="00F56F9A">
      <w:pPr>
        <w:jc w:val="both"/>
        <w:rPr>
          <w:rFonts w:asciiTheme="minorHAnsi" w:hAnsiTheme="minorHAnsi" w:cstheme="minorHAnsi"/>
          <w:sz w:val="22"/>
          <w:szCs w:val="22"/>
        </w:rPr>
      </w:pPr>
      <w:r>
        <w:rPr>
          <w:rFonts w:asciiTheme="minorHAnsi" w:hAnsiTheme="minorHAnsi" w:cstheme="minorHAnsi"/>
          <w:sz w:val="22"/>
          <w:szCs w:val="22"/>
        </w:rPr>
        <w:t xml:space="preserve">Pour avoir une appréciation équilibrée des reliquats, il faut donc à la fois comparer leur augmentation entre le début et la fin d’exercice ainsi que le rapport Reliquat/FRD d’un exercice à l’autre. Il suffit par exemple de constater l’augmentation a priori impressionnante du Reliquat 2012 du </w:t>
      </w:r>
      <w:proofErr w:type="spellStart"/>
      <w:r>
        <w:rPr>
          <w:rFonts w:asciiTheme="minorHAnsi" w:hAnsiTheme="minorHAnsi" w:cstheme="minorHAnsi"/>
          <w:sz w:val="22"/>
          <w:szCs w:val="22"/>
        </w:rPr>
        <w:t>Brakna</w:t>
      </w:r>
      <w:proofErr w:type="spellEnd"/>
      <w:r>
        <w:rPr>
          <w:rFonts w:asciiTheme="minorHAnsi" w:hAnsiTheme="minorHAnsi" w:cstheme="minorHAnsi"/>
          <w:sz w:val="22"/>
          <w:szCs w:val="22"/>
        </w:rPr>
        <w:t xml:space="preserve"> (+ 171,37%, passant de 9 millions d’</w:t>
      </w:r>
      <w:r w:rsidR="004871EA">
        <w:rPr>
          <w:rFonts w:asciiTheme="minorHAnsi" w:hAnsiTheme="minorHAnsi" w:cstheme="minorHAnsi"/>
          <w:sz w:val="22"/>
          <w:szCs w:val="22"/>
        </w:rPr>
        <w:t>Ouguiya</w:t>
      </w:r>
      <w:r>
        <w:rPr>
          <w:rFonts w:asciiTheme="minorHAnsi" w:hAnsiTheme="minorHAnsi" w:cstheme="minorHAnsi"/>
          <w:sz w:val="22"/>
          <w:szCs w:val="22"/>
        </w:rPr>
        <w:t xml:space="preserve"> à plus de 24 millions) pour ensuite la relativiser puisque la part du Reliquat ne représente que 11,36% du FRD, signifiant un des meilleurs taux d’absorption parmi les </w:t>
      </w:r>
      <w:r w:rsidR="001246CD">
        <w:rPr>
          <w:rFonts w:asciiTheme="minorHAnsi" w:hAnsiTheme="minorHAnsi" w:cstheme="minorHAnsi"/>
          <w:sz w:val="22"/>
          <w:szCs w:val="22"/>
        </w:rPr>
        <w:t>Wilayas</w:t>
      </w:r>
      <w:r>
        <w:rPr>
          <w:rFonts w:asciiTheme="minorHAnsi" w:hAnsiTheme="minorHAnsi" w:cstheme="minorHAnsi"/>
          <w:sz w:val="22"/>
          <w:szCs w:val="22"/>
        </w:rPr>
        <w:t>.</w:t>
      </w:r>
    </w:p>
    <w:p w:rsidR="00F56F9A" w:rsidRDefault="00F56F9A" w:rsidP="00F56F9A">
      <w:pPr>
        <w:jc w:val="both"/>
        <w:rPr>
          <w:rFonts w:asciiTheme="minorHAnsi" w:hAnsiTheme="minorHAnsi" w:cstheme="minorHAnsi"/>
          <w:sz w:val="22"/>
          <w:szCs w:val="22"/>
        </w:rPr>
      </w:pPr>
    </w:p>
    <w:p w:rsidR="008956B1" w:rsidRDefault="008956B1" w:rsidP="00F56F9A">
      <w:pPr>
        <w:jc w:val="both"/>
        <w:rPr>
          <w:rFonts w:asciiTheme="minorHAnsi" w:hAnsiTheme="minorHAnsi" w:cstheme="minorHAnsi"/>
          <w:sz w:val="22"/>
          <w:szCs w:val="22"/>
        </w:rPr>
      </w:pPr>
    </w:p>
    <w:p w:rsidR="00F56F9A" w:rsidRDefault="00F56F9A" w:rsidP="00F56F9A">
      <w:pPr>
        <w:jc w:val="both"/>
        <w:rPr>
          <w:rFonts w:asciiTheme="minorHAnsi" w:hAnsiTheme="minorHAnsi" w:cstheme="minorHAnsi"/>
          <w:sz w:val="22"/>
          <w:szCs w:val="22"/>
        </w:rPr>
      </w:pPr>
      <w:r w:rsidRPr="00A06E95">
        <w:rPr>
          <w:noProof/>
          <w:szCs w:val="22"/>
        </w:rPr>
        <w:drawing>
          <wp:inline distT="0" distB="0" distL="0" distR="0">
            <wp:extent cx="6643844" cy="4191000"/>
            <wp:effectExtent l="19050" t="0" r="4606" b="0"/>
            <wp:docPr id="33"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6" cstate="print"/>
                    <a:srcRect/>
                    <a:stretch>
                      <a:fillRect/>
                    </a:stretch>
                  </pic:blipFill>
                  <pic:spPr bwMode="auto">
                    <a:xfrm>
                      <a:off x="0" y="0"/>
                      <a:ext cx="6645910" cy="4192304"/>
                    </a:xfrm>
                    <a:prstGeom prst="rect">
                      <a:avLst/>
                    </a:prstGeom>
                    <a:noFill/>
                    <a:ln w="9525">
                      <a:noFill/>
                      <a:miter lim="800000"/>
                      <a:headEnd/>
                      <a:tailEnd/>
                    </a:ln>
                  </pic:spPr>
                </pic:pic>
              </a:graphicData>
            </a:graphic>
          </wp:inline>
        </w:drawing>
      </w:r>
    </w:p>
    <w:p w:rsidR="00F56F9A" w:rsidRDefault="00F56F9A" w:rsidP="00F56F9A">
      <w:pPr>
        <w:jc w:val="both"/>
        <w:rPr>
          <w:rFonts w:asciiTheme="minorHAnsi" w:hAnsiTheme="minorHAnsi" w:cstheme="minorHAnsi"/>
          <w:sz w:val="22"/>
          <w:szCs w:val="22"/>
        </w:rPr>
      </w:pPr>
    </w:p>
    <w:p w:rsidR="00F56F9A" w:rsidRDefault="00F56F9A" w:rsidP="00F56F9A">
      <w:pPr>
        <w:jc w:val="both"/>
        <w:rPr>
          <w:rFonts w:asciiTheme="minorHAnsi" w:hAnsiTheme="minorHAnsi" w:cstheme="minorHAnsi"/>
          <w:sz w:val="22"/>
          <w:szCs w:val="22"/>
        </w:rPr>
      </w:pPr>
      <w:r>
        <w:rPr>
          <w:rFonts w:asciiTheme="minorHAnsi" w:hAnsiTheme="minorHAnsi" w:cstheme="minorHAnsi"/>
          <w:sz w:val="22"/>
          <w:szCs w:val="22"/>
        </w:rPr>
        <w:t>Globalement, l’afflux de crédits supplémentaires en 2012 a eu pour conséquence une augmentation des reliquats à l’issue de l’exercice (colonne d) : + 27,66% contre 0,01% à l’issue de 2011, entraînant une hausse de la part que représente le total des reliquats par rapport au FRD alloué au titre de l’exercice (+ 33,28% fin 2012 contre + 30,41% fin 2011). L’augmentation d’à peine 3 points des colonnes (g) à (h) signifie en outre que les efforts déployés en matière d’absorption des crédits supplémentaires ont été significatifs, même si le total des reli</w:t>
      </w:r>
      <w:r w:rsidR="00B600C4">
        <w:rPr>
          <w:rFonts w:asciiTheme="minorHAnsi" w:hAnsiTheme="minorHAnsi" w:cstheme="minorHAnsi"/>
          <w:sz w:val="22"/>
          <w:szCs w:val="22"/>
        </w:rPr>
        <w:t>quats en valeur absolue a augmenté de</w:t>
      </w:r>
      <w:r>
        <w:rPr>
          <w:rFonts w:asciiTheme="minorHAnsi" w:hAnsiTheme="minorHAnsi" w:cstheme="minorHAnsi"/>
          <w:sz w:val="22"/>
          <w:szCs w:val="22"/>
        </w:rPr>
        <w:t xml:space="preserve"> 27,66%</w:t>
      </w:r>
      <w:r w:rsidR="00B600C4">
        <w:rPr>
          <w:rFonts w:asciiTheme="minorHAnsi" w:hAnsiTheme="minorHAnsi" w:cstheme="minorHAnsi"/>
          <w:sz w:val="22"/>
          <w:szCs w:val="22"/>
        </w:rPr>
        <w:t xml:space="preserve"> à l’issue de l’exercice 2012</w:t>
      </w:r>
      <w:r>
        <w:rPr>
          <w:rFonts w:asciiTheme="minorHAnsi" w:hAnsiTheme="minorHAnsi" w:cstheme="minorHAnsi"/>
          <w:sz w:val="22"/>
          <w:szCs w:val="22"/>
        </w:rPr>
        <w:t>.</w:t>
      </w:r>
    </w:p>
    <w:p w:rsidR="00A56988" w:rsidRDefault="00A56988" w:rsidP="00F56F9A">
      <w:pPr>
        <w:jc w:val="both"/>
        <w:rPr>
          <w:rFonts w:asciiTheme="minorHAnsi" w:hAnsiTheme="minorHAnsi" w:cstheme="minorHAnsi"/>
          <w:sz w:val="22"/>
          <w:szCs w:val="22"/>
        </w:rPr>
      </w:pPr>
    </w:p>
    <w:p w:rsidR="00F56F9A" w:rsidRDefault="00F56F9A" w:rsidP="00F56F9A">
      <w:pPr>
        <w:jc w:val="both"/>
        <w:rPr>
          <w:rFonts w:asciiTheme="minorHAnsi" w:hAnsiTheme="minorHAnsi" w:cstheme="minorHAnsi"/>
          <w:sz w:val="22"/>
          <w:szCs w:val="22"/>
        </w:rPr>
      </w:pPr>
      <w:r>
        <w:rPr>
          <w:rFonts w:asciiTheme="minorHAnsi" w:hAnsiTheme="minorHAnsi" w:cstheme="minorHAnsi"/>
          <w:sz w:val="22"/>
          <w:szCs w:val="22"/>
        </w:rPr>
        <w:t xml:space="preserve">Outre le cas de la </w:t>
      </w:r>
      <w:r w:rsidR="001246CD">
        <w:rPr>
          <w:rFonts w:asciiTheme="minorHAnsi" w:hAnsiTheme="minorHAnsi" w:cstheme="minorHAnsi"/>
          <w:sz w:val="22"/>
          <w:szCs w:val="22"/>
        </w:rPr>
        <w:t>Wilaya</w:t>
      </w:r>
      <w:r>
        <w:rPr>
          <w:rFonts w:asciiTheme="minorHAnsi" w:hAnsiTheme="minorHAnsi" w:cstheme="minorHAnsi"/>
          <w:sz w:val="22"/>
          <w:szCs w:val="22"/>
        </w:rPr>
        <w:t xml:space="preserve"> du </w:t>
      </w:r>
      <w:proofErr w:type="spellStart"/>
      <w:r>
        <w:rPr>
          <w:rFonts w:asciiTheme="minorHAnsi" w:hAnsiTheme="minorHAnsi" w:cstheme="minorHAnsi"/>
          <w:sz w:val="22"/>
          <w:szCs w:val="22"/>
        </w:rPr>
        <w:t>Dakhlet</w:t>
      </w:r>
      <w:proofErr w:type="spellEnd"/>
      <w:r>
        <w:rPr>
          <w:rFonts w:asciiTheme="minorHAnsi" w:hAnsiTheme="minorHAnsi" w:cstheme="minorHAnsi"/>
          <w:sz w:val="22"/>
          <w:szCs w:val="22"/>
        </w:rPr>
        <w:t xml:space="preserve">-Nouadhibou déjà mis en exergue (plus de 90% en matière de ratio Reliquat/FRD de 2010 à 2012), l’attention devra au cours des exercices à venir être portée sur les </w:t>
      </w:r>
      <w:r w:rsidR="001246CD">
        <w:rPr>
          <w:rFonts w:asciiTheme="minorHAnsi" w:hAnsiTheme="minorHAnsi" w:cstheme="minorHAnsi"/>
          <w:sz w:val="22"/>
          <w:szCs w:val="22"/>
        </w:rPr>
        <w:t>Wilayas</w:t>
      </w:r>
      <w:r>
        <w:rPr>
          <w:rFonts w:asciiTheme="minorHAnsi" w:hAnsiTheme="minorHAnsi" w:cstheme="minorHAnsi"/>
          <w:sz w:val="22"/>
          <w:szCs w:val="22"/>
        </w:rPr>
        <w:t xml:space="preserve"> de Nouakchott (50,61%), du Tirs-</w:t>
      </w:r>
      <w:proofErr w:type="spellStart"/>
      <w:r>
        <w:rPr>
          <w:rFonts w:asciiTheme="minorHAnsi" w:hAnsiTheme="minorHAnsi" w:cstheme="minorHAnsi"/>
          <w:sz w:val="22"/>
          <w:szCs w:val="22"/>
        </w:rPr>
        <w:t>Zemmour</w:t>
      </w:r>
      <w:proofErr w:type="spellEnd"/>
      <w:r>
        <w:rPr>
          <w:rFonts w:asciiTheme="minorHAnsi" w:hAnsiTheme="minorHAnsi" w:cstheme="minorHAnsi"/>
          <w:sz w:val="22"/>
          <w:szCs w:val="22"/>
        </w:rPr>
        <w:t xml:space="preserve"> (49,78%) et du </w:t>
      </w:r>
      <w:proofErr w:type="spellStart"/>
      <w:r>
        <w:rPr>
          <w:rFonts w:asciiTheme="minorHAnsi" w:hAnsiTheme="minorHAnsi" w:cstheme="minorHAnsi"/>
          <w:sz w:val="22"/>
          <w:szCs w:val="22"/>
        </w:rPr>
        <w:t>Hodh</w:t>
      </w:r>
      <w:proofErr w:type="spellEnd"/>
      <w:r>
        <w:rPr>
          <w:rFonts w:asciiTheme="minorHAnsi" w:hAnsiTheme="minorHAnsi" w:cstheme="minorHAnsi"/>
          <w:sz w:val="22"/>
          <w:szCs w:val="22"/>
        </w:rPr>
        <w:t xml:space="preserve"> </w:t>
      </w:r>
      <w:proofErr w:type="spellStart"/>
      <w:r>
        <w:rPr>
          <w:rFonts w:asciiTheme="minorHAnsi" w:hAnsiTheme="minorHAnsi" w:cstheme="minorHAnsi"/>
          <w:sz w:val="22"/>
          <w:szCs w:val="22"/>
        </w:rPr>
        <w:t>Echargui</w:t>
      </w:r>
      <w:proofErr w:type="spellEnd"/>
      <w:r>
        <w:rPr>
          <w:rFonts w:asciiTheme="minorHAnsi" w:hAnsiTheme="minorHAnsi" w:cstheme="minorHAnsi"/>
          <w:sz w:val="22"/>
          <w:szCs w:val="22"/>
        </w:rPr>
        <w:t xml:space="preserve"> (49,06%) pour analyser plus finement le taux élevé que représentent les reliquats par rapport aux crédits alloués.</w:t>
      </w:r>
    </w:p>
    <w:p w:rsidR="00F56F9A" w:rsidRDefault="00F56F9A" w:rsidP="00F56F9A">
      <w:pPr>
        <w:jc w:val="both"/>
        <w:rPr>
          <w:rFonts w:asciiTheme="minorHAnsi" w:hAnsiTheme="minorHAnsi" w:cstheme="minorHAnsi"/>
          <w:sz w:val="22"/>
          <w:szCs w:val="22"/>
        </w:rPr>
      </w:pPr>
    </w:p>
    <w:p w:rsidR="00612888" w:rsidRDefault="00612888" w:rsidP="00612888">
      <w:pPr>
        <w:jc w:val="both"/>
        <w:rPr>
          <w:rFonts w:asciiTheme="minorHAnsi" w:hAnsiTheme="minorHAnsi" w:cstheme="minorHAnsi"/>
          <w:sz w:val="22"/>
          <w:szCs w:val="22"/>
        </w:rPr>
      </w:pPr>
      <w:r>
        <w:rPr>
          <w:rFonts w:asciiTheme="minorHAnsi" w:hAnsiTheme="minorHAnsi" w:cstheme="minorHAnsi"/>
          <w:sz w:val="22"/>
          <w:szCs w:val="22"/>
        </w:rPr>
        <w:t>Comme pour le rapport de l’année précédente, il convient de rappeler que l</w:t>
      </w:r>
      <w:r w:rsidRPr="00FF6525">
        <w:rPr>
          <w:rFonts w:asciiTheme="minorHAnsi" w:hAnsiTheme="minorHAnsi" w:cstheme="minorHAnsi"/>
          <w:sz w:val="22"/>
          <w:szCs w:val="22"/>
        </w:rPr>
        <w:t>es données</w:t>
      </w:r>
      <w:r>
        <w:rPr>
          <w:rFonts w:asciiTheme="minorHAnsi" w:hAnsiTheme="minorHAnsi" w:cstheme="minorHAnsi"/>
          <w:sz w:val="22"/>
          <w:szCs w:val="22"/>
        </w:rPr>
        <w:t xml:space="preserve"> relatives au nombre de projets, au taux d’absorption, aux montants engagés par secteurs informent de l’évolution quantitative et des priorités sectorielles de l’investissement communal. Elles n’apportent pas d’éléments sur la qualité de ces investissements.</w:t>
      </w:r>
      <w:r w:rsidR="004137B1">
        <w:rPr>
          <w:rFonts w:asciiTheme="minorHAnsi" w:hAnsiTheme="minorHAnsi" w:cstheme="minorHAnsi"/>
          <w:sz w:val="22"/>
          <w:szCs w:val="22"/>
        </w:rPr>
        <w:t xml:space="preserve"> Il faudra tant que faire ce peut échange</w:t>
      </w:r>
      <w:r w:rsidR="00053549">
        <w:rPr>
          <w:rFonts w:asciiTheme="minorHAnsi" w:hAnsiTheme="minorHAnsi" w:cstheme="minorHAnsi"/>
          <w:sz w:val="22"/>
          <w:szCs w:val="22"/>
        </w:rPr>
        <w:t>r avec les communes pour avoir</w:t>
      </w:r>
      <w:r w:rsidR="004137B1">
        <w:rPr>
          <w:rFonts w:asciiTheme="minorHAnsi" w:hAnsiTheme="minorHAnsi" w:cstheme="minorHAnsi"/>
          <w:sz w:val="22"/>
          <w:szCs w:val="22"/>
        </w:rPr>
        <w:t xml:space="preserve"> leur retour</w:t>
      </w:r>
      <w:r w:rsidR="00B600C4">
        <w:rPr>
          <w:rFonts w:asciiTheme="minorHAnsi" w:hAnsiTheme="minorHAnsi" w:cstheme="minorHAnsi"/>
          <w:sz w:val="22"/>
          <w:szCs w:val="22"/>
        </w:rPr>
        <w:t xml:space="preserve"> sur l</w:t>
      </w:r>
      <w:r w:rsidR="004137B1">
        <w:rPr>
          <w:rFonts w:asciiTheme="minorHAnsi" w:hAnsiTheme="minorHAnsi" w:cstheme="minorHAnsi"/>
          <w:sz w:val="22"/>
          <w:szCs w:val="22"/>
        </w:rPr>
        <w:t>’utilisation des crédits</w:t>
      </w:r>
      <w:r w:rsidR="00053549">
        <w:rPr>
          <w:rFonts w:asciiTheme="minorHAnsi" w:hAnsiTheme="minorHAnsi" w:cstheme="minorHAnsi"/>
          <w:sz w:val="22"/>
          <w:szCs w:val="22"/>
        </w:rPr>
        <w:t xml:space="preserve"> du FRD. C’est bien au cœur des communes que doit être débattue et étudiée la question de l’efficacité du FRD et de son impact effectif sur le développement local. </w:t>
      </w:r>
    </w:p>
    <w:p w:rsidR="00A56988" w:rsidRDefault="00A56988" w:rsidP="00612888">
      <w:pPr>
        <w:jc w:val="both"/>
        <w:rPr>
          <w:rFonts w:asciiTheme="minorHAnsi" w:hAnsiTheme="minorHAnsi" w:cstheme="minorHAnsi"/>
          <w:sz w:val="22"/>
          <w:szCs w:val="22"/>
        </w:rPr>
      </w:pPr>
    </w:p>
    <w:p w:rsidR="004871EA" w:rsidRPr="00B30306" w:rsidRDefault="00053549" w:rsidP="00612888">
      <w:pPr>
        <w:jc w:val="both"/>
        <w:rPr>
          <w:rFonts w:asciiTheme="minorHAnsi" w:hAnsiTheme="minorHAnsi" w:cstheme="minorHAnsi"/>
          <w:sz w:val="22"/>
          <w:szCs w:val="22"/>
        </w:rPr>
      </w:pPr>
      <w:r>
        <w:rPr>
          <w:rFonts w:asciiTheme="minorHAnsi" w:hAnsiTheme="minorHAnsi" w:cstheme="minorHAnsi"/>
          <w:sz w:val="22"/>
          <w:szCs w:val="22"/>
        </w:rPr>
        <w:t>En attendant de tels échanges, il convie</w:t>
      </w:r>
      <w:r w:rsidR="00B30306">
        <w:rPr>
          <w:rFonts w:asciiTheme="minorHAnsi" w:hAnsiTheme="minorHAnsi" w:cstheme="minorHAnsi"/>
          <w:sz w:val="22"/>
          <w:szCs w:val="22"/>
        </w:rPr>
        <w:t xml:space="preserve">nt de dresser un bilan </w:t>
      </w:r>
      <w:r w:rsidR="00924015">
        <w:rPr>
          <w:rFonts w:asciiTheme="minorHAnsi" w:hAnsiTheme="minorHAnsi" w:cstheme="minorHAnsi"/>
          <w:sz w:val="22"/>
          <w:szCs w:val="22"/>
        </w:rPr>
        <w:t xml:space="preserve">plus poussé </w:t>
      </w:r>
      <w:r>
        <w:rPr>
          <w:rFonts w:asciiTheme="minorHAnsi" w:hAnsiTheme="minorHAnsi" w:cstheme="minorHAnsi"/>
          <w:sz w:val="22"/>
          <w:szCs w:val="22"/>
        </w:rPr>
        <w:t>de l’utilisation faite du FRD attribué au titre de l’exercice 2012</w:t>
      </w:r>
      <w:r w:rsidR="00B30306">
        <w:rPr>
          <w:rFonts w:asciiTheme="minorHAnsi" w:hAnsiTheme="minorHAnsi" w:cstheme="minorHAnsi"/>
          <w:sz w:val="22"/>
          <w:szCs w:val="22"/>
        </w:rPr>
        <w:t xml:space="preserve"> : </w:t>
      </w:r>
      <w:r w:rsidR="00B30306">
        <w:rPr>
          <w:rFonts w:asciiTheme="minorHAnsi" w:hAnsiTheme="minorHAnsi" w:cstheme="minorHAnsi"/>
          <w:b/>
          <w:i/>
          <w:sz w:val="22"/>
          <w:szCs w:val="22"/>
        </w:rPr>
        <w:t>l</w:t>
      </w:r>
      <w:r w:rsidR="00715393">
        <w:rPr>
          <w:rFonts w:asciiTheme="minorHAnsi" w:hAnsiTheme="minorHAnsi" w:cstheme="minorHAnsi"/>
          <w:b/>
          <w:i/>
          <w:sz w:val="22"/>
          <w:szCs w:val="22"/>
        </w:rPr>
        <w:t xml:space="preserve">es outils développés </w:t>
      </w:r>
      <w:r w:rsidR="004871EA" w:rsidRPr="00B30306">
        <w:rPr>
          <w:rFonts w:asciiTheme="minorHAnsi" w:hAnsiTheme="minorHAnsi" w:cstheme="minorHAnsi"/>
          <w:b/>
          <w:i/>
          <w:sz w:val="22"/>
          <w:szCs w:val="22"/>
        </w:rPr>
        <w:t>tels que le taux d’absorption ou encore le montant moyen de l’</w:t>
      </w:r>
      <w:r w:rsidR="00B30306" w:rsidRPr="00B30306">
        <w:rPr>
          <w:rFonts w:asciiTheme="minorHAnsi" w:hAnsiTheme="minorHAnsi" w:cstheme="minorHAnsi"/>
          <w:b/>
          <w:i/>
          <w:sz w:val="22"/>
          <w:szCs w:val="22"/>
        </w:rPr>
        <w:t>investissement par projet trouvant toute leur pertinence au</w:t>
      </w:r>
      <w:r w:rsidR="00924015">
        <w:rPr>
          <w:rFonts w:asciiTheme="minorHAnsi" w:hAnsiTheme="minorHAnsi" w:cstheme="minorHAnsi"/>
          <w:b/>
          <w:i/>
          <w:sz w:val="22"/>
          <w:szCs w:val="22"/>
        </w:rPr>
        <w:t xml:space="preserve"> niveau de la C</w:t>
      </w:r>
      <w:r w:rsidR="00B30306" w:rsidRPr="00B30306">
        <w:rPr>
          <w:rFonts w:asciiTheme="minorHAnsi" w:hAnsiTheme="minorHAnsi" w:cstheme="minorHAnsi"/>
          <w:b/>
          <w:i/>
          <w:sz w:val="22"/>
          <w:szCs w:val="22"/>
        </w:rPr>
        <w:t>ommune, il a été décidé</w:t>
      </w:r>
      <w:r w:rsidR="00715393">
        <w:rPr>
          <w:rFonts w:asciiTheme="minorHAnsi" w:hAnsiTheme="minorHAnsi" w:cstheme="minorHAnsi"/>
          <w:b/>
          <w:i/>
          <w:sz w:val="22"/>
          <w:szCs w:val="22"/>
        </w:rPr>
        <w:t>,</w:t>
      </w:r>
      <w:r w:rsidR="00715393" w:rsidRPr="00715393">
        <w:rPr>
          <w:rFonts w:asciiTheme="minorHAnsi" w:hAnsiTheme="minorHAnsi" w:cstheme="minorHAnsi"/>
          <w:b/>
          <w:i/>
          <w:sz w:val="22"/>
          <w:szCs w:val="22"/>
        </w:rPr>
        <w:t xml:space="preserve"> </w:t>
      </w:r>
      <w:r w:rsidR="00715393" w:rsidRPr="00B30306">
        <w:rPr>
          <w:rFonts w:asciiTheme="minorHAnsi" w:hAnsiTheme="minorHAnsi" w:cstheme="minorHAnsi"/>
          <w:b/>
          <w:i/>
          <w:sz w:val="22"/>
          <w:szCs w:val="22"/>
        </w:rPr>
        <w:t>d</w:t>
      </w:r>
      <w:r w:rsidR="00715393">
        <w:rPr>
          <w:rFonts w:asciiTheme="minorHAnsi" w:hAnsiTheme="minorHAnsi" w:cstheme="minorHAnsi"/>
          <w:b/>
          <w:i/>
          <w:sz w:val="22"/>
          <w:szCs w:val="22"/>
        </w:rPr>
        <w:t>ans le bilan qui va suivre,</w:t>
      </w:r>
      <w:r w:rsidR="00B30306" w:rsidRPr="00B30306">
        <w:rPr>
          <w:rFonts w:asciiTheme="minorHAnsi" w:hAnsiTheme="minorHAnsi" w:cstheme="minorHAnsi"/>
          <w:b/>
          <w:i/>
          <w:sz w:val="22"/>
          <w:szCs w:val="22"/>
        </w:rPr>
        <w:t xml:space="preserve"> de pousser à ce niveau le détail des données</w:t>
      </w:r>
      <w:r w:rsidR="00B30306">
        <w:rPr>
          <w:rFonts w:asciiTheme="minorHAnsi" w:hAnsiTheme="minorHAnsi" w:cstheme="minorHAnsi"/>
          <w:b/>
          <w:i/>
          <w:sz w:val="22"/>
          <w:szCs w:val="22"/>
        </w:rPr>
        <w:t xml:space="preserve">, au-delà de la Wilaya et de la </w:t>
      </w:r>
      <w:proofErr w:type="spellStart"/>
      <w:r w:rsidR="00B30306">
        <w:rPr>
          <w:rFonts w:asciiTheme="minorHAnsi" w:hAnsiTheme="minorHAnsi" w:cstheme="minorHAnsi"/>
          <w:b/>
          <w:i/>
          <w:sz w:val="22"/>
          <w:szCs w:val="22"/>
        </w:rPr>
        <w:t>Moughataa</w:t>
      </w:r>
      <w:proofErr w:type="spellEnd"/>
      <w:proofErr w:type="gramStart"/>
      <w:r w:rsidR="00715393">
        <w:rPr>
          <w:rFonts w:asciiTheme="minorHAnsi" w:hAnsiTheme="minorHAnsi" w:cstheme="minorHAnsi"/>
          <w:b/>
          <w:i/>
          <w:sz w:val="22"/>
          <w:szCs w:val="22"/>
        </w:rPr>
        <w:t>,</w:t>
      </w:r>
      <w:r w:rsidR="00B30306">
        <w:rPr>
          <w:rFonts w:asciiTheme="minorHAnsi" w:hAnsiTheme="minorHAnsi" w:cstheme="minorHAnsi"/>
          <w:b/>
          <w:i/>
          <w:sz w:val="22"/>
          <w:szCs w:val="22"/>
        </w:rPr>
        <w:t>.</w:t>
      </w:r>
      <w:proofErr w:type="gramEnd"/>
    </w:p>
    <w:p w:rsidR="00EA0EE4" w:rsidRDefault="00EA0EE4">
      <w:pPr>
        <w:spacing w:after="200" w:line="276" w:lineRule="auto"/>
        <w:rPr>
          <w:rFonts w:asciiTheme="minorHAnsi" w:hAnsiTheme="minorHAnsi" w:cstheme="minorHAnsi"/>
          <w:sz w:val="22"/>
          <w:szCs w:val="22"/>
        </w:rPr>
      </w:pPr>
      <w:r>
        <w:rPr>
          <w:rFonts w:asciiTheme="minorHAnsi" w:hAnsiTheme="minorHAnsi" w:cstheme="minorHAnsi"/>
          <w:sz w:val="22"/>
          <w:szCs w:val="22"/>
        </w:rPr>
        <w:br w:type="page"/>
      </w:r>
    </w:p>
    <w:p w:rsidR="00612888" w:rsidRDefault="00612888" w:rsidP="00612888">
      <w:pPr>
        <w:jc w:val="both"/>
        <w:rPr>
          <w:rFonts w:asciiTheme="minorHAnsi" w:hAnsiTheme="minorHAnsi" w:cstheme="minorHAnsi"/>
          <w:sz w:val="22"/>
          <w:szCs w:val="22"/>
        </w:rPr>
      </w:pPr>
    </w:p>
    <w:p w:rsidR="00A27296" w:rsidRPr="00093D47" w:rsidRDefault="00EE5E6C" w:rsidP="00A27296">
      <w:pPr>
        <w:rPr>
          <w:rFonts w:asciiTheme="minorHAnsi" w:hAnsiTheme="minorHAnsi" w:cstheme="minorHAnsi"/>
          <w:b/>
          <w:smallCaps/>
          <w:sz w:val="32"/>
          <w:szCs w:val="32"/>
        </w:rPr>
      </w:pPr>
      <w:r>
        <w:rPr>
          <w:rFonts w:asciiTheme="minorHAnsi" w:hAnsiTheme="minorHAnsi" w:cstheme="minorHAnsi"/>
          <w:b/>
          <w:smallCaps/>
          <w:sz w:val="32"/>
          <w:szCs w:val="32"/>
        </w:rPr>
        <w:t xml:space="preserve">Bilan </w:t>
      </w:r>
      <w:proofErr w:type="spellStart"/>
      <w:r w:rsidR="00A27296" w:rsidRPr="00093D47">
        <w:rPr>
          <w:rFonts w:asciiTheme="minorHAnsi" w:hAnsiTheme="minorHAnsi" w:cstheme="minorHAnsi"/>
          <w:b/>
          <w:smallCaps/>
          <w:sz w:val="32"/>
          <w:szCs w:val="32"/>
        </w:rPr>
        <w:t>r</w:t>
      </w:r>
      <w:r w:rsidR="00F56F9A" w:rsidRPr="00F56F9A">
        <w:rPr>
          <w:rFonts w:asciiTheme="minorHAnsi" w:hAnsiTheme="minorHAnsi" w:cstheme="minorHAnsi"/>
          <w:b/>
          <w:smallCaps/>
          <w:sz w:val="26"/>
          <w:szCs w:val="26"/>
        </w:rPr>
        <w:t>É</w:t>
      </w:r>
      <w:r w:rsidR="00A27296" w:rsidRPr="00093D47">
        <w:rPr>
          <w:rFonts w:asciiTheme="minorHAnsi" w:hAnsiTheme="minorHAnsi" w:cstheme="minorHAnsi"/>
          <w:b/>
          <w:smallCaps/>
          <w:sz w:val="32"/>
          <w:szCs w:val="32"/>
        </w:rPr>
        <w:t>gional</w:t>
      </w:r>
      <w:proofErr w:type="spellEnd"/>
    </w:p>
    <w:p w:rsidR="00A27296" w:rsidRPr="003A4E73" w:rsidRDefault="00F9433D" w:rsidP="00A27296">
      <w:pPr>
        <w:shd w:val="clear" w:color="auto" w:fill="76923C" w:themeFill="accent3" w:themeFillShade="BF"/>
        <w:rPr>
          <w:rFonts w:asciiTheme="minorHAnsi" w:hAnsiTheme="minorHAnsi" w:cstheme="minorHAnsi"/>
          <w:sz w:val="16"/>
          <w:szCs w:val="16"/>
        </w:rPr>
      </w:pPr>
      <w:r w:rsidRPr="00F9433D">
        <w:rPr>
          <w:rFonts w:asciiTheme="minorHAnsi" w:hAnsiTheme="minorHAnsi" w:cstheme="minorHAnsi"/>
          <w:b/>
          <w:color w:val="76923C" w:themeColor="accent3" w:themeShade="BF"/>
          <w:sz w:val="16"/>
          <w:szCs w:val="16"/>
        </w:rPr>
        <w:pict>
          <v:rect id="_x0000_i1028" style="width:0;height:1.5pt" o:hralign="center" o:hrstd="t" o:hr="t" fillcolor="#a0a0a0" stroked="f"/>
        </w:pict>
      </w:r>
    </w:p>
    <w:p w:rsidR="00A27296" w:rsidRDefault="00A27296" w:rsidP="00A27296">
      <w:pPr>
        <w:rPr>
          <w:rFonts w:asciiTheme="minorHAnsi" w:hAnsiTheme="minorHAnsi" w:cstheme="minorHAnsi"/>
        </w:rPr>
      </w:pPr>
    </w:p>
    <w:p w:rsidR="00DA6062" w:rsidRPr="00DA6062" w:rsidRDefault="001246CD" w:rsidP="00DA6062">
      <w:pPr>
        <w:pBdr>
          <w:top w:val="single" w:sz="4" w:space="1" w:color="auto"/>
          <w:left w:val="single" w:sz="4" w:space="0" w:color="auto"/>
          <w:bottom w:val="single" w:sz="4" w:space="1" w:color="auto"/>
          <w:right w:val="single" w:sz="4" w:space="4" w:color="auto"/>
          <w:between w:val="single" w:sz="4" w:space="1" w:color="auto"/>
          <w:bar w:val="single" w:sz="4" w:color="auto"/>
        </w:pBdr>
        <w:shd w:val="clear" w:color="auto" w:fill="92D050"/>
        <w:rPr>
          <w:rFonts w:asciiTheme="minorHAnsi" w:hAnsiTheme="minorHAnsi" w:cstheme="minorHAnsi"/>
          <w:b/>
          <w:smallCaps/>
          <w:color w:val="000000" w:themeColor="text1"/>
          <w:sz w:val="28"/>
          <w:szCs w:val="28"/>
        </w:rPr>
      </w:pPr>
      <w:r>
        <w:rPr>
          <w:rFonts w:asciiTheme="minorHAnsi" w:hAnsiTheme="minorHAnsi" w:cstheme="minorHAnsi"/>
          <w:b/>
          <w:smallCaps/>
          <w:color w:val="000000" w:themeColor="text1"/>
          <w:sz w:val="28"/>
          <w:szCs w:val="28"/>
        </w:rPr>
        <w:t>Wilaya</w:t>
      </w:r>
      <w:r w:rsidR="00DA6062" w:rsidRPr="00DA6062">
        <w:rPr>
          <w:rFonts w:asciiTheme="minorHAnsi" w:hAnsiTheme="minorHAnsi" w:cstheme="minorHAnsi"/>
          <w:b/>
          <w:smallCaps/>
          <w:color w:val="000000" w:themeColor="text1"/>
          <w:sz w:val="28"/>
          <w:szCs w:val="28"/>
        </w:rPr>
        <w:t xml:space="preserve"> du </w:t>
      </w:r>
      <w:proofErr w:type="spellStart"/>
      <w:r w:rsidR="00DA6062" w:rsidRPr="00DA6062">
        <w:rPr>
          <w:rFonts w:asciiTheme="minorHAnsi" w:hAnsiTheme="minorHAnsi" w:cstheme="minorHAnsi"/>
          <w:b/>
          <w:smallCaps/>
          <w:color w:val="000000" w:themeColor="text1"/>
          <w:sz w:val="28"/>
          <w:szCs w:val="28"/>
        </w:rPr>
        <w:t>Hodh</w:t>
      </w:r>
      <w:proofErr w:type="spellEnd"/>
      <w:r w:rsidR="00DA6062" w:rsidRPr="00DA6062">
        <w:rPr>
          <w:rFonts w:asciiTheme="minorHAnsi" w:hAnsiTheme="minorHAnsi" w:cstheme="minorHAnsi"/>
          <w:b/>
          <w:smallCaps/>
          <w:color w:val="000000" w:themeColor="text1"/>
          <w:sz w:val="28"/>
          <w:szCs w:val="28"/>
        </w:rPr>
        <w:t xml:space="preserve"> ECHARGUI</w:t>
      </w:r>
    </w:p>
    <w:p w:rsidR="00080DD0" w:rsidRDefault="00080DD0" w:rsidP="00080DD0">
      <w:pPr>
        <w:jc w:val="both"/>
        <w:rPr>
          <w:rFonts w:asciiTheme="minorHAnsi" w:hAnsiTheme="minorHAnsi" w:cstheme="minorHAnsi"/>
          <w:sz w:val="22"/>
          <w:szCs w:val="22"/>
        </w:rPr>
      </w:pPr>
    </w:p>
    <w:p w:rsidR="00DA6062" w:rsidRDefault="00AA152D" w:rsidP="00080DD0">
      <w:pPr>
        <w:jc w:val="both"/>
        <w:rPr>
          <w:rFonts w:asciiTheme="minorHAnsi" w:hAnsiTheme="minorHAnsi" w:cstheme="minorHAnsi"/>
          <w:sz w:val="22"/>
          <w:szCs w:val="22"/>
        </w:rPr>
      </w:pPr>
      <w:r w:rsidRPr="00AA152D">
        <w:rPr>
          <w:noProof/>
        </w:rPr>
        <w:drawing>
          <wp:inline distT="0" distB="0" distL="0" distR="0">
            <wp:extent cx="6645910" cy="3448050"/>
            <wp:effectExtent l="19050" t="0" r="2540" b="0"/>
            <wp:docPr id="228"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stretch>
                      <a:fillRect/>
                    </a:stretch>
                  </pic:blipFill>
                  <pic:spPr>
                    <a:xfrm>
                      <a:off x="0" y="0"/>
                      <a:ext cx="6645910" cy="3448050"/>
                    </a:xfrm>
                    <a:prstGeom prst="rect">
                      <a:avLst/>
                    </a:prstGeom>
                  </pic:spPr>
                </pic:pic>
              </a:graphicData>
            </a:graphic>
          </wp:inline>
        </w:drawing>
      </w:r>
    </w:p>
    <w:p w:rsidR="001B50C1" w:rsidRDefault="001B50C1" w:rsidP="00080DD0">
      <w:pPr>
        <w:jc w:val="both"/>
        <w:rPr>
          <w:rFonts w:asciiTheme="minorHAnsi" w:hAnsiTheme="minorHAnsi" w:cstheme="minorHAnsi"/>
          <w:sz w:val="22"/>
          <w:szCs w:val="22"/>
        </w:rPr>
      </w:pPr>
    </w:p>
    <w:p w:rsidR="00080DD0" w:rsidRDefault="00080DD0" w:rsidP="00080DD0">
      <w:pPr>
        <w:jc w:val="both"/>
        <w:rPr>
          <w:rFonts w:asciiTheme="minorHAnsi" w:hAnsiTheme="minorHAnsi" w:cstheme="minorHAnsi"/>
          <w:sz w:val="22"/>
          <w:szCs w:val="22"/>
        </w:rPr>
      </w:pPr>
    </w:p>
    <w:p w:rsidR="00080DD0" w:rsidRPr="00690066" w:rsidRDefault="00080DD0" w:rsidP="00080DD0">
      <w:pPr>
        <w:jc w:val="both"/>
        <w:rPr>
          <w:rFonts w:asciiTheme="minorHAnsi" w:hAnsiTheme="minorHAnsi" w:cstheme="minorHAnsi"/>
          <w:sz w:val="22"/>
          <w:szCs w:val="22"/>
        </w:rPr>
      </w:pPr>
      <w:r w:rsidRPr="00690066">
        <w:rPr>
          <w:rFonts w:asciiTheme="minorHAnsi" w:hAnsiTheme="minorHAnsi" w:cstheme="minorHAnsi"/>
          <w:sz w:val="22"/>
          <w:szCs w:val="22"/>
        </w:rPr>
        <w:t xml:space="preserve">La </w:t>
      </w:r>
      <w:r w:rsidR="001246CD">
        <w:rPr>
          <w:rFonts w:asciiTheme="minorHAnsi" w:hAnsiTheme="minorHAnsi" w:cstheme="minorHAnsi"/>
          <w:sz w:val="22"/>
          <w:szCs w:val="22"/>
        </w:rPr>
        <w:t>Wilaya</w:t>
      </w:r>
      <w:r w:rsidRPr="00690066">
        <w:rPr>
          <w:rFonts w:asciiTheme="minorHAnsi" w:hAnsiTheme="minorHAnsi" w:cstheme="minorHAnsi"/>
          <w:sz w:val="22"/>
          <w:szCs w:val="22"/>
        </w:rPr>
        <w:t xml:space="preserve"> du </w:t>
      </w:r>
      <w:proofErr w:type="spellStart"/>
      <w:r w:rsidRPr="00690066">
        <w:rPr>
          <w:rFonts w:asciiTheme="minorHAnsi" w:hAnsiTheme="minorHAnsi" w:cstheme="minorHAnsi"/>
          <w:sz w:val="22"/>
          <w:szCs w:val="22"/>
        </w:rPr>
        <w:t>Hodh</w:t>
      </w:r>
      <w:proofErr w:type="spellEnd"/>
      <w:r w:rsidRPr="00690066">
        <w:rPr>
          <w:rFonts w:asciiTheme="minorHAnsi" w:hAnsiTheme="minorHAnsi" w:cstheme="minorHAnsi"/>
          <w:sz w:val="22"/>
          <w:szCs w:val="22"/>
        </w:rPr>
        <w:t xml:space="preserve"> </w:t>
      </w:r>
      <w:proofErr w:type="spellStart"/>
      <w:r w:rsidRPr="00690066">
        <w:rPr>
          <w:rFonts w:asciiTheme="minorHAnsi" w:hAnsiTheme="minorHAnsi" w:cstheme="minorHAnsi"/>
          <w:sz w:val="22"/>
          <w:szCs w:val="22"/>
        </w:rPr>
        <w:t>Echargui</w:t>
      </w:r>
      <w:proofErr w:type="spellEnd"/>
      <w:r w:rsidRPr="00690066">
        <w:rPr>
          <w:rFonts w:asciiTheme="minorHAnsi" w:hAnsiTheme="minorHAnsi" w:cstheme="minorHAnsi"/>
          <w:sz w:val="22"/>
          <w:szCs w:val="22"/>
        </w:rPr>
        <w:t xml:space="preserve"> </w:t>
      </w:r>
      <w:r w:rsidR="00EE5E6C">
        <w:rPr>
          <w:rFonts w:asciiTheme="minorHAnsi" w:hAnsiTheme="minorHAnsi" w:cstheme="minorHAnsi"/>
          <w:sz w:val="22"/>
          <w:szCs w:val="22"/>
        </w:rPr>
        <w:t>a bénéficié pour l’exercice 2012</w:t>
      </w:r>
      <w:r w:rsidRPr="00690066">
        <w:rPr>
          <w:rFonts w:asciiTheme="minorHAnsi" w:hAnsiTheme="minorHAnsi" w:cstheme="minorHAnsi"/>
          <w:sz w:val="22"/>
          <w:szCs w:val="22"/>
        </w:rPr>
        <w:t xml:space="preserve"> d’un FRD équipement de </w:t>
      </w:r>
      <w:r w:rsidR="00EE5E6C">
        <w:rPr>
          <w:rFonts w:asciiTheme="minorHAnsi" w:hAnsiTheme="minorHAnsi" w:cstheme="minorHAnsi"/>
          <w:b/>
          <w:sz w:val="22"/>
          <w:szCs w:val="22"/>
        </w:rPr>
        <w:t>353 690 867</w:t>
      </w:r>
      <w:r w:rsidRPr="00690066">
        <w:rPr>
          <w:rFonts w:asciiTheme="minorHAnsi" w:hAnsiTheme="minorHAnsi" w:cstheme="minorHAnsi"/>
          <w:b/>
          <w:sz w:val="22"/>
          <w:szCs w:val="22"/>
        </w:rPr>
        <w:t xml:space="preserve"> </w:t>
      </w:r>
      <w:proofErr w:type="gramStart"/>
      <w:r w:rsidR="004871EA">
        <w:rPr>
          <w:rFonts w:asciiTheme="minorHAnsi" w:hAnsiTheme="minorHAnsi" w:cstheme="minorHAnsi"/>
          <w:b/>
          <w:sz w:val="22"/>
          <w:szCs w:val="22"/>
        </w:rPr>
        <w:t>ouguiya</w:t>
      </w:r>
      <w:proofErr w:type="gramEnd"/>
      <w:r w:rsidRPr="00690066">
        <w:rPr>
          <w:rFonts w:asciiTheme="minorHAnsi" w:hAnsiTheme="minorHAnsi" w:cstheme="minorHAnsi"/>
          <w:sz w:val="22"/>
          <w:szCs w:val="22"/>
        </w:rPr>
        <w:t xml:space="preserve">, soit une hausse de </w:t>
      </w:r>
      <w:r w:rsidR="00EE5E6C">
        <w:rPr>
          <w:rFonts w:asciiTheme="minorHAnsi" w:hAnsiTheme="minorHAnsi" w:cstheme="minorHAnsi"/>
          <w:b/>
          <w:sz w:val="22"/>
          <w:szCs w:val="22"/>
        </w:rPr>
        <w:t>16,98</w:t>
      </w:r>
      <w:r w:rsidRPr="00690066">
        <w:rPr>
          <w:rFonts w:asciiTheme="minorHAnsi" w:hAnsiTheme="minorHAnsi" w:cstheme="minorHAnsi"/>
          <w:b/>
          <w:sz w:val="22"/>
          <w:szCs w:val="22"/>
        </w:rPr>
        <w:t>%.</w:t>
      </w:r>
      <w:r w:rsidR="00EE5E6C">
        <w:rPr>
          <w:rFonts w:asciiTheme="minorHAnsi" w:hAnsiTheme="minorHAnsi" w:cstheme="minorHAnsi"/>
          <w:sz w:val="22"/>
          <w:szCs w:val="22"/>
        </w:rPr>
        <w:t xml:space="preserve"> 332 547 836 </w:t>
      </w:r>
      <w:proofErr w:type="gramStart"/>
      <w:r w:rsidR="004871EA">
        <w:rPr>
          <w:rFonts w:asciiTheme="minorHAnsi" w:hAnsiTheme="minorHAnsi" w:cstheme="minorHAnsi"/>
          <w:sz w:val="22"/>
          <w:szCs w:val="22"/>
        </w:rPr>
        <w:t>ouguiya</w:t>
      </w:r>
      <w:proofErr w:type="gramEnd"/>
      <w:r>
        <w:rPr>
          <w:rFonts w:asciiTheme="minorHAnsi" w:hAnsiTheme="minorHAnsi" w:cstheme="minorHAnsi"/>
          <w:sz w:val="22"/>
          <w:szCs w:val="22"/>
        </w:rPr>
        <w:t xml:space="preserve"> ont été engagés</w:t>
      </w:r>
      <w:r w:rsidRPr="00690066">
        <w:rPr>
          <w:rFonts w:asciiTheme="minorHAnsi" w:hAnsiTheme="minorHAnsi" w:cstheme="minorHAnsi"/>
          <w:sz w:val="22"/>
          <w:szCs w:val="22"/>
        </w:rPr>
        <w:t xml:space="preserve"> </w:t>
      </w:r>
      <w:r w:rsidR="00EE5E6C">
        <w:rPr>
          <w:rFonts w:asciiTheme="minorHAnsi" w:hAnsiTheme="minorHAnsi" w:cstheme="minorHAnsi"/>
          <w:sz w:val="22"/>
          <w:szCs w:val="22"/>
        </w:rPr>
        <w:t>en 2012</w:t>
      </w:r>
      <w:r w:rsidRPr="00690066">
        <w:rPr>
          <w:rFonts w:asciiTheme="minorHAnsi" w:hAnsiTheme="minorHAnsi" w:cstheme="minorHAnsi"/>
          <w:sz w:val="22"/>
          <w:szCs w:val="22"/>
        </w:rPr>
        <w:t xml:space="preserve">, soit un </w:t>
      </w:r>
      <w:r w:rsidR="00EE5E6C">
        <w:rPr>
          <w:rFonts w:asciiTheme="minorHAnsi" w:hAnsiTheme="minorHAnsi" w:cstheme="minorHAnsi"/>
          <w:b/>
          <w:sz w:val="22"/>
          <w:szCs w:val="22"/>
        </w:rPr>
        <w:t>taux d’absorption de 94,02</w:t>
      </w:r>
      <w:r w:rsidRPr="00690066">
        <w:rPr>
          <w:rFonts w:asciiTheme="minorHAnsi" w:hAnsiTheme="minorHAnsi" w:cstheme="minorHAnsi"/>
          <w:b/>
          <w:sz w:val="22"/>
          <w:szCs w:val="22"/>
        </w:rPr>
        <w:t>%</w:t>
      </w:r>
      <w:r w:rsidR="00EE5E6C">
        <w:rPr>
          <w:rFonts w:asciiTheme="minorHAnsi" w:hAnsiTheme="minorHAnsi" w:cstheme="minorHAnsi"/>
          <w:b/>
          <w:sz w:val="22"/>
          <w:szCs w:val="22"/>
        </w:rPr>
        <w:t xml:space="preserve"> </w:t>
      </w:r>
      <w:r w:rsidR="00EE5E6C" w:rsidRPr="00EE5E6C">
        <w:rPr>
          <w:rFonts w:asciiTheme="minorHAnsi" w:hAnsiTheme="minorHAnsi" w:cstheme="minorHAnsi"/>
          <w:sz w:val="22"/>
          <w:szCs w:val="22"/>
        </w:rPr>
        <w:t>(selon la méthode de calcul appliquée au cours des exercices antérieurs)</w:t>
      </w:r>
      <w:r w:rsidR="00EE5E6C">
        <w:rPr>
          <w:rFonts w:asciiTheme="minorHAnsi" w:hAnsiTheme="minorHAnsi" w:cstheme="minorHAnsi"/>
          <w:sz w:val="22"/>
          <w:szCs w:val="22"/>
        </w:rPr>
        <w:t>.</w:t>
      </w:r>
    </w:p>
    <w:p w:rsidR="00080DD0" w:rsidRDefault="00080DD0" w:rsidP="00080DD0">
      <w:pPr>
        <w:jc w:val="both"/>
        <w:rPr>
          <w:rFonts w:asciiTheme="minorHAnsi" w:hAnsiTheme="minorHAnsi" w:cstheme="minorHAnsi"/>
          <w:sz w:val="22"/>
          <w:szCs w:val="22"/>
        </w:rPr>
      </w:pPr>
    </w:p>
    <w:p w:rsidR="00080DD0" w:rsidRPr="00690066" w:rsidRDefault="00080DD0" w:rsidP="00080DD0">
      <w:pPr>
        <w:jc w:val="both"/>
        <w:rPr>
          <w:rFonts w:asciiTheme="minorHAnsi" w:hAnsiTheme="minorHAnsi" w:cstheme="minorHAnsi"/>
          <w:sz w:val="22"/>
          <w:szCs w:val="22"/>
        </w:rPr>
      </w:pPr>
      <w:r w:rsidRPr="0025746B">
        <w:rPr>
          <w:noProof/>
          <w:szCs w:val="22"/>
        </w:rPr>
        <w:drawing>
          <wp:inline distT="0" distB="0" distL="0" distR="0">
            <wp:extent cx="6343650" cy="3248025"/>
            <wp:effectExtent l="19050" t="0" r="0" b="0"/>
            <wp:docPr id="11"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srcRect/>
                    <a:stretch>
                      <a:fillRect/>
                    </a:stretch>
                  </pic:blipFill>
                  <pic:spPr bwMode="auto">
                    <a:xfrm>
                      <a:off x="0" y="0"/>
                      <a:ext cx="6343650" cy="3248025"/>
                    </a:xfrm>
                    <a:prstGeom prst="rect">
                      <a:avLst/>
                    </a:prstGeom>
                    <a:noFill/>
                    <a:ln w="9525">
                      <a:noFill/>
                      <a:miter lim="800000"/>
                      <a:headEnd/>
                      <a:tailEnd/>
                    </a:ln>
                  </pic:spPr>
                </pic:pic>
              </a:graphicData>
            </a:graphic>
          </wp:inline>
        </w:drawing>
      </w:r>
    </w:p>
    <w:p w:rsidR="00080DD0" w:rsidRDefault="00080DD0" w:rsidP="00080DD0">
      <w:pPr>
        <w:jc w:val="both"/>
        <w:rPr>
          <w:rFonts w:asciiTheme="minorHAnsi" w:hAnsiTheme="minorHAnsi" w:cstheme="minorHAnsi"/>
          <w:sz w:val="22"/>
          <w:szCs w:val="22"/>
        </w:rPr>
      </w:pPr>
    </w:p>
    <w:p w:rsidR="00EE5E6C" w:rsidRDefault="00080DD0" w:rsidP="00080DD0">
      <w:pPr>
        <w:jc w:val="both"/>
        <w:rPr>
          <w:rFonts w:asciiTheme="minorHAnsi" w:hAnsiTheme="minorHAnsi" w:cstheme="minorHAnsi"/>
          <w:sz w:val="22"/>
          <w:szCs w:val="22"/>
        </w:rPr>
      </w:pPr>
      <w:r w:rsidRPr="00690066">
        <w:rPr>
          <w:rFonts w:asciiTheme="minorHAnsi" w:hAnsiTheme="minorHAnsi" w:cstheme="minorHAnsi"/>
          <w:sz w:val="22"/>
          <w:szCs w:val="22"/>
        </w:rPr>
        <w:t>Ce taux d’absorpti</w:t>
      </w:r>
      <w:r w:rsidR="00EE5E6C">
        <w:rPr>
          <w:rFonts w:asciiTheme="minorHAnsi" w:hAnsiTheme="minorHAnsi" w:cstheme="minorHAnsi"/>
          <w:sz w:val="22"/>
          <w:szCs w:val="22"/>
        </w:rPr>
        <w:t xml:space="preserve">on est en léger recul par rapport à celui de l’exercice précédent, mais bien meilleur par rapport à 2010 (58,2%) année où </w:t>
      </w:r>
      <w:r w:rsidRPr="00690066">
        <w:rPr>
          <w:rFonts w:asciiTheme="minorHAnsi" w:hAnsiTheme="minorHAnsi" w:cstheme="minorHAnsi"/>
          <w:sz w:val="22"/>
          <w:szCs w:val="22"/>
        </w:rPr>
        <w:t xml:space="preserve">les communes de la </w:t>
      </w:r>
      <w:proofErr w:type="spellStart"/>
      <w:r w:rsidR="001246CD">
        <w:rPr>
          <w:rFonts w:asciiTheme="minorHAnsi" w:hAnsiTheme="minorHAnsi" w:cstheme="minorHAnsi"/>
          <w:sz w:val="22"/>
          <w:szCs w:val="22"/>
        </w:rPr>
        <w:t>Moughataa</w:t>
      </w:r>
      <w:proofErr w:type="spellEnd"/>
      <w:r w:rsidRPr="00690066">
        <w:rPr>
          <w:rFonts w:asciiTheme="minorHAnsi" w:hAnsiTheme="minorHAnsi" w:cstheme="minorHAnsi"/>
          <w:sz w:val="22"/>
          <w:szCs w:val="22"/>
        </w:rPr>
        <w:t xml:space="preserve"> d’</w:t>
      </w:r>
      <w:proofErr w:type="spellStart"/>
      <w:r w:rsidRPr="00690066">
        <w:rPr>
          <w:rFonts w:asciiTheme="minorHAnsi" w:hAnsiTheme="minorHAnsi" w:cstheme="minorHAnsi"/>
          <w:sz w:val="22"/>
          <w:szCs w:val="22"/>
        </w:rPr>
        <w:t>Amourj</w:t>
      </w:r>
      <w:proofErr w:type="spellEnd"/>
      <w:r w:rsidRPr="00690066">
        <w:rPr>
          <w:rFonts w:asciiTheme="minorHAnsi" w:hAnsiTheme="minorHAnsi" w:cstheme="minorHAnsi"/>
          <w:sz w:val="22"/>
          <w:szCs w:val="22"/>
        </w:rPr>
        <w:t xml:space="preserve"> n’avaient pas transmis leurs rapports. </w:t>
      </w:r>
    </w:p>
    <w:p w:rsidR="00080DD0" w:rsidRPr="00690066" w:rsidRDefault="00EE5E6C" w:rsidP="00080DD0">
      <w:pPr>
        <w:jc w:val="both"/>
        <w:rPr>
          <w:rFonts w:asciiTheme="minorHAnsi" w:hAnsiTheme="minorHAnsi" w:cstheme="minorHAnsi"/>
          <w:sz w:val="22"/>
          <w:szCs w:val="22"/>
        </w:rPr>
      </w:pPr>
      <w:r>
        <w:rPr>
          <w:rFonts w:asciiTheme="minorHAnsi" w:hAnsiTheme="minorHAnsi" w:cstheme="minorHAnsi"/>
          <w:sz w:val="22"/>
          <w:szCs w:val="22"/>
        </w:rPr>
        <w:t xml:space="preserve">Mais il est tout à fait satisfaisant dans la mesure où l’abondement des crédits à hauteur de près de 17% en 2012 ne s’est pas traduit par un effondrement du taux d’absorption. Et ce malgré </w:t>
      </w:r>
      <w:r w:rsidR="000251A0">
        <w:rPr>
          <w:rFonts w:asciiTheme="minorHAnsi" w:hAnsiTheme="minorHAnsi" w:cstheme="minorHAnsi"/>
          <w:sz w:val="22"/>
          <w:szCs w:val="22"/>
        </w:rPr>
        <w:t xml:space="preserve">le taux d’absorption très bas de la </w:t>
      </w:r>
      <w:proofErr w:type="spellStart"/>
      <w:r w:rsidR="001246CD">
        <w:rPr>
          <w:rFonts w:asciiTheme="minorHAnsi" w:hAnsiTheme="minorHAnsi" w:cstheme="minorHAnsi"/>
          <w:sz w:val="22"/>
          <w:szCs w:val="22"/>
        </w:rPr>
        <w:t>Moughataa</w:t>
      </w:r>
      <w:proofErr w:type="spellEnd"/>
      <w:r w:rsidR="000251A0">
        <w:rPr>
          <w:rFonts w:asciiTheme="minorHAnsi" w:hAnsiTheme="minorHAnsi" w:cstheme="minorHAnsi"/>
          <w:sz w:val="22"/>
          <w:szCs w:val="22"/>
        </w:rPr>
        <w:t xml:space="preserve"> de </w:t>
      </w:r>
      <w:proofErr w:type="spellStart"/>
      <w:r w:rsidR="000251A0">
        <w:rPr>
          <w:rFonts w:asciiTheme="minorHAnsi" w:hAnsiTheme="minorHAnsi" w:cstheme="minorHAnsi"/>
          <w:sz w:val="22"/>
          <w:szCs w:val="22"/>
        </w:rPr>
        <w:t>Bassiknou</w:t>
      </w:r>
      <w:proofErr w:type="spellEnd"/>
      <w:r w:rsidR="000251A0">
        <w:rPr>
          <w:rFonts w:asciiTheme="minorHAnsi" w:hAnsiTheme="minorHAnsi" w:cstheme="minorHAnsi"/>
          <w:sz w:val="22"/>
          <w:szCs w:val="22"/>
        </w:rPr>
        <w:t xml:space="preserve"> (62,18%) </w:t>
      </w:r>
      <w:r w:rsidR="00080DD0">
        <w:rPr>
          <w:rFonts w:asciiTheme="minorHAnsi" w:hAnsiTheme="minorHAnsi" w:cstheme="minorHAnsi"/>
          <w:sz w:val="22"/>
          <w:szCs w:val="22"/>
        </w:rPr>
        <w:t>du fait de</w:t>
      </w:r>
      <w:r w:rsidR="000251A0">
        <w:rPr>
          <w:rFonts w:asciiTheme="minorHAnsi" w:hAnsiTheme="minorHAnsi" w:cstheme="minorHAnsi"/>
          <w:sz w:val="22"/>
          <w:szCs w:val="22"/>
        </w:rPr>
        <w:t xml:space="preserve"> la non-</w:t>
      </w:r>
      <w:r w:rsidR="00080DD0" w:rsidRPr="00690066">
        <w:rPr>
          <w:rFonts w:asciiTheme="minorHAnsi" w:hAnsiTheme="minorHAnsi" w:cstheme="minorHAnsi"/>
          <w:sz w:val="22"/>
          <w:szCs w:val="22"/>
        </w:rPr>
        <w:t xml:space="preserve">exécution de son budget par la commune d’El </w:t>
      </w:r>
      <w:proofErr w:type="spellStart"/>
      <w:r w:rsidR="00080DD0" w:rsidRPr="00690066">
        <w:rPr>
          <w:rFonts w:asciiTheme="minorHAnsi" w:hAnsiTheme="minorHAnsi" w:cstheme="minorHAnsi"/>
          <w:sz w:val="22"/>
          <w:szCs w:val="22"/>
        </w:rPr>
        <w:t>Megvé</w:t>
      </w:r>
      <w:proofErr w:type="spellEnd"/>
      <w:r w:rsidR="000251A0">
        <w:rPr>
          <w:rFonts w:asciiTheme="minorHAnsi" w:hAnsiTheme="minorHAnsi" w:cstheme="minorHAnsi"/>
          <w:sz w:val="22"/>
          <w:szCs w:val="22"/>
        </w:rPr>
        <w:t xml:space="preserve">, comme ce fut déjà le cas en 2011 et en </w:t>
      </w:r>
      <w:r w:rsidR="00080DD0" w:rsidRPr="00690066">
        <w:rPr>
          <w:rFonts w:asciiTheme="minorHAnsi" w:hAnsiTheme="minorHAnsi" w:cstheme="minorHAnsi"/>
          <w:sz w:val="22"/>
          <w:szCs w:val="22"/>
        </w:rPr>
        <w:t>2010.</w:t>
      </w:r>
      <w:r w:rsidR="000251A0">
        <w:rPr>
          <w:rFonts w:asciiTheme="minorHAnsi" w:hAnsiTheme="minorHAnsi" w:cstheme="minorHAnsi"/>
          <w:sz w:val="22"/>
          <w:szCs w:val="22"/>
        </w:rPr>
        <w:t xml:space="preserve"> D’autre part, rappelons que la Commune de </w:t>
      </w:r>
      <w:proofErr w:type="spellStart"/>
      <w:r w:rsidR="000251A0">
        <w:rPr>
          <w:rFonts w:asciiTheme="minorHAnsi" w:hAnsiTheme="minorHAnsi" w:cstheme="minorHAnsi"/>
          <w:sz w:val="22"/>
          <w:szCs w:val="22"/>
        </w:rPr>
        <w:t>Dhar</w:t>
      </w:r>
      <w:proofErr w:type="spellEnd"/>
      <w:r w:rsidR="000251A0">
        <w:rPr>
          <w:rFonts w:asciiTheme="minorHAnsi" w:hAnsiTheme="minorHAnsi" w:cstheme="minorHAnsi"/>
          <w:sz w:val="22"/>
          <w:szCs w:val="22"/>
        </w:rPr>
        <w:t xml:space="preserve"> a été </w:t>
      </w:r>
      <w:r w:rsidR="00D05959">
        <w:rPr>
          <w:rFonts w:asciiTheme="minorHAnsi" w:hAnsiTheme="minorHAnsi" w:cstheme="minorHAnsi"/>
          <w:sz w:val="22"/>
          <w:szCs w:val="22"/>
        </w:rPr>
        <w:t>ré</w:t>
      </w:r>
      <w:r w:rsidR="000251A0">
        <w:rPr>
          <w:rFonts w:asciiTheme="minorHAnsi" w:hAnsiTheme="minorHAnsi" w:cstheme="minorHAnsi"/>
          <w:sz w:val="22"/>
          <w:szCs w:val="22"/>
        </w:rPr>
        <w:t xml:space="preserve">intégrée à la </w:t>
      </w:r>
      <w:proofErr w:type="spellStart"/>
      <w:r w:rsidR="001246CD">
        <w:rPr>
          <w:rFonts w:asciiTheme="minorHAnsi" w:hAnsiTheme="minorHAnsi" w:cstheme="minorHAnsi"/>
          <w:sz w:val="22"/>
          <w:szCs w:val="22"/>
        </w:rPr>
        <w:t>Moughataa</w:t>
      </w:r>
      <w:proofErr w:type="spellEnd"/>
      <w:r w:rsidR="000251A0">
        <w:rPr>
          <w:rFonts w:asciiTheme="minorHAnsi" w:hAnsiTheme="minorHAnsi" w:cstheme="minorHAnsi"/>
          <w:sz w:val="22"/>
          <w:szCs w:val="22"/>
        </w:rPr>
        <w:t xml:space="preserve"> de </w:t>
      </w:r>
      <w:proofErr w:type="spellStart"/>
      <w:r w:rsidR="000251A0">
        <w:rPr>
          <w:rFonts w:asciiTheme="minorHAnsi" w:hAnsiTheme="minorHAnsi" w:cstheme="minorHAnsi"/>
          <w:sz w:val="22"/>
          <w:szCs w:val="22"/>
        </w:rPr>
        <w:t>Bassiknou</w:t>
      </w:r>
      <w:proofErr w:type="spellEnd"/>
      <w:r w:rsidR="000251A0">
        <w:rPr>
          <w:rFonts w:asciiTheme="minorHAnsi" w:hAnsiTheme="minorHAnsi" w:cstheme="minorHAnsi"/>
          <w:sz w:val="22"/>
          <w:szCs w:val="22"/>
        </w:rPr>
        <w:t xml:space="preserve"> </w:t>
      </w:r>
      <w:r w:rsidR="00D05959">
        <w:rPr>
          <w:rFonts w:asciiTheme="minorHAnsi" w:hAnsiTheme="minorHAnsi" w:cstheme="minorHAnsi"/>
          <w:sz w:val="22"/>
          <w:szCs w:val="22"/>
        </w:rPr>
        <w:t>en attendant l’officialisation de la création de la</w:t>
      </w:r>
      <w:r w:rsidR="000251A0">
        <w:rPr>
          <w:rFonts w:asciiTheme="minorHAnsi" w:hAnsiTheme="minorHAnsi" w:cstheme="minorHAnsi"/>
          <w:sz w:val="22"/>
          <w:szCs w:val="22"/>
        </w:rPr>
        <w:t xml:space="preserve"> </w:t>
      </w:r>
      <w:proofErr w:type="spellStart"/>
      <w:r w:rsidR="001246CD">
        <w:rPr>
          <w:rFonts w:asciiTheme="minorHAnsi" w:hAnsiTheme="minorHAnsi" w:cstheme="minorHAnsi"/>
          <w:sz w:val="22"/>
          <w:szCs w:val="22"/>
        </w:rPr>
        <w:t>Moughataa</w:t>
      </w:r>
      <w:proofErr w:type="spellEnd"/>
      <w:r w:rsidR="000251A0">
        <w:rPr>
          <w:rFonts w:asciiTheme="minorHAnsi" w:hAnsiTheme="minorHAnsi" w:cstheme="minorHAnsi"/>
          <w:sz w:val="22"/>
          <w:szCs w:val="22"/>
        </w:rPr>
        <w:t xml:space="preserve"> de N’</w:t>
      </w:r>
      <w:proofErr w:type="spellStart"/>
      <w:r w:rsidR="000251A0">
        <w:rPr>
          <w:rFonts w:asciiTheme="minorHAnsi" w:hAnsiTheme="minorHAnsi" w:cstheme="minorHAnsi"/>
          <w:sz w:val="22"/>
          <w:szCs w:val="22"/>
        </w:rPr>
        <w:t>Beiket</w:t>
      </w:r>
      <w:proofErr w:type="spellEnd"/>
      <w:r w:rsidR="000251A0">
        <w:rPr>
          <w:rFonts w:asciiTheme="minorHAnsi" w:hAnsiTheme="minorHAnsi" w:cstheme="minorHAnsi"/>
          <w:sz w:val="22"/>
          <w:szCs w:val="22"/>
        </w:rPr>
        <w:t xml:space="preserve"> </w:t>
      </w:r>
      <w:proofErr w:type="spellStart"/>
      <w:r w:rsidR="000251A0">
        <w:rPr>
          <w:rFonts w:asciiTheme="minorHAnsi" w:hAnsiTheme="minorHAnsi" w:cstheme="minorHAnsi"/>
          <w:sz w:val="22"/>
          <w:szCs w:val="22"/>
        </w:rPr>
        <w:t>L</w:t>
      </w:r>
      <w:r w:rsidR="00D05959">
        <w:rPr>
          <w:rFonts w:asciiTheme="minorHAnsi" w:hAnsiTheme="minorHAnsi" w:cstheme="minorHAnsi"/>
          <w:sz w:val="22"/>
          <w:szCs w:val="22"/>
        </w:rPr>
        <w:t>ahwach</w:t>
      </w:r>
      <w:proofErr w:type="spellEnd"/>
      <w:r w:rsidR="000251A0">
        <w:rPr>
          <w:rFonts w:asciiTheme="minorHAnsi" w:hAnsiTheme="minorHAnsi" w:cstheme="minorHAnsi"/>
          <w:sz w:val="22"/>
          <w:szCs w:val="22"/>
        </w:rPr>
        <w:t>.</w:t>
      </w:r>
    </w:p>
    <w:p w:rsidR="00080DD0" w:rsidRDefault="00080DD0" w:rsidP="00080DD0">
      <w:pPr>
        <w:jc w:val="both"/>
        <w:rPr>
          <w:rFonts w:asciiTheme="minorHAnsi" w:hAnsiTheme="minorHAnsi" w:cstheme="minorHAnsi"/>
          <w:sz w:val="22"/>
          <w:szCs w:val="22"/>
        </w:rPr>
      </w:pPr>
    </w:p>
    <w:p w:rsidR="00EE5E6C" w:rsidRDefault="00EE5E6C" w:rsidP="00080DD0">
      <w:pPr>
        <w:jc w:val="both"/>
        <w:rPr>
          <w:rFonts w:asciiTheme="minorHAnsi" w:hAnsiTheme="minorHAnsi" w:cstheme="minorHAnsi"/>
          <w:sz w:val="22"/>
          <w:szCs w:val="22"/>
        </w:rPr>
      </w:pPr>
      <w:r w:rsidRPr="00EE5E6C">
        <w:rPr>
          <w:rFonts w:asciiTheme="minorHAnsi" w:hAnsiTheme="minorHAnsi" w:cstheme="minorHAnsi"/>
          <w:noProof/>
          <w:sz w:val="22"/>
          <w:szCs w:val="22"/>
        </w:rPr>
        <w:drawing>
          <wp:inline distT="0" distB="0" distL="0" distR="0">
            <wp:extent cx="6343650" cy="2752725"/>
            <wp:effectExtent l="19050" t="0" r="0" b="0"/>
            <wp:docPr id="160"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cstate="print"/>
                    <a:srcRect/>
                    <a:stretch>
                      <a:fillRect/>
                    </a:stretch>
                  </pic:blipFill>
                  <pic:spPr bwMode="auto">
                    <a:xfrm>
                      <a:off x="0" y="0"/>
                      <a:ext cx="6343650" cy="2752725"/>
                    </a:xfrm>
                    <a:prstGeom prst="rect">
                      <a:avLst/>
                    </a:prstGeom>
                    <a:noFill/>
                    <a:ln w="9525">
                      <a:noFill/>
                      <a:miter lim="800000"/>
                      <a:headEnd/>
                      <a:tailEnd/>
                    </a:ln>
                  </pic:spPr>
                </pic:pic>
              </a:graphicData>
            </a:graphic>
          </wp:inline>
        </w:drawing>
      </w:r>
    </w:p>
    <w:p w:rsidR="00EE5E6C" w:rsidRPr="00690066" w:rsidRDefault="00EE5E6C" w:rsidP="00080DD0">
      <w:pPr>
        <w:jc w:val="both"/>
        <w:rPr>
          <w:rFonts w:asciiTheme="minorHAnsi" w:hAnsiTheme="minorHAnsi" w:cstheme="minorHAnsi"/>
          <w:sz w:val="22"/>
          <w:szCs w:val="22"/>
        </w:rPr>
      </w:pPr>
    </w:p>
    <w:p w:rsidR="00080DD0" w:rsidRPr="00690066" w:rsidRDefault="000251A0" w:rsidP="00080DD0">
      <w:pPr>
        <w:jc w:val="both"/>
        <w:rPr>
          <w:rFonts w:asciiTheme="minorHAnsi" w:hAnsiTheme="minorHAnsi" w:cstheme="minorHAnsi"/>
          <w:sz w:val="22"/>
          <w:szCs w:val="22"/>
        </w:rPr>
      </w:pPr>
      <w:r>
        <w:rPr>
          <w:rFonts w:asciiTheme="minorHAnsi" w:hAnsiTheme="minorHAnsi" w:cstheme="minorHAnsi"/>
          <w:sz w:val="22"/>
          <w:szCs w:val="22"/>
        </w:rPr>
        <w:t xml:space="preserve">La réduction du nombre de projets, passant </w:t>
      </w:r>
      <w:r w:rsidRPr="000251A0">
        <w:rPr>
          <w:rFonts w:asciiTheme="minorHAnsi" w:hAnsiTheme="minorHAnsi" w:cstheme="minorHAnsi"/>
          <w:sz w:val="22"/>
          <w:szCs w:val="22"/>
        </w:rPr>
        <w:t xml:space="preserve">de </w:t>
      </w:r>
      <w:r>
        <w:rPr>
          <w:rFonts w:asciiTheme="minorHAnsi" w:hAnsiTheme="minorHAnsi" w:cstheme="minorHAnsi"/>
          <w:sz w:val="22"/>
          <w:szCs w:val="22"/>
        </w:rPr>
        <w:t xml:space="preserve">347 en 2011 à 252 </w:t>
      </w:r>
      <w:r w:rsidRPr="000251A0">
        <w:rPr>
          <w:rFonts w:asciiTheme="minorHAnsi" w:hAnsiTheme="minorHAnsi" w:cstheme="minorHAnsi"/>
          <w:sz w:val="22"/>
          <w:szCs w:val="22"/>
        </w:rPr>
        <w:t>en 2012</w:t>
      </w:r>
      <w:r w:rsidR="00D05959">
        <w:rPr>
          <w:rFonts w:asciiTheme="minorHAnsi" w:hAnsiTheme="minorHAnsi" w:cstheme="minorHAnsi"/>
          <w:sz w:val="22"/>
          <w:szCs w:val="22"/>
        </w:rPr>
        <w:t>,</w:t>
      </w:r>
      <w:r w:rsidRPr="000251A0">
        <w:rPr>
          <w:rFonts w:asciiTheme="minorHAnsi" w:hAnsiTheme="minorHAnsi" w:cstheme="minorHAnsi"/>
          <w:sz w:val="22"/>
          <w:szCs w:val="22"/>
        </w:rPr>
        <w:t xml:space="preserve"> a permis d’établir à</w:t>
      </w:r>
      <w:r>
        <w:rPr>
          <w:rFonts w:asciiTheme="minorHAnsi" w:hAnsiTheme="minorHAnsi" w:cstheme="minorHAnsi"/>
          <w:b/>
          <w:sz w:val="22"/>
          <w:szCs w:val="22"/>
        </w:rPr>
        <w:t xml:space="preserve"> 1 319 634 MRO le montant moyen au titre de l’exercice 2012, soit à un niveau </w:t>
      </w:r>
      <w:r w:rsidR="00705B63">
        <w:rPr>
          <w:rFonts w:asciiTheme="minorHAnsi" w:hAnsiTheme="minorHAnsi" w:cstheme="minorHAnsi"/>
          <w:b/>
          <w:sz w:val="22"/>
          <w:szCs w:val="22"/>
        </w:rPr>
        <w:t xml:space="preserve">nettement </w:t>
      </w:r>
      <w:r>
        <w:rPr>
          <w:rFonts w:asciiTheme="minorHAnsi" w:hAnsiTheme="minorHAnsi" w:cstheme="minorHAnsi"/>
          <w:b/>
          <w:sz w:val="22"/>
          <w:szCs w:val="22"/>
        </w:rPr>
        <w:t>supérieur à celui atteint en 2011</w:t>
      </w:r>
      <w:r w:rsidR="00705B63">
        <w:rPr>
          <w:rFonts w:asciiTheme="minorHAnsi" w:hAnsiTheme="minorHAnsi" w:cstheme="minorHAnsi"/>
          <w:sz w:val="22"/>
          <w:szCs w:val="22"/>
        </w:rPr>
        <w:t xml:space="preserve"> (962 176 MRO) et légèrement supérieur au niveau national. </w:t>
      </w:r>
    </w:p>
    <w:p w:rsidR="00080DD0" w:rsidRPr="00690066" w:rsidRDefault="00080DD0" w:rsidP="00080DD0">
      <w:pPr>
        <w:jc w:val="both"/>
        <w:rPr>
          <w:rFonts w:asciiTheme="minorHAnsi" w:hAnsiTheme="minorHAnsi" w:cstheme="minorHAnsi"/>
          <w:sz w:val="22"/>
          <w:szCs w:val="22"/>
        </w:rPr>
      </w:pPr>
    </w:p>
    <w:p w:rsidR="00080DD0" w:rsidRPr="00690066" w:rsidRDefault="00080DD0" w:rsidP="00080DD0">
      <w:pPr>
        <w:jc w:val="both"/>
        <w:rPr>
          <w:rFonts w:asciiTheme="minorHAnsi" w:hAnsiTheme="minorHAnsi" w:cstheme="minorHAnsi"/>
          <w:sz w:val="22"/>
          <w:szCs w:val="22"/>
        </w:rPr>
      </w:pPr>
      <w:r w:rsidRPr="00690066">
        <w:rPr>
          <w:rFonts w:asciiTheme="minorHAnsi" w:hAnsiTheme="minorHAnsi" w:cstheme="minorHAnsi"/>
          <w:b/>
          <w:sz w:val="22"/>
          <w:szCs w:val="22"/>
        </w:rPr>
        <w:t>En termes de priorités d’investissement</w:t>
      </w:r>
      <w:r w:rsidRPr="00690066">
        <w:rPr>
          <w:rFonts w:asciiTheme="minorHAnsi" w:hAnsiTheme="minorHAnsi" w:cstheme="minorHAnsi"/>
          <w:sz w:val="22"/>
          <w:szCs w:val="22"/>
        </w:rPr>
        <w:t xml:space="preserve">, la </w:t>
      </w:r>
      <w:r w:rsidR="001246CD">
        <w:rPr>
          <w:rFonts w:asciiTheme="minorHAnsi" w:hAnsiTheme="minorHAnsi" w:cstheme="minorHAnsi"/>
          <w:sz w:val="22"/>
          <w:szCs w:val="22"/>
        </w:rPr>
        <w:t>Wilaya</w:t>
      </w:r>
      <w:r w:rsidRPr="00690066">
        <w:rPr>
          <w:rFonts w:asciiTheme="minorHAnsi" w:hAnsiTheme="minorHAnsi" w:cstheme="minorHAnsi"/>
          <w:sz w:val="22"/>
          <w:szCs w:val="22"/>
        </w:rPr>
        <w:t xml:space="preserve"> d</w:t>
      </w:r>
      <w:r w:rsidR="00ED568C">
        <w:rPr>
          <w:rFonts w:asciiTheme="minorHAnsi" w:hAnsiTheme="minorHAnsi" w:cstheme="minorHAnsi"/>
          <w:sz w:val="22"/>
          <w:szCs w:val="22"/>
        </w:rPr>
        <w:t xml:space="preserve">u </w:t>
      </w:r>
      <w:proofErr w:type="spellStart"/>
      <w:r w:rsidR="00ED568C">
        <w:rPr>
          <w:rFonts w:asciiTheme="minorHAnsi" w:hAnsiTheme="minorHAnsi" w:cstheme="minorHAnsi"/>
          <w:sz w:val="22"/>
          <w:szCs w:val="22"/>
        </w:rPr>
        <w:t>Hodh</w:t>
      </w:r>
      <w:proofErr w:type="spellEnd"/>
      <w:r w:rsidR="00387539">
        <w:rPr>
          <w:rFonts w:asciiTheme="minorHAnsi" w:hAnsiTheme="minorHAnsi" w:cstheme="minorHAnsi"/>
          <w:sz w:val="22"/>
          <w:szCs w:val="22"/>
        </w:rPr>
        <w:t xml:space="preserve"> </w:t>
      </w:r>
      <w:proofErr w:type="spellStart"/>
      <w:r w:rsidR="00387539">
        <w:rPr>
          <w:rFonts w:asciiTheme="minorHAnsi" w:hAnsiTheme="minorHAnsi" w:cstheme="minorHAnsi"/>
          <w:sz w:val="22"/>
          <w:szCs w:val="22"/>
        </w:rPr>
        <w:t>Echargui</w:t>
      </w:r>
      <w:proofErr w:type="spellEnd"/>
      <w:r w:rsidR="00387539">
        <w:rPr>
          <w:rFonts w:asciiTheme="minorHAnsi" w:hAnsiTheme="minorHAnsi" w:cstheme="minorHAnsi"/>
          <w:sz w:val="22"/>
          <w:szCs w:val="22"/>
        </w:rPr>
        <w:t xml:space="preserve"> </w:t>
      </w:r>
      <w:r w:rsidR="00EA7ED2">
        <w:rPr>
          <w:rFonts w:asciiTheme="minorHAnsi" w:hAnsiTheme="minorHAnsi" w:cstheme="minorHAnsi"/>
          <w:sz w:val="22"/>
          <w:szCs w:val="22"/>
        </w:rPr>
        <w:t xml:space="preserve">a mis l’accent en 2012 sur </w:t>
      </w:r>
      <w:r w:rsidR="006D40A3">
        <w:rPr>
          <w:rFonts w:asciiTheme="minorHAnsi" w:hAnsiTheme="minorHAnsi" w:cstheme="minorHAnsi"/>
          <w:sz w:val="22"/>
          <w:szCs w:val="22"/>
        </w:rPr>
        <w:t>l’éducation (121 704 802 MRO engagés pour 76</w:t>
      </w:r>
      <w:r w:rsidRPr="00690066">
        <w:rPr>
          <w:rFonts w:asciiTheme="minorHAnsi" w:hAnsiTheme="minorHAnsi" w:cstheme="minorHAnsi"/>
          <w:sz w:val="22"/>
          <w:szCs w:val="22"/>
        </w:rPr>
        <w:t xml:space="preserve"> projets) </w:t>
      </w:r>
      <w:r w:rsidR="006D40A3">
        <w:rPr>
          <w:rFonts w:asciiTheme="minorHAnsi" w:hAnsiTheme="minorHAnsi" w:cstheme="minorHAnsi"/>
          <w:sz w:val="22"/>
          <w:szCs w:val="22"/>
        </w:rPr>
        <w:t xml:space="preserve">à hauteur de 36,60% (priorité n°1), </w:t>
      </w:r>
      <w:r w:rsidRPr="00690066">
        <w:rPr>
          <w:rFonts w:asciiTheme="minorHAnsi" w:hAnsiTheme="minorHAnsi" w:cstheme="minorHAnsi"/>
          <w:sz w:val="22"/>
          <w:szCs w:val="22"/>
        </w:rPr>
        <w:t xml:space="preserve">de </w:t>
      </w:r>
      <w:r w:rsidR="00387539">
        <w:rPr>
          <w:rFonts w:asciiTheme="minorHAnsi" w:hAnsiTheme="minorHAnsi" w:cstheme="minorHAnsi"/>
          <w:sz w:val="22"/>
          <w:szCs w:val="22"/>
        </w:rPr>
        <w:t>l’hydraulique (priorité n°2 : 96 556 808 MRO engagés pour 105</w:t>
      </w:r>
      <w:r w:rsidRPr="00690066">
        <w:rPr>
          <w:rFonts w:asciiTheme="minorHAnsi" w:hAnsiTheme="minorHAnsi" w:cstheme="minorHAnsi"/>
          <w:sz w:val="22"/>
          <w:szCs w:val="22"/>
        </w:rPr>
        <w:t xml:space="preserve"> projets</w:t>
      </w:r>
      <w:r w:rsidR="00387539">
        <w:rPr>
          <w:rFonts w:asciiTheme="minorHAnsi" w:hAnsiTheme="minorHAnsi" w:cstheme="minorHAnsi"/>
          <w:sz w:val="22"/>
          <w:szCs w:val="22"/>
        </w:rPr>
        <w:t>) à hauteur de 29,04%, puis de la santé (37 418 060 MRO engagés pour 15 projets) à hauteur de 11,25%</w:t>
      </w:r>
      <w:r w:rsidR="00D05959">
        <w:rPr>
          <w:rFonts w:asciiTheme="minorHAnsi" w:hAnsiTheme="minorHAnsi" w:cstheme="minorHAnsi"/>
          <w:sz w:val="22"/>
          <w:szCs w:val="22"/>
        </w:rPr>
        <w:t xml:space="preserve"> des engagements</w:t>
      </w:r>
      <w:r w:rsidR="00387539">
        <w:rPr>
          <w:rFonts w:asciiTheme="minorHAnsi" w:hAnsiTheme="minorHAnsi" w:cstheme="minorHAnsi"/>
          <w:sz w:val="22"/>
          <w:szCs w:val="22"/>
        </w:rPr>
        <w:t>.</w:t>
      </w:r>
    </w:p>
    <w:p w:rsidR="00080DD0" w:rsidRDefault="00080DD0" w:rsidP="00080DD0">
      <w:pPr>
        <w:jc w:val="both"/>
        <w:rPr>
          <w:rFonts w:asciiTheme="minorHAnsi" w:hAnsiTheme="minorHAnsi" w:cstheme="minorHAnsi"/>
          <w:sz w:val="22"/>
          <w:szCs w:val="22"/>
        </w:rPr>
      </w:pPr>
    </w:p>
    <w:p w:rsidR="00080DD0" w:rsidRDefault="00080DD0" w:rsidP="00080DD0">
      <w:pPr>
        <w:jc w:val="both"/>
        <w:rPr>
          <w:rFonts w:asciiTheme="minorHAnsi" w:hAnsiTheme="minorHAnsi" w:cstheme="minorHAnsi"/>
          <w:sz w:val="22"/>
          <w:szCs w:val="22"/>
        </w:rPr>
      </w:pPr>
      <w:r w:rsidRPr="003C3A35">
        <w:rPr>
          <w:noProof/>
        </w:rPr>
        <w:drawing>
          <wp:inline distT="0" distB="0" distL="0" distR="0">
            <wp:extent cx="6486525" cy="3267075"/>
            <wp:effectExtent l="19050" t="0" r="0" b="0"/>
            <wp:docPr id="19"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stretch>
                      <a:fillRect/>
                    </a:stretch>
                  </pic:blipFill>
                  <pic:spPr>
                    <a:xfrm>
                      <a:off x="0" y="0"/>
                      <a:ext cx="6485714" cy="3266667"/>
                    </a:xfrm>
                    <a:prstGeom prst="rect">
                      <a:avLst/>
                    </a:prstGeom>
                  </pic:spPr>
                </pic:pic>
              </a:graphicData>
            </a:graphic>
          </wp:inline>
        </w:drawing>
      </w:r>
    </w:p>
    <w:p w:rsidR="00080DD0" w:rsidRDefault="00080DD0" w:rsidP="00080DD0">
      <w:pPr>
        <w:jc w:val="both"/>
        <w:rPr>
          <w:rFonts w:asciiTheme="minorHAnsi" w:hAnsiTheme="minorHAnsi" w:cstheme="minorHAnsi"/>
          <w:sz w:val="22"/>
          <w:szCs w:val="22"/>
        </w:rPr>
      </w:pPr>
    </w:p>
    <w:p w:rsidR="00080DD0" w:rsidRDefault="00EA7ED2" w:rsidP="00080DD0">
      <w:pPr>
        <w:jc w:val="both"/>
        <w:rPr>
          <w:rFonts w:asciiTheme="minorHAnsi" w:hAnsiTheme="minorHAnsi" w:cstheme="minorHAnsi"/>
          <w:sz w:val="22"/>
          <w:szCs w:val="22"/>
        </w:rPr>
      </w:pPr>
      <w:r>
        <w:rPr>
          <w:rFonts w:asciiTheme="minorHAnsi" w:hAnsiTheme="minorHAnsi" w:cstheme="minorHAnsi"/>
          <w:sz w:val="22"/>
          <w:szCs w:val="22"/>
        </w:rPr>
        <w:t>En comparaison des priorités d’investissement de 2011, le secteur de la santé a de justesse pris l’ascendant sur le</w:t>
      </w:r>
      <w:r w:rsidR="005A4A2A">
        <w:rPr>
          <w:rFonts w:asciiTheme="minorHAnsi" w:hAnsiTheme="minorHAnsi" w:cstheme="minorHAnsi"/>
          <w:sz w:val="22"/>
          <w:szCs w:val="22"/>
        </w:rPr>
        <w:t xml:space="preserve"> </w:t>
      </w:r>
      <w:r>
        <w:rPr>
          <w:rFonts w:asciiTheme="minorHAnsi" w:hAnsiTheme="minorHAnsi" w:cstheme="minorHAnsi"/>
          <w:sz w:val="22"/>
          <w:szCs w:val="22"/>
        </w:rPr>
        <w:t>s</w:t>
      </w:r>
      <w:r w:rsidR="005A4A2A">
        <w:rPr>
          <w:rFonts w:asciiTheme="minorHAnsi" w:hAnsiTheme="minorHAnsi" w:cstheme="minorHAnsi"/>
          <w:sz w:val="22"/>
          <w:szCs w:val="22"/>
        </w:rPr>
        <w:t>ecteur des</w:t>
      </w:r>
      <w:r>
        <w:rPr>
          <w:rFonts w:asciiTheme="minorHAnsi" w:hAnsiTheme="minorHAnsi" w:cstheme="minorHAnsi"/>
          <w:sz w:val="22"/>
          <w:szCs w:val="22"/>
        </w:rPr>
        <w:t xml:space="preserve"> bâtiments communaux (en troisième position en 2011 et donc en quatrième en 2012 avec 11,17% des engagements</w:t>
      </w:r>
      <w:r w:rsidR="005A4A2A">
        <w:rPr>
          <w:rFonts w:asciiTheme="minorHAnsi" w:hAnsiTheme="minorHAnsi" w:cstheme="minorHAnsi"/>
          <w:sz w:val="22"/>
          <w:szCs w:val="22"/>
        </w:rPr>
        <w:t>, alors qu’il constitue au niveau national la priorité d’investissement n°1 en 2012</w:t>
      </w:r>
      <w:r>
        <w:rPr>
          <w:rFonts w:asciiTheme="minorHAnsi" w:hAnsiTheme="minorHAnsi" w:cstheme="minorHAnsi"/>
          <w:sz w:val="22"/>
          <w:szCs w:val="22"/>
        </w:rPr>
        <w:t>).</w:t>
      </w:r>
    </w:p>
    <w:p w:rsidR="00080DD0" w:rsidRPr="00690066" w:rsidRDefault="00080DD0" w:rsidP="00080DD0">
      <w:pPr>
        <w:jc w:val="both"/>
        <w:rPr>
          <w:rFonts w:asciiTheme="minorHAnsi" w:hAnsiTheme="minorHAnsi" w:cstheme="minorHAnsi"/>
          <w:sz w:val="22"/>
          <w:szCs w:val="22"/>
        </w:rPr>
      </w:pPr>
    </w:p>
    <w:p w:rsidR="00080DD0" w:rsidRDefault="00080DD0" w:rsidP="00080DD0">
      <w:pPr>
        <w:jc w:val="both"/>
        <w:rPr>
          <w:rFonts w:asciiTheme="minorHAnsi" w:hAnsiTheme="minorHAnsi" w:cstheme="minorHAnsi"/>
        </w:rPr>
      </w:pPr>
    </w:p>
    <w:p w:rsidR="00080DD0" w:rsidRPr="008E3B82" w:rsidRDefault="00080DD0" w:rsidP="00DA6062">
      <w:pPr>
        <w:jc w:val="both"/>
        <w:rPr>
          <w:rFonts w:asciiTheme="minorHAnsi" w:hAnsiTheme="minorHAnsi" w:cstheme="minorHAnsi"/>
          <w:b/>
          <w:sz w:val="22"/>
          <w:szCs w:val="22"/>
          <w:u w:val="single"/>
        </w:rPr>
      </w:pPr>
      <w:r w:rsidRPr="008E3B82">
        <w:rPr>
          <w:rFonts w:asciiTheme="minorHAnsi" w:hAnsiTheme="minorHAnsi" w:cstheme="minorHAnsi"/>
          <w:b/>
          <w:sz w:val="22"/>
          <w:szCs w:val="22"/>
          <w:u w:val="single"/>
        </w:rPr>
        <w:t xml:space="preserve">Analyse des données par </w:t>
      </w:r>
      <w:proofErr w:type="spellStart"/>
      <w:r w:rsidR="001246CD">
        <w:rPr>
          <w:rFonts w:asciiTheme="minorHAnsi" w:hAnsiTheme="minorHAnsi" w:cstheme="minorHAnsi"/>
          <w:b/>
          <w:sz w:val="22"/>
          <w:szCs w:val="22"/>
          <w:u w:val="single"/>
        </w:rPr>
        <w:t>Moughataa</w:t>
      </w:r>
      <w:proofErr w:type="spellEnd"/>
    </w:p>
    <w:p w:rsidR="00080DD0" w:rsidRPr="00690066" w:rsidRDefault="00080DD0" w:rsidP="00080DD0">
      <w:pPr>
        <w:jc w:val="both"/>
        <w:rPr>
          <w:rFonts w:asciiTheme="minorHAnsi" w:hAnsiTheme="minorHAnsi" w:cstheme="minorHAnsi"/>
          <w:b/>
          <w:sz w:val="22"/>
          <w:szCs w:val="22"/>
        </w:rPr>
      </w:pPr>
    </w:p>
    <w:p w:rsidR="00080DD0" w:rsidRPr="00690066" w:rsidRDefault="001246CD" w:rsidP="00080DD0">
      <w:pPr>
        <w:jc w:val="center"/>
        <w:rPr>
          <w:rFonts w:asciiTheme="minorHAnsi" w:hAnsiTheme="minorHAnsi" w:cstheme="minorHAnsi"/>
          <w:sz w:val="22"/>
          <w:szCs w:val="22"/>
          <w:u w:val="single"/>
        </w:rPr>
      </w:pPr>
      <w:proofErr w:type="spellStart"/>
      <w:r>
        <w:rPr>
          <w:rFonts w:asciiTheme="minorHAnsi" w:hAnsiTheme="minorHAnsi" w:cstheme="minorHAnsi"/>
          <w:b/>
          <w:sz w:val="22"/>
          <w:szCs w:val="22"/>
          <w:u w:val="single"/>
        </w:rPr>
        <w:t>Moughataa</w:t>
      </w:r>
      <w:proofErr w:type="spellEnd"/>
      <w:r w:rsidR="00080DD0" w:rsidRPr="00690066">
        <w:rPr>
          <w:rFonts w:asciiTheme="minorHAnsi" w:hAnsiTheme="minorHAnsi" w:cstheme="minorHAnsi"/>
          <w:b/>
          <w:sz w:val="22"/>
          <w:szCs w:val="22"/>
          <w:u w:val="single"/>
        </w:rPr>
        <w:t xml:space="preserve"> de Néma</w:t>
      </w:r>
    </w:p>
    <w:p w:rsidR="00080DD0" w:rsidRPr="00690066" w:rsidRDefault="00080DD0" w:rsidP="00080DD0">
      <w:pPr>
        <w:jc w:val="both"/>
        <w:rPr>
          <w:rFonts w:asciiTheme="minorHAnsi" w:hAnsiTheme="minorHAnsi" w:cstheme="minorHAnsi"/>
          <w:sz w:val="22"/>
          <w:szCs w:val="22"/>
        </w:rPr>
      </w:pPr>
    </w:p>
    <w:p w:rsidR="00080DD0" w:rsidRPr="007508EC" w:rsidRDefault="00080DD0" w:rsidP="00080DD0">
      <w:pPr>
        <w:jc w:val="both"/>
        <w:rPr>
          <w:rFonts w:asciiTheme="minorHAnsi" w:hAnsiTheme="minorHAnsi" w:cstheme="minorHAnsi"/>
          <w:sz w:val="22"/>
          <w:szCs w:val="22"/>
        </w:rPr>
      </w:pPr>
      <w:r w:rsidRPr="00690066">
        <w:rPr>
          <w:rFonts w:asciiTheme="minorHAnsi" w:hAnsiTheme="minorHAnsi" w:cstheme="minorHAnsi"/>
          <w:sz w:val="22"/>
          <w:szCs w:val="22"/>
        </w:rPr>
        <w:t xml:space="preserve">Les communes de la </w:t>
      </w:r>
      <w:proofErr w:type="spellStart"/>
      <w:r w:rsidR="001246CD">
        <w:rPr>
          <w:rFonts w:asciiTheme="minorHAnsi" w:hAnsiTheme="minorHAnsi" w:cstheme="minorHAnsi"/>
          <w:sz w:val="22"/>
          <w:szCs w:val="22"/>
        </w:rPr>
        <w:t>Moughataa</w:t>
      </w:r>
      <w:proofErr w:type="spellEnd"/>
      <w:r w:rsidRPr="00690066">
        <w:rPr>
          <w:rFonts w:asciiTheme="minorHAnsi" w:hAnsiTheme="minorHAnsi" w:cstheme="minorHAnsi"/>
          <w:sz w:val="22"/>
          <w:szCs w:val="22"/>
        </w:rPr>
        <w:t xml:space="preserve"> de </w:t>
      </w:r>
      <w:r w:rsidR="007508EC">
        <w:rPr>
          <w:rFonts w:asciiTheme="minorHAnsi" w:hAnsiTheme="minorHAnsi" w:cstheme="minorHAnsi"/>
          <w:sz w:val="22"/>
          <w:szCs w:val="22"/>
        </w:rPr>
        <w:t>Néma ont bénéficié d’un FRD 2012 pour l’équipement de 62 518 366 MRO (+15,08 % par rapport à 2011). Elles ont engagé 58 801 993</w:t>
      </w:r>
      <w:r w:rsidRPr="00690066">
        <w:rPr>
          <w:rFonts w:asciiTheme="minorHAnsi" w:hAnsiTheme="minorHAnsi" w:cstheme="minorHAnsi"/>
          <w:sz w:val="22"/>
          <w:szCs w:val="22"/>
        </w:rPr>
        <w:t xml:space="preserve"> MRO pour la réalisation de </w:t>
      </w:r>
      <w:r w:rsidR="007508EC">
        <w:rPr>
          <w:rFonts w:asciiTheme="minorHAnsi" w:hAnsiTheme="minorHAnsi" w:cstheme="minorHAnsi"/>
          <w:b/>
          <w:sz w:val="22"/>
          <w:szCs w:val="22"/>
        </w:rPr>
        <w:t>91</w:t>
      </w:r>
      <w:r w:rsidRPr="00544D5A">
        <w:rPr>
          <w:rFonts w:asciiTheme="minorHAnsi" w:hAnsiTheme="minorHAnsi" w:cstheme="minorHAnsi"/>
          <w:b/>
          <w:sz w:val="22"/>
          <w:szCs w:val="22"/>
        </w:rPr>
        <w:t xml:space="preserve"> projets</w:t>
      </w:r>
      <w:r w:rsidRPr="00690066">
        <w:rPr>
          <w:rFonts w:asciiTheme="minorHAnsi" w:hAnsiTheme="minorHAnsi" w:cstheme="minorHAnsi"/>
          <w:sz w:val="22"/>
          <w:szCs w:val="22"/>
        </w:rPr>
        <w:t xml:space="preserve">, soit un </w:t>
      </w:r>
      <w:r w:rsidR="007508EC">
        <w:rPr>
          <w:rFonts w:asciiTheme="minorHAnsi" w:hAnsiTheme="minorHAnsi" w:cstheme="minorHAnsi"/>
          <w:b/>
          <w:sz w:val="22"/>
          <w:szCs w:val="22"/>
        </w:rPr>
        <w:t>taux d’absorption de 94,06</w:t>
      </w:r>
      <w:r w:rsidRPr="00544D5A">
        <w:rPr>
          <w:rFonts w:asciiTheme="minorHAnsi" w:hAnsiTheme="minorHAnsi" w:cstheme="minorHAnsi"/>
          <w:b/>
          <w:sz w:val="22"/>
          <w:szCs w:val="22"/>
        </w:rPr>
        <w:t xml:space="preserve"> %</w:t>
      </w:r>
      <w:r w:rsidR="007508EC">
        <w:rPr>
          <w:rFonts w:asciiTheme="minorHAnsi" w:hAnsiTheme="minorHAnsi" w:cstheme="minorHAnsi"/>
          <w:b/>
          <w:sz w:val="22"/>
          <w:szCs w:val="22"/>
        </w:rPr>
        <w:t xml:space="preserve">, </w:t>
      </w:r>
      <w:r w:rsidR="007508EC" w:rsidRPr="007508EC">
        <w:rPr>
          <w:rFonts w:asciiTheme="minorHAnsi" w:hAnsiTheme="minorHAnsi" w:cstheme="minorHAnsi"/>
          <w:sz w:val="22"/>
          <w:szCs w:val="22"/>
        </w:rPr>
        <w:t>en ligne avec les taux régional et national</w:t>
      </w:r>
      <w:r w:rsidRPr="007508EC">
        <w:rPr>
          <w:rFonts w:asciiTheme="minorHAnsi" w:hAnsiTheme="minorHAnsi" w:cstheme="minorHAnsi"/>
          <w:sz w:val="22"/>
          <w:szCs w:val="22"/>
        </w:rPr>
        <w:t>.</w:t>
      </w:r>
    </w:p>
    <w:p w:rsidR="00080DD0" w:rsidRDefault="00E54720" w:rsidP="00080DD0">
      <w:pPr>
        <w:jc w:val="both"/>
        <w:rPr>
          <w:rFonts w:asciiTheme="minorHAnsi" w:hAnsiTheme="minorHAnsi" w:cstheme="minorHAnsi"/>
          <w:sz w:val="22"/>
          <w:szCs w:val="22"/>
        </w:rPr>
      </w:pPr>
      <w:r>
        <w:rPr>
          <w:rFonts w:asciiTheme="minorHAnsi" w:hAnsiTheme="minorHAnsi" w:cstheme="minorHAnsi"/>
          <w:sz w:val="22"/>
          <w:szCs w:val="22"/>
        </w:rPr>
        <w:t xml:space="preserve">La Commune de </w:t>
      </w:r>
      <w:proofErr w:type="spellStart"/>
      <w:r>
        <w:rPr>
          <w:rFonts w:asciiTheme="minorHAnsi" w:hAnsiTheme="minorHAnsi" w:cstheme="minorHAnsi"/>
          <w:sz w:val="22"/>
          <w:szCs w:val="22"/>
        </w:rPr>
        <w:t>Noual</w:t>
      </w:r>
      <w:proofErr w:type="spellEnd"/>
      <w:r>
        <w:rPr>
          <w:rFonts w:asciiTheme="minorHAnsi" w:hAnsiTheme="minorHAnsi" w:cstheme="minorHAnsi"/>
          <w:sz w:val="22"/>
          <w:szCs w:val="22"/>
        </w:rPr>
        <w:t xml:space="preserve">, avec un taux de 121,70%, arrive à absorber </w:t>
      </w:r>
      <w:r w:rsidR="00924015">
        <w:rPr>
          <w:rFonts w:asciiTheme="minorHAnsi" w:hAnsiTheme="minorHAnsi" w:cstheme="minorHAnsi"/>
          <w:sz w:val="22"/>
          <w:szCs w:val="22"/>
        </w:rPr>
        <w:t xml:space="preserve">fortement </w:t>
      </w:r>
      <w:r>
        <w:rPr>
          <w:rFonts w:asciiTheme="minorHAnsi" w:hAnsiTheme="minorHAnsi" w:cstheme="minorHAnsi"/>
          <w:sz w:val="22"/>
          <w:szCs w:val="22"/>
        </w:rPr>
        <w:t>ses reliquats des exercices antérieurs : c’est aussi celle qui a reçu le montant de FRD le moins élevé.</w:t>
      </w:r>
    </w:p>
    <w:p w:rsidR="00E54720" w:rsidRPr="00690066" w:rsidRDefault="00E54720" w:rsidP="00080DD0">
      <w:pPr>
        <w:jc w:val="both"/>
        <w:rPr>
          <w:rFonts w:asciiTheme="minorHAnsi" w:hAnsiTheme="minorHAnsi" w:cstheme="minorHAnsi"/>
          <w:sz w:val="22"/>
          <w:szCs w:val="22"/>
        </w:rPr>
      </w:pPr>
    </w:p>
    <w:p w:rsidR="00080DD0" w:rsidRDefault="00080DD0" w:rsidP="00080DD0">
      <w:pPr>
        <w:jc w:val="both"/>
        <w:rPr>
          <w:rFonts w:asciiTheme="minorHAnsi" w:hAnsiTheme="minorHAnsi" w:cstheme="minorHAnsi"/>
          <w:sz w:val="22"/>
          <w:szCs w:val="22"/>
        </w:rPr>
      </w:pPr>
      <w:r w:rsidRPr="00046F9E">
        <w:rPr>
          <w:noProof/>
        </w:rPr>
        <w:drawing>
          <wp:inline distT="0" distB="0" distL="0" distR="0">
            <wp:extent cx="3324225" cy="2771775"/>
            <wp:effectExtent l="19050" t="0" r="9525" b="0"/>
            <wp:docPr id="21"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3323810" cy="2771429"/>
                    </a:xfrm>
                    <a:prstGeom prst="rect">
                      <a:avLst/>
                    </a:prstGeom>
                  </pic:spPr>
                </pic:pic>
              </a:graphicData>
            </a:graphic>
          </wp:inline>
        </w:drawing>
      </w:r>
      <w:r w:rsidRPr="00D4494E">
        <w:rPr>
          <w:rFonts w:asciiTheme="minorHAnsi" w:hAnsiTheme="minorHAnsi" w:cstheme="minorHAnsi"/>
          <w:noProof/>
          <w:sz w:val="22"/>
          <w:szCs w:val="22"/>
        </w:rPr>
        <w:drawing>
          <wp:inline distT="0" distB="0" distL="0" distR="0">
            <wp:extent cx="3248025" cy="2771775"/>
            <wp:effectExtent l="19050" t="0" r="9525" b="0"/>
            <wp:docPr id="24"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stretch>
                      <a:fillRect/>
                    </a:stretch>
                  </pic:blipFill>
                  <pic:spPr>
                    <a:xfrm>
                      <a:off x="0" y="0"/>
                      <a:ext cx="3247620" cy="2771429"/>
                    </a:xfrm>
                    <a:prstGeom prst="rect">
                      <a:avLst/>
                    </a:prstGeom>
                  </pic:spPr>
                </pic:pic>
              </a:graphicData>
            </a:graphic>
          </wp:inline>
        </w:drawing>
      </w:r>
    </w:p>
    <w:p w:rsidR="00B716F4" w:rsidRDefault="00B716F4" w:rsidP="00080DD0">
      <w:pPr>
        <w:jc w:val="both"/>
        <w:rPr>
          <w:rFonts w:asciiTheme="minorHAnsi" w:hAnsiTheme="minorHAnsi" w:cstheme="minorHAnsi"/>
          <w:sz w:val="22"/>
          <w:szCs w:val="22"/>
        </w:rPr>
      </w:pPr>
      <w:r w:rsidRPr="00B716F4">
        <w:rPr>
          <w:noProof/>
          <w:szCs w:val="22"/>
        </w:rPr>
        <w:drawing>
          <wp:inline distT="0" distB="0" distL="0" distR="0">
            <wp:extent cx="6638350" cy="2800350"/>
            <wp:effectExtent l="1905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srcRect/>
                    <a:stretch>
                      <a:fillRect/>
                    </a:stretch>
                  </pic:blipFill>
                  <pic:spPr bwMode="auto">
                    <a:xfrm>
                      <a:off x="0" y="0"/>
                      <a:ext cx="6645910" cy="2803539"/>
                    </a:xfrm>
                    <a:prstGeom prst="rect">
                      <a:avLst/>
                    </a:prstGeom>
                    <a:noFill/>
                    <a:ln w="9525">
                      <a:noFill/>
                      <a:miter lim="800000"/>
                      <a:headEnd/>
                      <a:tailEnd/>
                    </a:ln>
                  </pic:spPr>
                </pic:pic>
              </a:graphicData>
            </a:graphic>
          </wp:inline>
        </w:drawing>
      </w:r>
    </w:p>
    <w:p w:rsidR="00B716F4" w:rsidRDefault="00B716F4" w:rsidP="00080DD0">
      <w:pPr>
        <w:jc w:val="both"/>
        <w:rPr>
          <w:rFonts w:asciiTheme="minorHAnsi" w:hAnsiTheme="minorHAnsi" w:cstheme="minorHAnsi"/>
          <w:sz w:val="22"/>
          <w:szCs w:val="22"/>
        </w:rPr>
      </w:pPr>
    </w:p>
    <w:p w:rsidR="00E54720" w:rsidRDefault="00B716F4" w:rsidP="00B716F4">
      <w:pPr>
        <w:jc w:val="both"/>
        <w:rPr>
          <w:rFonts w:asciiTheme="minorHAnsi" w:hAnsiTheme="minorHAnsi" w:cstheme="minorHAnsi"/>
          <w:sz w:val="22"/>
          <w:szCs w:val="22"/>
        </w:rPr>
      </w:pPr>
      <w:r w:rsidRPr="00690066">
        <w:rPr>
          <w:rFonts w:asciiTheme="minorHAnsi" w:hAnsiTheme="minorHAnsi" w:cstheme="minorHAnsi"/>
          <w:b/>
          <w:sz w:val="22"/>
          <w:szCs w:val="22"/>
        </w:rPr>
        <w:t xml:space="preserve">Le montant moyen de l’investissement </w:t>
      </w:r>
      <w:r>
        <w:rPr>
          <w:rFonts w:asciiTheme="minorHAnsi" w:hAnsiTheme="minorHAnsi" w:cstheme="minorHAnsi"/>
          <w:b/>
          <w:sz w:val="22"/>
          <w:szCs w:val="22"/>
        </w:rPr>
        <w:t>a chuté de 2 758 318 MRO en 2011 à 646 176 MRO par projet en 2012 du fait de l’explosion du nombre de projets (passant de 22 à 91 projets d’un exercice à l’autre</w:t>
      </w:r>
      <w:r w:rsidR="00E54720">
        <w:rPr>
          <w:rFonts w:asciiTheme="minorHAnsi" w:hAnsiTheme="minorHAnsi" w:cstheme="minorHAnsi"/>
          <w:b/>
          <w:sz w:val="22"/>
          <w:szCs w:val="22"/>
        </w:rPr>
        <w:t xml:space="preserve">, </w:t>
      </w:r>
      <w:r w:rsidR="00E54720">
        <w:rPr>
          <w:rFonts w:asciiTheme="minorHAnsi" w:hAnsiTheme="minorHAnsi" w:cstheme="minorHAnsi"/>
          <w:i/>
          <w:sz w:val="22"/>
          <w:szCs w:val="22"/>
        </w:rPr>
        <w:t xml:space="preserve">32 uniquement </w:t>
      </w:r>
      <w:r w:rsidR="00E54720" w:rsidRPr="00E54720">
        <w:rPr>
          <w:rFonts w:asciiTheme="minorHAnsi" w:hAnsiTheme="minorHAnsi" w:cstheme="minorHAnsi"/>
          <w:i/>
          <w:sz w:val="22"/>
          <w:szCs w:val="22"/>
        </w:rPr>
        <w:t>pour la commune d’</w:t>
      </w:r>
      <w:r w:rsidR="006779EA">
        <w:rPr>
          <w:rFonts w:asciiTheme="minorHAnsi" w:hAnsiTheme="minorHAnsi" w:cstheme="minorHAnsi"/>
          <w:i/>
          <w:sz w:val="22"/>
          <w:szCs w:val="22"/>
        </w:rPr>
        <w:t>Oum-</w:t>
      </w:r>
      <w:proofErr w:type="spellStart"/>
      <w:r w:rsidR="006779EA">
        <w:rPr>
          <w:rFonts w:asciiTheme="minorHAnsi" w:hAnsiTheme="minorHAnsi" w:cstheme="minorHAnsi"/>
          <w:i/>
          <w:sz w:val="22"/>
          <w:szCs w:val="22"/>
        </w:rPr>
        <w:t>Avnaddech</w:t>
      </w:r>
      <w:proofErr w:type="spellEnd"/>
      <w:r w:rsidR="006779EA">
        <w:rPr>
          <w:rFonts w:asciiTheme="minorHAnsi" w:hAnsiTheme="minorHAnsi" w:cstheme="minorHAnsi"/>
          <w:i/>
          <w:sz w:val="22"/>
          <w:szCs w:val="22"/>
        </w:rPr>
        <w:t>, dont 23 dans le secteur de l’hydraulique,</w:t>
      </w:r>
      <w:r w:rsidR="00E54720" w:rsidRPr="00E54720">
        <w:rPr>
          <w:rFonts w:asciiTheme="minorHAnsi" w:hAnsiTheme="minorHAnsi" w:cstheme="minorHAnsi"/>
          <w:i/>
          <w:sz w:val="22"/>
          <w:szCs w:val="22"/>
        </w:rPr>
        <w:t xml:space="preserve"> qui se retrouve avec tout naturellement un montant moyen par projet extrêmement faible de 387 500 MRO</w:t>
      </w:r>
      <w:r>
        <w:rPr>
          <w:rFonts w:asciiTheme="minorHAnsi" w:hAnsiTheme="minorHAnsi" w:cstheme="minorHAnsi"/>
          <w:b/>
          <w:sz w:val="22"/>
          <w:szCs w:val="22"/>
        </w:rPr>
        <w:t>)</w:t>
      </w:r>
      <w:r>
        <w:rPr>
          <w:rFonts w:asciiTheme="minorHAnsi" w:hAnsiTheme="minorHAnsi" w:cstheme="minorHAnsi"/>
          <w:sz w:val="22"/>
          <w:szCs w:val="22"/>
        </w:rPr>
        <w:t xml:space="preserve">. </w:t>
      </w:r>
    </w:p>
    <w:p w:rsidR="00B716F4" w:rsidRDefault="00B716F4" w:rsidP="00080DD0">
      <w:pPr>
        <w:jc w:val="both"/>
        <w:rPr>
          <w:rFonts w:asciiTheme="minorHAnsi" w:hAnsiTheme="minorHAnsi" w:cstheme="minorHAnsi"/>
          <w:sz w:val="22"/>
          <w:szCs w:val="22"/>
        </w:rPr>
      </w:pPr>
      <w:r>
        <w:rPr>
          <w:rFonts w:asciiTheme="minorHAnsi" w:hAnsiTheme="minorHAnsi" w:cstheme="minorHAnsi"/>
          <w:sz w:val="22"/>
          <w:szCs w:val="22"/>
        </w:rPr>
        <w:t>Cette parcellisation plus forte a pour explication une multiplication des projets hydrauliques (58 projets avec un montant moyen tournant autour de 615 000 MRO. Le secteur contribue à 60,71% (soit 35 697 993 MRO) de l’ensemble des investissements de l’exercice, loin devant l’éducation (21,99% avec 22 projets, 12 932 000 MRO) et les dépenses d’entretien et de maintenance (9,29%, 4 projets pour 5 462 000 MRO).</w:t>
      </w:r>
    </w:p>
    <w:p w:rsidR="00785663" w:rsidRPr="00690066" w:rsidRDefault="00785663" w:rsidP="00080DD0">
      <w:pPr>
        <w:jc w:val="both"/>
        <w:rPr>
          <w:rFonts w:asciiTheme="minorHAnsi" w:hAnsiTheme="minorHAnsi" w:cstheme="minorHAnsi"/>
          <w:sz w:val="22"/>
          <w:szCs w:val="22"/>
        </w:rPr>
      </w:pPr>
    </w:p>
    <w:p w:rsidR="00080DD0" w:rsidRPr="00690066" w:rsidRDefault="00080DD0" w:rsidP="00080DD0">
      <w:pPr>
        <w:jc w:val="both"/>
        <w:rPr>
          <w:rFonts w:asciiTheme="minorHAnsi" w:hAnsiTheme="minorHAnsi" w:cstheme="minorHAnsi"/>
          <w:sz w:val="22"/>
          <w:szCs w:val="22"/>
        </w:rPr>
      </w:pPr>
      <w:r w:rsidRPr="00D4494E">
        <w:rPr>
          <w:rFonts w:asciiTheme="minorHAnsi" w:hAnsiTheme="minorHAnsi" w:cstheme="minorHAnsi"/>
          <w:noProof/>
          <w:sz w:val="22"/>
          <w:szCs w:val="22"/>
        </w:rPr>
        <w:drawing>
          <wp:inline distT="0" distB="0" distL="0" distR="0">
            <wp:extent cx="6715125" cy="2724150"/>
            <wp:effectExtent l="19050" t="0" r="9525" b="0"/>
            <wp:docPr id="34"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stretch>
                      <a:fillRect/>
                    </a:stretch>
                  </pic:blipFill>
                  <pic:spPr>
                    <a:xfrm>
                      <a:off x="0" y="0"/>
                      <a:ext cx="6714285" cy="2723809"/>
                    </a:xfrm>
                    <a:prstGeom prst="rect">
                      <a:avLst/>
                    </a:prstGeom>
                  </pic:spPr>
                </pic:pic>
              </a:graphicData>
            </a:graphic>
          </wp:inline>
        </w:drawing>
      </w:r>
    </w:p>
    <w:p w:rsidR="001334F6" w:rsidRPr="00690066" w:rsidRDefault="004102A8" w:rsidP="00080DD0">
      <w:pPr>
        <w:jc w:val="both"/>
        <w:rPr>
          <w:rFonts w:asciiTheme="minorHAnsi" w:hAnsiTheme="minorHAnsi" w:cstheme="minorHAnsi"/>
          <w:sz w:val="22"/>
          <w:szCs w:val="22"/>
        </w:rPr>
      </w:pPr>
      <w:r w:rsidRPr="004102A8">
        <w:rPr>
          <w:noProof/>
          <w:szCs w:val="22"/>
        </w:rPr>
        <w:drawing>
          <wp:inline distT="0" distB="0" distL="0" distR="0">
            <wp:extent cx="6715124" cy="3190875"/>
            <wp:effectExtent l="19050" t="0" r="0" b="0"/>
            <wp:docPr id="120" name="Imag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35" cstate="print"/>
                    <a:srcRect/>
                    <a:stretch>
                      <a:fillRect/>
                    </a:stretch>
                  </pic:blipFill>
                  <pic:spPr bwMode="auto">
                    <a:xfrm>
                      <a:off x="0" y="0"/>
                      <a:ext cx="6724669" cy="3195411"/>
                    </a:xfrm>
                    <a:prstGeom prst="rect">
                      <a:avLst/>
                    </a:prstGeom>
                    <a:noFill/>
                    <a:ln w="9525">
                      <a:noFill/>
                      <a:miter lim="800000"/>
                      <a:headEnd/>
                      <a:tailEnd/>
                    </a:ln>
                  </pic:spPr>
                </pic:pic>
              </a:graphicData>
            </a:graphic>
          </wp:inline>
        </w:drawing>
      </w:r>
    </w:p>
    <w:p w:rsidR="004102A8" w:rsidRDefault="004102A8" w:rsidP="00080DD0">
      <w:pPr>
        <w:jc w:val="center"/>
        <w:rPr>
          <w:rFonts w:asciiTheme="minorHAnsi" w:hAnsiTheme="minorHAnsi" w:cstheme="minorHAnsi"/>
          <w:b/>
          <w:sz w:val="22"/>
          <w:szCs w:val="22"/>
          <w:u w:val="single"/>
        </w:rPr>
      </w:pPr>
    </w:p>
    <w:p w:rsidR="004102A8" w:rsidRDefault="004102A8" w:rsidP="004102A8">
      <w:pPr>
        <w:rPr>
          <w:rFonts w:asciiTheme="minorHAnsi" w:hAnsiTheme="minorHAnsi" w:cstheme="minorHAnsi"/>
          <w:b/>
          <w:sz w:val="22"/>
          <w:szCs w:val="22"/>
          <w:u w:val="single"/>
        </w:rPr>
      </w:pPr>
    </w:p>
    <w:p w:rsidR="00080DD0" w:rsidRDefault="001246CD" w:rsidP="00080DD0">
      <w:pPr>
        <w:jc w:val="center"/>
        <w:rPr>
          <w:rFonts w:asciiTheme="minorHAnsi" w:hAnsiTheme="minorHAnsi" w:cstheme="minorHAnsi"/>
          <w:b/>
          <w:sz w:val="22"/>
          <w:szCs w:val="22"/>
          <w:u w:val="single"/>
        </w:rPr>
      </w:pPr>
      <w:proofErr w:type="spellStart"/>
      <w:r>
        <w:rPr>
          <w:rFonts w:asciiTheme="minorHAnsi" w:hAnsiTheme="minorHAnsi" w:cstheme="minorHAnsi"/>
          <w:b/>
          <w:sz w:val="22"/>
          <w:szCs w:val="22"/>
          <w:u w:val="single"/>
        </w:rPr>
        <w:t>Moughataa</w:t>
      </w:r>
      <w:proofErr w:type="spellEnd"/>
      <w:r w:rsidR="00924015">
        <w:rPr>
          <w:rFonts w:asciiTheme="minorHAnsi" w:hAnsiTheme="minorHAnsi" w:cstheme="minorHAnsi"/>
          <w:b/>
          <w:sz w:val="22"/>
          <w:szCs w:val="22"/>
          <w:u w:val="single"/>
        </w:rPr>
        <w:t xml:space="preserve"> d’</w:t>
      </w:r>
      <w:proofErr w:type="spellStart"/>
      <w:r w:rsidR="00080DD0" w:rsidRPr="00690066">
        <w:rPr>
          <w:rFonts w:asciiTheme="minorHAnsi" w:hAnsiTheme="minorHAnsi" w:cstheme="minorHAnsi"/>
          <w:b/>
          <w:sz w:val="22"/>
          <w:szCs w:val="22"/>
          <w:u w:val="single"/>
        </w:rPr>
        <w:t>Amourj</w:t>
      </w:r>
      <w:proofErr w:type="spellEnd"/>
    </w:p>
    <w:p w:rsidR="00DA6062" w:rsidRPr="00690066" w:rsidRDefault="00DA6062" w:rsidP="00080DD0">
      <w:pPr>
        <w:jc w:val="center"/>
        <w:rPr>
          <w:rFonts w:asciiTheme="minorHAnsi" w:hAnsiTheme="minorHAnsi" w:cstheme="minorHAnsi"/>
          <w:sz w:val="22"/>
          <w:szCs w:val="22"/>
          <w:u w:val="single"/>
        </w:rPr>
      </w:pPr>
    </w:p>
    <w:p w:rsidR="00080DD0" w:rsidRDefault="00080DD0" w:rsidP="00080DD0">
      <w:pPr>
        <w:jc w:val="both"/>
        <w:rPr>
          <w:rFonts w:asciiTheme="minorHAnsi" w:hAnsiTheme="minorHAnsi" w:cstheme="minorHAnsi"/>
          <w:b/>
          <w:sz w:val="22"/>
          <w:szCs w:val="22"/>
        </w:rPr>
      </w:pPr>
      <w:r w:rsidRPr="00690066">
        <w:rPr>
          <w:rFonts w:asciiTheme="minorHAnsi" w:hAnsiTheme="minorHAnsi" w:cstheme="minorHAnsi"/>
          <w:sz w:val="22"/>
          <w:szCs w:val="22"/>
        </w:rPr>
        <w:t xml:space="preserve">Les communes de la </w:t>
      </w:r>
      <w:proofErr w:type="spellStart"/>
      <w:r w:rsidR="001246CD">
        <w:rPr>
          <w:rFonts w:asciiTheme="minorHAnsi" w:hAnsiTheme="minorHAnsi" w:cstheme="minorHAnsi"/>
          <w:sz w:val="22"/>
          <w:szCs w:val="22"/>
        </w:rPr>
        <w:t>Moughataa</w:t>
      </w:r>
      <w:proofErr w:type="spellEnd"/>
      <w:r w:rsidR="00924015">
        <w:rPr>
          <w:rFonts w:asciiTheme="minorHAnsi" w:hAnsiTheme="minorHAnsi" w:cstheme="minorHAnsi"/>
          <w:sz w:val="22"/>
          <w:szCs w:val="22"/>
        </w:rPr>
        <w:t xml:space="preserve"> d’</w:t>
      </w:r>
      <w:proofErr w:type="spellStart"/>
      <w:r w:rsidRPr="00690066">
        <w:rPr>
          <w:rFonts w:asciiTheme="minorHAnsi" w:hAnsiTheme="minorHAnsi" w:cstheme="minorHAnsi"/>
          <w:sz w:val="22"/>
          <w:szCs w:val="22"/>
        </w:rPr>
        <w:t>Am</w:t>
      </w:r>
      <w:r w:rsidR="005462D3">
        <w:rPr>
          <w:rFonts w:asciiTheme="minorHAnsi" w:hAnsiTheme="minorHAnsi" w:cstheme="minorHAnsi"/>
          <w:sz w:val="22"/>
          <w:szCs w:val="22"/>
        </w:rPr>
        <w:t>ourj</w:t>
      </w:r>
      <w:proofErr w:type="spellEnd"/>
      <w:r w:rsidR="005462D3">
        <w:rPr>
          <w:rFonts w:asciiTheme="minorHAnsi" w:hAnsiTheme="minorHAnsi" w:cstheme="minorHAnsi"/>
          <w:sz w:val="22"/>
          <w:szCs w:val="22"/>
        </w:rPr>
        <w:t xml:space="preserve"> ont bénéficié d’un FRD 2012 pour l’équipement de 100 451 248 MRO (+18,82 % par rapport à 2011). Elles ont engagé 108 622 167</w:t>
      </w:r>
      <w:r w:rsidRPr="00690066">
        <w:rPr>
          <w:rFonts w:asciiTheme="minorHAnsi" w:hAnsiTheme="minorHAnsi" w:cstheme="minorHAnsi"/>
          <w:sz w:val="22"/>
          <w:szCs w:val="22"/>
        </w:rPr>
        <w:t xml:space="preserve"> MRO pour la réalisation de </w:t>
      </w:r>
      <w:r w:rsidR="005462D3">
        <w:rPr>
          <w:rFonts w:asciiTheme="minorHAnsi" w:hAnsiTheme="minorHAnsi" w:cstheme="minorHAnsi"/>
          <w:b/>
          <w:sz w:val="22"/>
          <w:szCs w:val="22"/>
        </w:rPr>
        <w:t>57</w:t>
      </w:r>
      <w:r w:rsidRPr="00544D5A">
        <w:rPr>
          <w:rFonts w:asciiTheme="minorHAnsi" w:hAnsiTheme="minorHAnsi" w:cstheme="minorHAnsi"/>
          <w:b/>
          <w:sz w:val="22"/>
          <w:szCs w:val="22"/>
        </w:rPr>
        <w:t xml:space="preserve"> projets</w:t>
      </w:r>
      <w:r w:rsidRPr="00690066">
        <w:rPr>
          <w:rFonts w:asciiTheme="minorHAnsi" w:hAnsiTheme="minorHAnsi" w:cstheme="minorHAnsi"/>
          <w:sz w:val="22"/>
          <w:szCs w:val="22"/>
        </w:rPr>
        <w:t xml:space="preserve">, soit un </w:t>
      </w:r>
      <w:r w:rsidR="005462D3">
        <w:rPr>
          <w:rFonts w:asciiTheme="minorHAnsi" w:hAnsiTheme="minorHAnsi" w:cstheme="minorHAnsi"/>
          <w:b/>
          <w:sz w:val="22"/>
          <w:szCs w:val="22"/>
        </w:rPr>
        <w:t>taux d’absorption de 108,13</w:t>
      </w:r>
      <w:r w:rsidRPr="00544D5A">
        <w:rPr>
          <w:rFonts w:asciiTheme="minorHAnsi" w:hAnsiTheme="minorHAnsi" w:cstheme="minorHAnsi"/>
          <w:b/>
          <w:sz w:val="22"/>
          <w:szCs w:val="22"/>
        </w:rPr>
        <w:t xml:space="preserve"> %.</w:t>
      </w:r>
    </w:p>
    <w:p w:rsidR="00583EE8" w:rsidRPr="00690066" w:rsidRDefault="00583EE8" w:rsidP="00583EE8">
      <w:pPr>
        <w:jc w:val="both"/>
        <w:rPr>
          <w:rFonts w:asciiTheme="minorHAnsi" w:hAnsiTheme="minorHAnsi" w:cstheme="minorHAnsi"/>
          <w:sz w:val="22"/>
          <w:szCs w:val="22"/>
        </w:rPr>
      </w:pPr>
      <w:r w:rsidRPr="00690066">
        <w:rPr>
          <w:rFonts w:asciiTheme="minorHAnsi" w:hAnsiTheme="minorHAnsi" w:cstheme="minorHAnsi"/>
          <w:sz w:val="22"/>
          <w:szCs w:val="22"/>
        </w:rPr>
        <w:t>Ce taux d’absorption</w:t>
      </w:r>
      <w:r>
        <w:rPr>
          <w:rFonts w:asciiTheme="minorHAnsi" w:hAnsiTheme="minorHAnsi" w:cstheme="minorHAnsi"/>
          <w:sz w:val="22"/>
          <w:szCs w:val="22"/>
        </w:rPr>
        <w:t>, compte tenu de l’utilisation des reliquats des exercices antérieurs</w:t>
      </w:r>
      <w:r w:rsidRPr="00690066">
        <w:rPr>
          <w:rFonts w:asciiTheme="minorHAnsi" w:hAnsiTheme="minorHAnsi" w:cstheme="minorHAnsi"/>
          <w:sz w:val="22"/>
          <w:szCs w:val="22"/>
        </w:rPr>
        <w:t xml:space="preserve"> </w:t>
      </w:r>
      <w:r>
        <w:rPr>
          <w:rFonts w:asciiTheme="minorHAnsi" w:hAnsiTheme="minorHAnsi" w:cstheme="minorHAnsi"/>
          <w:sz w:val="22"/>
          <w:szCs w:val="22"/>
        </w:rPr>
        <w:t xml:space="preserve">est </w:t>
      </w:r>
      <w:r w:rsidR="004102A8">
        <w:rPr>
          <w:rFonts w:asciiTheme="minorHAnsi" w:hAnsiTheme="minorHAnsi" w:cstheme="minorHAnsi"/>
          <w:sz w:val="22"/>
          <w:szCs w:val="22"/>
        </w:rPr>
        <w:t xml:space="preserve">très </w:t>
      </w:r>
      <w:r w:rsidRPr="00690066">
        <w:rPr>
          <w:rFonts w:asciiTheme="minorHAnsi" w:hAnsiTheme="minorHAnsi" w:cstheme="minorHAnsi"/>
          <w:sz w:val="22"/>
          <w:szCs w:val="22"/>
        </w:rPr>
        <w:t>satisfaisant</w:t>
      </w:r>
      <w:r>
        <w:rPr>
          <w:rFonts w:asciiTheme="minorHAnsi" w:hAnsiTheme="minorHAnsi" w:cstheme="minorHAnsi"/>
          <w:sz w:val="22"/>
          <w:szCs w:val="22"/>
        </w:rPr>
        <w:t xml:space="preserve"> comme en 2011</w:t>
      </w:r>
      <w:r w:rsidRPr="00690066">
        <w:rPr>
          <w:rFonts w:asciiTheme="minorHAnsi" w:hAnsiTheme="minorHAnsi" w:cstheme="minorHAnsi"/>
          <w:sz w:val="22"/>
          <w:szCs w:val="22"/>
        </w:rPr>
        <w:t xml:space="preserve">, d’autant </w:t>
      </w:r>
      <w:r>
        <w:rPr>
          <w:rFonts w:asciiTheme="minorHAnsi" w:hAnsiTheme="minorHAnsi" w:cstheme="minorHAnsi"/>
          <w:sz w:val="22"/>
          <w:szCs w:val="22"/>
        </w:rPr>
        <w:t xml:space="preserve">plus qu’il fait suite à des </w:t>
      </w:r>
      <w:r w:rsidRPr="00690066">
        <w:rPr>
          <w:rFonts w:asciiTheme="minorHAnsi" w:hAnsiTheme="minorHAnsi" w:cstheme="minorHAnsi"/>
          <w:sz w:val="22"/>
          <w:szCs w:val="22"/>
        </w:rPr>
        <w:t>exercices</w:t>
      </w:r>
      <w:r>
        <w:rPr>
          <w:rFonts w:asciiTheme="minorHAnsi" w:hAnsiTheme="minorHAnsi" w:cstheme="minorHAnsi"/>
          <w:sz w:val="22"/>
          <w:szCs w:val="22"/>
        </w:rPr>
        <w:t xml:space="preserve"> précédents au cours desquels l</w:t>
      </w:r>
      <w:r w:rsidRPr="00690066">
        <w:rPr>
          <w:rFonts w:asciiTheme="minorHAnsi" w:hAnsiTheme="minorHAnsi" w:cstheme="minorHAnsi"/>
          <w:sz w:val="22"/>
          <w:szCs w:val="22"/>
        </w:rPr>
        <w:t xml:space="preserve">es communes de cette </w:t>
      </w:r>
      <w:proofErr w:type="spellStart"/>
      <w:r w:rsidR="001246CD">
        <w:rPr>
          <w:rFonts w:asciiTheme="minorHAnsi" w:hAnsiTheme="minorHAnsi" w:cstheme="minorHAnsi"/>
          <w:sz w:val="22"/>
          <w:szCs w:val="22"/>
        </w:rPr>
        <w:t>Moughataa</w:t>
      </w:r>
      <w:proofErr w:type="spellEnd"/>
      <w:r w:rsidRPr="00690066">
        <w:rPr>
          <w:rFonts w:asciiTheme="minorHAnsi" w:hAnsiTheme="minorHAnsi" w:cstheme="minorHAnsi"/>
          <w:sz w:val="22"/>
          <w:szCs w:val="22"/>
        </w:rPr>
        <w:t xml:space="preserve"> n’ont pas réalisé leur</w:t>
      </w:r>
      <w:r>
        <w:rPr>
          <w:rFonts w:asciiTheme="minorHAnsi" w:hAnsiTheme="minorHAnsi" w:cstheme="minorHAnsi"/>
          <w:sz w:val="22"/>
          <w:szCs w:val="22"/>
        </w:rPr>
        <w:t>s rapports, à l’instar de</w:t>
      </w:r>
      <w:r w:rsidRPr="00690066">
        <w:rPr>
          <w:rFonts w:asciiTheme="minorHAnsi" w:hAnsiTheme="minorHAnsi" w:cstheme="minorHAnsi"/>
          <w:sz w:val="22"/>
          <w:szCs w:val="22"/>
        </w:rPr>
        <w:t xml:space="preserve"> l’exercice 2010.</w:t>
      </w:r>
    </w:p>
    <w:p w:rsidR="00583EE8" w:rsidRPr="00690066" w:rsidRDefault="00583EE8" w:rsidP="00583EE8">
      <w:pPr>
        <w:jc w:val="both"/>
        <w:rPr>
          <w:rFonts w:asciiTheme="minorHAnsi" w:hAnsiTheme="minorHAnsi" w:cstheme="minorHAnsi"/>
          <w:sz w:val="22"/>
          <w:szCs w:val="22"/>
        </w:rPr>
      </w:pPr>
    </w:p>
    <w:p w:rsidR="00583EE8" w:rsidRDefault="00583EE8" w:rsidP="00583EE8">
      <w:pPr>
        <w:jc w:val="both"/>
        <w:rPr>
          <w:rFonts w:asciiTheme="minorHAnsi" w:hAnsiTheme="minorHAnsi" w:cstheme="minorHAnsi"/>
        </w:rPr>
      </w:pPr>
      <w:r w:rsidRPr="00FA33E9">
        <w:rPr>
          <w:rFonts w:asciiTheme="minorHAnsi" w:hAnsiTheme="minorHAnsi" w:cstheme="minorHAnsi"/>
          <w:b/>
          <w:sz w:val="22"/>
          <w:szCs w:val="22"/>
        </w:rPr>
        <w:t>Le montant moyen de l’investissement a fortement augmenté</w:t>
      </w:r>
      <w:r>
        <w:rPr>
          <w:rFonts w:asciiTheme="minorHAnsi" w:hAnsiTheme="minorHAnsi" w:cstheme="minorHAnsi"/>
          <w:sz w:val="22"/>
          <w:szCs w:val="22"/>
        </w:rPr>
        <w:t>, passant de 550 436 MRO par projet en 2011 à 1 800 389 MRO en 2012, soit bien au-dessus de la moyenne régionale et nationale. Il s’explique simplement par une réduction du nombre de projets, passant de 194 à 57, prioritairement dans le secteur de l’éducation (pour 26 projets et 61,62% des engagements, soit à hauteur de 66 930 851 MRO), loin devant la santé (19,73%, 21 426 336 MRO pour 6 projets) et l’hydraulique (12,24%, 13 298 780 MRO avec 21 projets).</w:t>
      </w:r>
    </w:p>
    <w:p w:rsidR="00583EE8" w:rsidRPr="00544D5A" w:rsidRDefault="00583EE8" w:rsidP="00080DD0">
      <w:pPr>
        <w:jc w:val="both"/>
        <w:rPr>
          <w:rFonts w:asciiTheme="minorHAnsi" w:hAnsiTheme="minorHAnsi" w:cstheme="minorHAnsi"/>
          <w:b/>
          <w:sz w:val="22"/>
          <w:szCs w:val="22"/>
        </w:rPr>
      </w:pPr>
    </w:p>
    <w:p w:rsidR="00080DD0" w:rsidRDefault="00080DD0" w:rsidP="00080DD0">
      <w:pPr>
        <w:jc w:val="both"/>
        <w:rPr>
          <w:rFonts w:asciiTheme="minorHAnsi" w:hAnsiTheme="minorHAnsi" w:cstheme="minorHAnsi"/>
          <w:sz w:val="22"/>
          <w:szCs w:val="22"/>
        </w:rPr>
      </w:pPr>
      <w:r w:rsidRPr="007213B5">
        <w:rPr>
          <w:noProof/>
        </w:rPr>
        <w:drawing>
          <wp:inline distT="0" distB="0" distL="0" distR="0">
            <wp:extent cx="3105150" cy="2771775"/>
            <wp:effectExtent l="19050" t="0" r="0" b="0"/>
            <wp:docPr id="35"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stretch>
                      <a:fillRect/>
                    </a:stretch>
                  </pic:blipFill>
                  <pic:spPr>
                    <a:xfrm>
                      <a:off x="0" y="0"/>
                      <a:ext cx="3104762" cy="2771429"/>
                    </a:xfrm>
                    <a:prstGeom prst="rect">
                      <a:avLst/>
                    </a:prstGeom>
                  </pic:spPr>
                </pic:pic>
              </a:graphicData>
            </a:graphic>
          </wp:inline>
        </w:drawing>
      </w:r>
      <w:r w:rsidRPr="00D4494E">
        <w:rPr>
          <w:rFonts w:asciiTheme="minorHAnsi" w:hAnsiTheme="minorHAnsi" w:cstheme="minorHAnsi"/>
          <w:noProof/>
          <w:sz w:val="22"/>
          <w:szCs w:val="22"/>
        </w:rPr>
        <w:drawing>
          <wp:inline distT="0" distB="0" distL="0" distR="0">
            <wp:extent cx="3476625" cy="2771775"/>
            <wp:effectExtent l="19050" t="0" r="9525" b="0"/>
            <wp:docPr id="36"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stretch>
                      <a:fillRect/>
                    </a:stretch>
                  </pic:blipFill>
                  <pic:spPr>
                    <a:xfrm>
                      <a:off x="0" y="0"/>
                      <a:ext cx="3476191" cy="2771429"/>
                    </a:xfrm>
                    <a:prstGeom prst="rect">
                      <a:avLst/>
                    </a:prstGeom>
                  </pic:spPr>
                </pic:pic>
              </a:graphicData>
            </a:graphic>
          </wp:inline>
        </w:drawing>
      </w:r>
    </w:p>
    <w:p w:rsidR="006779EA" w:rsidRDefault="006779EA" w:rsidP="00080DD0">
      <w:pPr>
        <w:jc w:val="both"/>
        <w:rPr>
          <w:rFonts w:asciiTheme="minorHAnsi" w:hAnsiTheme="minorHAnsi" w:cstheme="minorHAnsi"/>
          <w:sz w:val="22"/>
          <w:szCs w:val="22"/>
        </w:rPr>
      </w:pPr>
      <w:r w:rsidRPr="006779EA">
        <w:rPr>
          <w:noProof/>
          <w:szCs w:val="22"/>
        </w:rPr>
        <w:drawing>
          <wp:inline distT="0" distB="0" distL="0" distR="0">
            <wp:extent cx="6645910" cy="1127032"/>
            <wp:effectExtent l="19050" t="0" r="254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cstate="print"/>
                    <a:srcRect/>
                    <a:stretch>
                      <a:fillRect/>
                    </a:stretch>
                  </pic:blipFill>
                  <pic:spPr bwMode="auto">
                    <a:xfrm>
                      <a:off x="0" y="0"/>
                      <a:ext cx="6645910" cy="1127032"/>
                    </a:xfrm>
                    <a:prstGeom prst="rect">
                      <a:avLst/>
                    </a:prstGeom>
                    <a:noFill/>
                    <a:ln w="9525">
                      <a:noFill/>
                      <a:miter lim="800000"/>
                      <a:headEnd/>
                      <a:tailEnd/>
                    </a:ln>
                  </pic:spPr>
                </pic:pic>
              </a:graphicData>
            </a:graphic>
          </wp:inline>
        </w:drawing>
      </w:r>
    </w:p>
    <w:p w:rsidR="006779EA" w:rsidRPr="00690066" w:rsidRDefault="006779EA" w:rsidP="00080DD0">
      <w:pPr>
        <w:jc w:val="both"/>
        <w:rPr>
          <w:rFonts w:asciiTheme="minorHAnsi" w:hAnsiTheme="minorHAnsi" w:cstheme="minorHAnsi"/>
          <w:sz w:val="22"/>
          <w:szCs w:val="22"/>
        </w:rPr>
      </w:pPr>
    </w:p>
    <w:p w:rsidR="00080DD0" w:rsidRPr="00690066" w:rsidRDefault="00080DD0" w:rsidP="00080DD0">
      <w:pPr>
        <w:jc w:val="both"/>
        <w:rPr>
          <w:rFonts w:asciiTheme="minorHAnsi" w:hAnsiTheme="minorHAnsi" w:cstheme="minorHAnsi"/>
          <w:sz w:val="22"/>
          <w:szCs w:val="22"/>
        </w:rPr>
      </w:pPr>
      <w:r w:rsidRPr="00D4494E">
        <w:rPr>
          <w:rFonts w:asciiTheme="minorHAnsi" w:hAnsiTheme="minorHAnsi" w:cstheme="minorHAnsi"/>
          <w:noProof/>
          <w:sz w:val="22"/>
          <w:szCs w:val="22"/>
        </w:rPr>
        <w:drawing>
          <wp:inline distT="0" distB="0" distL="0" distR="0">
            <wp:extent cx="6600825" cy="2667000"/>
            <wp:effectExtent l="19050" t="0" r="0" b="0"/>
            <wp:docPr id="37"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stretch>
                      <a:fillRect/>
                    </a:stretch>
                  </pic:blipFill>
                  <pic:spPr>
                    <a:xfrm>
                      <a:off x="0" y="0"/>
                      <a:ext cx="6600000" cy="2666667"/>
                    </a:xfrm>
                    <a:prstGeom prst="rect">
                      <a:avLst/>
                    </a:prstGeom>
                  </pic:spPr>
                </pic:pic>
              </a:graphicData>
            </a:graphic>
          </wp:inline>
        </w:drawing>
      </w:r>
    </w:p>
    <w:p w:rsidR="00080DD0" w:rsidRDefault="004102A8" w:rsidP="00080DD0">
      <w:pPr>
        <w:jc w:val="both"/>
        <w:rPr>
          <w:rFonts w:asciiTheme="minorHAnsi" w:hAnsiTheme="minorHAnsi" w:cstheme="minorHAnsi"/>
          <w:sz w:val="22"/>
          <w:szCs w:val="22"/>
        </w:rPr>
      </w:pPr>
      <w:r w:rsidRPr="004102A8">
        <w:rPr>
          <w:noProof/>
        </w:rPr>
        <w:drawing>
          <wp:inline distT="0" distB="0" distL="0" distR="0">
            <wp:extent cx="6645908" cy="2257425"/>
            <wp:effectExtent l="19050" t="0" r="2542" b="0"/>
            <wp:docPr id="122"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stretch>
                      <a:fillRect/>
                    </a:stretch>
                  </pic:blipFill>
                  <pic:spPr>
                    <a:xfrm>
                      <a:off x="0" y="0"/>
                      <a:ext cx="6656134" cy="2260899"/>
                    </a:xfrm>
                    <a:prstGeom prst="rect">
                      <a:avLst/>
                    </a:prstGeom>
                  </pic:spPr>
                </pic:pic>
              </a:graphicData>
            </a:graphic>
          </wp:inline>
        </w:drawing>
      </w:r>
    </w:p>
    <w:p w:rsidR="00FA33E9" w:rsidRDefault="00FA33E9" w:rsidP="00080DD0">
      <w:pPr>
        <w:jc w:val="both"/>
        <w:rPr>
          <w:rFonts w:asciiTheme="minorHAnsi" w:hAnsiTheme="minorHAnsi" w:cstheme="minorHAnsi"/>
        </w:rPr>
      </w:pPr>
    </w:p>
    <w:p w:rsidR="001334F6" w:rsidRDefault="001334F6" w:rsidP="00080DD0">
      <w:pPr>
        <w:jc w:val="center"/>
        <w:rPr>
          <w:rFonts w:asciiTheme="minorHAnsi" w:hAnsiTheme="minorHAnsi" w:cstheme="minorHAnsi"/>
          <w:b/>
          <w:sz w:val="22"/>
          <w:szCs w:val="22"/>
          <w:u w:val="single"/>
        </w:rPr>
      </w:pPr>
    </w:p>
    <w:p w:rsidR="00080DD0" w:rsidRPr="00E27C08" w:rsidRDefault="001246CD" w:rsidP="00080DD0">
      <w:pPr>
        <w:jc w:val="center"/>
        <w:rPr>
          <w:rFonts w:asciiTheme="minorHAnsi" w:hAnsiTheme="minorHAnsi" w:cstheme="minorHAnsi"/>
          <w:sz w:val="22"/>
          <w:szCs w:val="22"/>
          <w:u w:val="single"/>
        </w:rPr>
      </w:pPr>
      <w:proofErr w:type="spellStart"/>
      <w:r>
        <w:rPr>
          <w:rFonts w:asciiTheme="minorHAnsi" w:hAnsiTheme="minorHAnsi" w:cstheme="minorHAnsi"/>
          <w:b/>
          <w:sz w:val="22"/>
          <w:szCs w:val="22"/>
          <w:u w:val="single"/>
        </w:rPr>
        <w:t>Moughataa</w:t>
      </w:r>
      <w:proofErr w:type="spellEnd"/>
      <w:r w:rsidR="00080DD0" w:rsidRPr="00E27C08">
        <w:rPr>
          <w:rFonts w:asciiTheme="minorHAnsi" w:hAnsiTheme="minorHAnsi" w:cstheme="minorHAnsi"/>
          <w:b/>
          <w:sz w:val="22"/>
          <w:szCs w:val="22"/>
          <w:u w:val="single"/>
        </w:rPr>
        <w:t xml:space="preserve"> de </w:t>
      </w:r>
      <w:proofErr w:type="spellStart"/>
      <w:r w:rsidR="00080DD0" w:rsidRPr="00E27C08">
        <w:rPr>
          <w:rFonts w:asciiTheme="minorHAnsi" w:hAnsiTheme="minorHAnsi" w:cstheme="minorHAnsi"/>
          <w:b/>
          <w:sz w:val="22"/>
          <w:szCs w:val="22"/>
          <w:u w:val="single"/>
        </w:rPr>
        <w:t>Bassiknou</w:t>
      </w:r>
      <w:proofErr w:type="spellEnd"/>
    </w:p>
    <w:p w:rsidR="00080DD0" w:rsidRPr="00E27C08" w:rsidRDefault="00080DD0" w:rsidP="00080DD0">
      <w:pPr>
        <w:jc w:val="both"/>
        <w:rPr>
          <w:rFonts w:asciiTheme="minorHAnsi" w:hAnsiTheme="minorHAnsi" w:cstheme="minorHAnsi"/>
          <w:sz w:val="22"/>
          <w:szCs w:val="22"/>
        </w:rPr>
      </w:pPr>
    </w:p>
    <w:p w:rsidR="00080DD0" w:rsidRPr="00E27C08" w:rsidRDefault="00080DD0" w:rsidP="00080DD0">
      <w:pPr>
        <w:jc w:val="both"/>
        <w:rPr>
          <w:rFonts w:asciiTheme="minorHAnsi" w:hAnsiTheme="minorHAnsi" w:cstheme="minorHAnsi"/>
          <w:sz w:val="22"/>
          <w:szCs w:val="22"/>
        </w:rPr>
      </w:pPr>
      <w:r w:rsidRPr="00E27C08">
        <w:rPr>
          <w:rFonts w:asciiTheme="minorHAnsi" w:hAnsiTheme="minorHAnsi" w:cstheme="minorHAnsi"/>
          <w:sz w:val="22"/>
          <w:szCs w:val="22"/>
        </w:rPr>
        <w:t xml:space="preserve">Les communes de la </w:t>
      </w:r>
      <w:proofErr w:type="spellStart"/>
      <w:r w:rsidR="001246CD">
        <w:rPr>
          <w:rFonts w:asciiTheme="minorHAnsi" w:hAnsiTheme="minorHAnsi" w:cstheme="minorHAnsi"/>
          <w:sz w:val="22"/>
          <w:szCs w:val="22"/>
        </w:rPr>
        <w:t>Moughataa</w:t>
      </w:r>
      <w:proofErr w:type="spellEnd"/>
      <w:r w:rsidRPr="00E27C08">
        <w:rPr>
          <w:rFonts w:asciiTheme="minorHAnsi" w:hAnsiTheme="minorHAnsi" w:cstheme="minorHAnsi"/>
          <w:sz w:val="22"/>
          <w:szCs w:val="22"/>
        </w:rPr>
        <w:t xml:space="preserve"> de </w:t>
      </w:r>
      <w:proofErr w:type="spellStart"/>
      <w:r w:rsidRPr="00E27C08">
        <w:rPr>
          <w:rFonts w:asciiTheme="minorHAnsi" w:hAnsiTheme="minorHAnsi" w:cstheme="minorHAnsi"/>
          <w:sz w:val="22"/>
          <w:szCs w:val="22"/>
        </w:rPr>
        <w:t>Bassi</w:t>
      </w:r>
      <w:r w:rsidR="00233774">
        <w:rPr>
          <w:rFonts w:asciiTheme="minorHAnsi" w:hAnsiTheme="minorHAnsi" w:cstheme="minorHAnsi"/>
          <w:sz w:val="22"/>
          <w:szCs w:val="22"/>
        </w:rPr>
        <w:t>knou</w:t>
      </w:r>
      <w:proofErr w:type="spellEnd"/>
      <w:r w:rsidR="00233774">
        <w:rPr>
          <w:rFonts w:asciiTheme="minorHAnsi" w:hAnsiTheme="minorHAnsi" w:cstheme="minorHAnsi"/>
          <w:sz w:val="22"/>
          <w:szCs w:val="22"/>
        </w:rPr>
        <w:t xml:space="preserve"> ont bénéficié d’un FRD 2012 pour l’équipement de 71 984 901</w:t>
      </w:r>
      <w:r w:rsidR="000536D1">
        <w:rPr>
          <w:rFonts w:asciiTheme="minorHAnsi" w:hAnsiTheme="minorHAnsi" w:cstheme="minorHAnsi"/>
          <w:sz w:val="22"/>
          <w:szCs w:val="22"/>
        </w:rPr>
        <w:t xml:space="preserve"> MRO (+16,67 % par rapport à 2011</w:t>
      </w:r>
      <w:r w:rsidRPr="00E27C08">
        <w:rPr>
          <w:rFonts w:asciiTheme="minorHAnsi" w:hAnsiTheme="minorHAnsi" w:cstheme="minorHAnsi"/>
          <w:sz w:val="22"/>
          <w:szCs w:val="22"/>
        </w:rPr>
        <w:t xml:space="preserve">). </w:t>
      </w:r>
      <w:r w:rsidR="000536D1">
        <w:rPr>
          <w:rFonts w:asciiTheme="minorHAnsi" w:hAnsiTheme="minorHAnsi" w:cstheme="minorHAnsi"/>
          <w:sz w:val="22"/>
          <w:szCs w:val="22"/>
        </w:rPr>
        <w:t xml:space="preserve">Un retraitement a été opéré pour inclure de nouveau la Commune de </w:t>
      </w:r>
      <w:proofErr w:type="spellStart"/>
      <w:r w:rsidR="000536D1">
        <w:rPr>
          <w:rFonts w:asciiTheme="minorHAnsi" w:hAnsiTheme="minorHAnsi" w:cstheme="minorHAnsi"/>
          <w:sz w:val="22"/>
          <w:szCs w:val="22"/>
        </w:rPr>
        <w:t>Dhar</w:t>
      </w:r>
      <w:proofErr w:type="spellEnd"/>
      <w:r w:rsidR="000536D1">
        <w:rPr>
          <w:rFonts w:asciiTheme="minorHAnsi" w:hAnsiTheme="minorHAnsi" w:cstheme="minorHAnsi"/>
          <w:sz w:val="22"/>
          <w:szCs w:val="22"/>
        </w:rPr>
        <w:t xml:space="preserve"> dans la mesure où la </w:t>
      </w:r>
      <w:proofErr w:type="spellStart"/>
      <w:r w:rsidR="001246CD">
        <w:rPr>
          <w:rFonts w:asciiTheme="minorHAnsi" w:hAnsiTheme="minorHAnsi" w:cstheme="minorHAnsi"/>
          <w:sz w:val="22"/>
          <w:szCs w:val="22"/>
        </w:rPr>
        <w:t>Moughataa</w:t>
      </w:r>
      <w:proofErr w:type="spellEnd"/>
      <w:r w:rsidR="000536D1">
        <w:rPr>
          <w:rFonts w:asciiTheme="minorHAnsi" w:hAnsiTheme="minorHAnsi" w:cstheme="minorHAnsi"/>
          <w:sz w:val="22"/>
          <w:szCs w:val="22"/>
        </w:rPr>
        <w:t xml:space="preserve"> de N’</w:t>
      </w:r>
      <w:proofErr w:type="spellStart"/>
      <w:r w:rsidR="000536D1">
        <w:rPr>
          <w:rFonts w:asciiTheme="minorHAnsi" w:hAnsiTheme="minorHAnsi" w:cstheme="minorHAnsi"/>
          <w:sz w:val="22"/>
          <w:szCs w:val="22"/>
        </w:rPr>
        <w:t>Beiket</w:t>
      </w:r>
      <w:proofErr w:type="spellEnd"/>
      <w:r w:rsidR="000536D1">
        <w:rPr>
          <w:rFonts w:asciiTheme="minorHAnsi" w:hAnsiTheme="minorHAnsi" w:cstheme="minorHAnsi"/>
          <w:sz w:val="22"/>
          <w:szCs w:val="22"/>
        </w:rPr>
        <w:t xml:space="preserve"> </w:t>
      </w:r>
      <w:proofErr w:type="spellStart"/>
      <w:r w:rsidR="000536D1">
        <w:rPr>
          <w:rFonts w:asciiTheme="minorHAnsi" w:hAnsiTheme="minorHAnsi" w:cstheme="minorHAnsi"/>
          <w:sz w:val="22"/>
          <w:szCs w:val="22"/>
        </w:rPr>
        <w:t>Lahwach</w:t>
      </w:r>
      <w:proofErr w:type="spellEnd"/>
      <w:r w:rsidR="000536D1" w:rsidRPr="00E27C08">
        <w:rPr>
          <w:rFonts w:asciiTheme="minorHAnsi" w:hAnsiTheme="minorHAnsi" w:cstheme="minorHAnsi"/>
          <w:sz w:val="22"/>
          <w:szCs w:val="22"/>
        </w:rPr>
        <w:t xml:space="preserve"> </w:t>
      </w:r>
      <w:r w:rsidR="000536D1">
        <w:rPr>
          <w:rFonts w:asciiTheme="minorHAnsi" w:hAnsiTheme="minorHAnsi" w:cstheme="minorHAnsi"/>
          <w:sz w:val="22"/>
          <w:szCs w:val="22"/>
        </w:rPr>
        <w:t>n’est pas encore opérationnelle.</w:t>
      </w:r>
      <w:r w:rsidR="000536D1" w:rsidRPr="00E27C08">
        <w:rPr>
          <w:rFonts w:asciiTheme="minorHAnsi" w:hAnsiTheme="minorHAnsi" w:cstheme="minorHAnsi"/>
          <w:sz w:val="22"/>
          <w:szCs w:val="22"/>
        </w:rPr>
        <w:t xml:space="preserve"> </w:t>
      </w:r>
    </w:p>
    <w:p w:rsidR="00080DD0" w:rsidRDefault="00080DD0" w:rsidP="00080DD0">
      <w:pPr>
        <w:jc w:val="both"/>
        <w:rPr>
          <w:rFonts w:asciiTheme="minorHAnsi" w:hAnsiTheme="minorHAnsi" w:cstheme="minorHAnsi"/>
          <w:sz w:val="22"/>
          <w:szCs w:val="22"/>
        </w:rPr>
      </w:pPr>
    </w:p>
    <w:p w:rsidR="00080DD0" w:rsidRDefault="00233774" w:rsidP="00080DD0">
      <w:pPr>
        <w:jc w:val="both"/>
        <w:rPr>
          <w:rFonts w:asciiTheme="minorHAnsi" w:hAnsiTheme="minorHAnsi" w:cstheme="minorHAnsi"/>
          <w:sz w:val="22"/>
          <w:szCs w:val="22"/>
        </w:rPr>
      </w:pPr>
      <w:r w:rsidRPr="00233774">
        <w:rPr>
          <w:noProof/>
        </w:rPr>
        <w:drawing>
          <wp:inline distT="0" distB="0" distL="0" distR="0">
            <wp:extent cx="3267075" cy="4648200"/>
            <wp:effectExtent l="19050" t="0" r="9525" b="0"/>
            <wp:docPr id="61"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stretch>
                      <a:fillRect/>
                    </a:stretch>
                  </pic:blipFill>
                  <pic:spPr>
                    <a:xfrm>
                      <a:off x="0" y="0"/>
                      <a:ext cx="3266667" cy="4647620"/>
                    </a:xfrm>
                    <a:prstGeom prst="rect">
                      <a:avLst/>
                    </a:prstGeom>
                  </pic:spPr>
                </pic:pic>
              </a:graphicData>
            </a:graphic>
          </wp:inline>
        </w:drawing>
      </w:r>
      <w:r w:rsidR="00080DD0" w:rsidRPr="0041758B">
        <w:rPr>
          <w:rFonts w:asciiTheme="minorHAnsi" w:hAnsiTheme="minorHAnsi" w:cstheme="minorHAnsi"/>
          <w:noProof/>
          <w:sz w:val="22"/>
          <w:szCs w:val="22"/>
        </w:rPr>
        <w:t xml:space="preserve"> </w:t>
      </w:r>
      <w:r w:rsidRPr="00233774">
        <w:rPr>
          <w:noProof/>
        </w:rPr>
        <w:drawing>
          <wp:inline distT="0" distB="0" distL="0" distR="0">
            <wp:extent cx="3267075" cy="4648200"/>
            <wp:effectExtent l="19050" t="0" r="9525" b="0"/>
            <wp:docPr id="60"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stretch>
                      <a:fillRect/>
                    </a:stretch>
                  </pic:blipFill>
                  <pic:spPr>
                    <a:xfrm>
                      <a:off x="0" y="0"/>
                      <a:ext cx="3266667" cy="4647620"/>
                    </a:xfrm>
                    <a:prstGeom prst="rect">
                      <a:avLst/>
                    </a:prstGeom>
                  </pic:spPr>
                </pic:pic>
              </a:graphicData>
            </a:graphic>
          </wp:inline>
        </w:drawing>
      </w:r>
    </w:p>
    <w:p w:rsidR="00080DD0" w:rsidRDefault="00583EE8" w:rsidP="00080DD0">
      <w:pPr>
        <w:jc w:val="both"/>
        <w:rPr>
          <w:rFonts w:asciiTheme="minorHAnsi" w:hAnsiTheme="minorHAnsi" w:cstheme="minorHAnsi"/>
          <w:sz w:val="22"/>
          <w:szCs w:val="22"/>
        </w:rPr>
      </w:pPr>
      <w:r w:rsidRPr="00583EE8">
        <w:rPr>
          <w:noProof/>
          <w:szCs w:val="22"/>
        </w:rPr>
        <w:drawing>
          <wp:inline distT="0" distB="0" distL="0" distR="0">
            <wp:extent cx="6645910" cy="1704975"/>
            <wp:effectExtent l="19050" t="0" r="2540" b="0"/>
            <wp:docPr id="63"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3" cstate="print"/>
                    <a:srcRect/>
                    <a:stretch>
                      <a:fillRect/>
                    </a:stretch>
                  </pic:blipFill>
                  <pic:spPr bwMode="auto">
                    <a:xfrm>
                      <a:off x="0" y="0"/>
                      <a:ext cx="6645910" cy="1704975"/>
                    </a:xfrm>
                    <a:prstGeom prst="rect">
                      <a:avLst/>
                    </a:prstGeom>
                    <a:noFill/>
                    <a:ln w="9525">
                      <a:noFill/>
                      <a:miter lim="800000"/>
                      <a:headEnd/>
                      <a:tailEnd/>
                    </a:ln>
                  </pic:spPr>
                </pic:pic>
              </a:graphicData>
            </a:graphic>
          </wp:inline>
        </w:drawing>
      </w:r>
    </w:p>
    <w:p w:rsidR="00583EE8" w:rsidRDefault="00583EE8" w:rsidP="00080DD0">
      <w:pPr>
        <w:jc w:val="both"/>
        <w:rPr>
          <w:rFonts w:asciiTheme="minorHAnsi" w:hAnsiTheme="minorHAnsi" w:cstheme="minorHAnsi"/>
          <w:sz w:val="22"/>
          <w:szCs w:val="22"/>
        </w:rPr>
      </w:pPr>
    </w:p>
    <w:p w:rsidR="00583EE8" w:rsidRPr="00E27C08" w:rsidRDefault="00583EE8" w:rsidP="00583EE8">
      <w:pPr>
        <w:jc w:val="both"/>
        <w:rPr>
          <w:rFonts w:asciiTheme="minorHAnsi" w:hAnsiTheme="minorHAnsi" w:cstheme="minorHAnsi"/>
          <w:sz w:val="22"/>
          <w:szCs w:val="22"/>
        </w:rPr>
      </w:pPr>
      <w:r>
        <w:rPr>
          <w:rFonts w:asciiTheme="minorHAnsi" w:hAnsiTheme="minorHAnsi" w:cstheme="minorHAnsi"/>
          <w:sz w:val="22"/>
          <w:szCs w:val="22"/>
        </w:rPr>
        <w:t xml:space="preserve">Les communes de cette </w:t>
      </w:r>
      <w:proofErr w:type="spellStart"/>
      <w:r w:rsidR="001246CD">
        <w:rPr>
          <w:rFonts w:asciiTheme="minorHAnsi" w:hAnsiTheme="minorHAnsi" w:cstheme="minorHAnsi"/>
          <w:sz w:val="22"/>
          <w:szCs w:val="22"/>
        </w:rPr>
        <w:t>Moughataa</w:t>
      </w:r>
      <w:proofErr w:type="spellEnd"/>
      <w:r>
        <w:rPr>
          <w:rFonts w:asciiTheme="minorHAnsi" w:hAnsiTheme="minorHAnsi" w:cstheme="minorHAnsi"/>
          <w:sz w:val="22"/>
          <w:szCs w:val="22"/>
        </w:rPr>
        <w:t xml:space="preserve"> ont engagé 44 763 607</w:t>
      </w:r>
      <w:r w:rsidRPr="00E27C08">
        <w:rPr>
          <w:rFonts w:asciiTheme="minorHAnsi" w:hAnsiTheme="minorHAnsi" w:cstheme="minorHAnsi"/>
          <w:sz w:val="22"/>
          <w:szCs w:val="22"/>
        </w:rPr>
        <w:t xml:space="preserve"> MRO pour la réalisation de </w:t>
      </w:r>
      <w:r>
        <w:rPr>
          <w:rFonts w:asciiTheme="minorHAnsi" w:hAnsiTheme="minorHAnsi" w:cstheme="minorHAnsi"/>
          <w:b/>
          <w:sz w:val="22"/>
          <w:szCs w:val="22"/>
        </w:rPr>
        <w:t>32</w:t>
      </w:r>
      <w:r w:rsidRPr="005B0084">
        <w:rPr>
          <w:rFonts w:asciiTheme="minorHAnsi" w:hAnsiTheme="minorHAnsi" w:cstheme="minorHAnsi"/>
          <w:b/>
          <w:sz w:val="22"/>
          <w:szCs w:val="22"/>
        </w:rPr>
        <w:t xml:space="preserve"> projets</w:t>
      </w:r>
      <w:r w:rsidRPr="00E27C08">
        <w:rPr>
          <w:rFonts w:asciiTheme="minorHAnsi" w:hAnsiTheme="minorHAnsi" w:cstheme="minorHAnsi"/>
          <w:sz w:val="22"/>
          <w:szCs w:val="22"/>
        </w:rPr>
        <w:t xml:space="preserve">, soit un </w:t>
      </w:r>
      <w:r>
        <w:rPr>
          <w:rFonts w:asciiTheme="minorHAnsi" w:hAnsiTheme="minorHAnsi" w:cstheme="minorHAnsi"/>
          <w:b/>
          <w:sz w:val="22"/>
          <w:szCs w:val="22"/>
        </w:rPr>
        <w:t>taux d’absorption de 62,18</w:t>
      </w:r>
      <w:r w:rsidRPr="005B0084">
        <w:rPr>
          <w:rFonts w:asciiTheme="minorHAnsi" w:hAnsiTheme="minorHAnsi" w:cstheme="minorHAnsi"/>
          <w:b/>
          <w:sz w:val="22"/>
          <w:szCs w:val="22"/>
        </w:rPr>
        <w:t xml:space="preserve"> %</w:t>
      </w:r>
      <w:r>
        <w:rPr>
          <w:rFonts w:asciiTheme="minorHAnsi" w:hAnsiTheme="minorHAnsi" w:cstheme="minorHAnsi"/>
          <w:b/>
          <w:sz w:val="22"/>
          <w:szCs w:val="22"/>
        </w:rPr>
        <w:t xml:space="preserve">, très en deçà des moyennes régionale et nationale (respectivement à 94,02% et 93,62%) en raison de l’absence de rapport </w:t>
      </w:r>
      <w:r>
        <w:rPr>
          <w:rFonts w:asciiTheme="minorHAnsi" w:hAnsiTheme="minorHAnsi" w:cstheme="minorHAnsi"/>
          <w:sz w:val="22"/>
          <w:szCs w:val="22"/>
        </w:rPr>
        <w:t xml:space="preserve"> de la </w:t>
      </w:r>
      <w:r w:rsidRPr="00E27C08">
        <w:rPr>
          <w:rFonts w:asciiTheme="minorHAnsi" w:hAnsiTheme="minorHAnsi" w:cstheme="minorHAnsi"/>
          <w:sz w:val="22"/>
          <w:szCs w:val="22"/>
        </w:rPr>
        <w:t xml:space="preserve">commune d’El </w:t>
      </w:r>
      <w:proofErr w:type="spellStart"/>
      <w:r w:rsidRPr="00E27C08">
        <w:rPr>
          <w:rFonts w:asciiTheme="minorHAnsi" w:hAnsiTheme="minorHAnsi" w:cstheme="minorHAnsi"/>
          <w:sz w:val="22"/>
          <w:szCs w:val="22"/>
        </w:rPr>
        <w:t>Megvé</w:t>
      </w:r>
      <w:proofErr w:type="spellEnd"/>
      <w:r>
        <w:rPr>
          <w:rFonts w:asciiTheme="minorHAnsi" w:hAnsiTheme="minorHAnsi" w:cstheme="minorHAnsi"/>
          <w:sz w:val="22"/>
          <w:szCs w:val="22"/>
        </w:rPr>
        <w:t xml:space="preserve"> qui semble comme pour l’exercice précédent ne pas avoir exécuté son budget</w:t>
      </w:r>
      <w:r w:rsidRPr="00E27C08">
        <w:rPr>
          <w:rFonts w:asciiTheme="minorHAnsi" w:hAnsiTheme="minorHAnsi" w:cstheme="minorHAnsi"/>
          <w:sz w:val="22"/>
          <w:szCs w:val="22"/>
        </w:rPr>
        <w:t xml:space="preserve">. Or le FRD équipement de cette </w:t>
      </w:r>
      <w:r>
        <w:rPr>
          <w:rFonts w:asciiTheme="minorHAnsi" w:hAnsiTheme="minorHAnsi" w:cstheme="minorHAnsi"/>
          <w:sz w:val="22"/>
          <w:szCs w:val="22"/>
        </w:rPr>
        <w:t xml:space="preserve">dernière commune représente plus de 44,05 % </w:t>
      </w:r>
      <w:r w:rsidR="00785663">
        <w:rPr>
          <w:rFonts w:asciiTheme="minorHAnsi" w:hAnsiTheme="minorHAnsi" w:cstheme="minorHAnsi"/>
          <w:sz w:val="22"/>
          <w:szCs w:val="22"/>
        </w:rPr>
        <w:t>(soit 31 708 319 MRO au titre de l’</w:t>
      </w:r>
      <w:proofErr w:type="spellStart"/>
      <w:r w:rsidR="00785663">
        <w:rPr>
          <w:rFonts w:asciiTheme="minorHAnsi" w:hAnsiTheme="minorHAnsi" w:cstheme="minorHAnsi"/>
          <w:sz w:val="22"/>
          <w:szCs w:val="22"/>
        </w:rPr>
        <w:t>exerice</w:t>
      </w:r>
      <w:proofErr w:type="spellEnd"/>
      <w:r w:rsidR="00785663">
        <w:rPr>
          <w:rFonts w:asciiTheme="minorHAnsi" w:hAnsiTheme="minorHAnsi" w:cstheme="minorHAnsi"/>
          <w:sz w:val="22"/>
          <w:szCs w:val="22"/>
        </w:rPr>
        <w:t xml:space="preserve"> 2012) </w:t>
      </w:r>
      <w:r>
        <w:rPr>
          <w:rFonts w:asciiTheme="minorHAnsi" w:hAnsiTheme="minorHAnsi" w:cstheme="minorHAnsi"/>
          <w:sz w:val="22"/>
          <w:szCs w:val="22"/>
        </w:rPr>
        <w:t>du FRD</w:t>
      </w:r>
      <w:r w:rsidR="00785663">
        <w:rPr>
          <w:rFonts w:asciiTheme="minorHAnsi" w:hAnsiTheme="minorHAnsi" w:cstheme="minorHAnsi"/>
          <w:sz w:val="22"/>
          <w:szCs w:val="22"/>
        </w:rPr>
        <w:t xml:space="preserve"> </w:t>
      </w:r>
      <w:r w:rsidRPr="00E27C08">
        <w:rPr>
          <w:rFonts w:asciiTheme="minorHAnsi" w:hAnsiTheme="minorHAnsi" w:cstheme="minorHAnsi"/>
          <w:sz w:val="22"/>
          <w:szCs w:val="22"/>
        </w:rPr>
        <w:t xml:space="preserve">pour l’ensemble de la </w:t>
      </w:r>
      <w:proofErr w:type="spellStart"/>
      <w:r w:rsidR="001246CD">
        <w:rPr>
          <w:rFonts w:asciiTheme="minorHAnsi" w:hAnsiTheme="minorHAnsi" w:cstheme="minorHAnsi"/>
          <w:sz w:val="22"/>
          <w:szCs w:val="22"/>
        </w:rPr>
        <w:t>Moughataa</w:t>
      </w:r>
      <w:proofErr w:type="spellEnd"/>
      <w:r w:rsidRPr="00E27C08">
        <w:rPr>
          <w:rFonts w:asciiTheme="minorHAnsi" w:hAnsiTheme="minorHAnsi" w:cstheme="minorHAnsi"/>
          <w:sz w:val="22"/>
          <w:szCs w:val="22"/>
        </w:rPr>
        <w:t xml:space="preserve">. </w:t>
      </w:r>
      <w:r>
        <w:rPr>
          <w:rFonts w:asciiTheme="minorHAnsi" w:hAnsiTheme="minorHAnsi" w:cstheme="minorHAnsi"/>
          <w:sz w:val="22"/>
          <w:szCs w:val="22"/>
        </w:rPr>
        <w:t>Il faudra donc s’enquérir des raisons motivant l’absence de rapport ainsi que la supposée non utilisation des fonds (cumul intentionnel pour un projet de grande ampleur ?).</w:t>
      </w:r>
    </w:p>
    <w:p w:rsidR="00583EE8" w:rsidRDefault="00583EE8" w:rsidP="00080DD0">
      <w:pPr>
        <w:jc w:val="both"/>
        <w:rPr>
          <w:rFonts w:asciiTheme="minorHAnsi" w:hAnsiTheme="minorHAnsi" w:cstheme="minorHAnsi"/>
          <w:sz w:val="22"/>
          <w:szCs w:val="22"/>
        </w:rPr>
      </w:pPr>
    </w:p>
    <w:p w:rsidR="00583EE8" w:rsidRDefault="00233774" w:rsidP="00080DD0">
      <w:pPr>
        <w:jc w:val="both"/>
        <w:rPr>
          <w:rFonts w:asciiTheme="minorHAnsi" w:hAnsiTheme="minorHAnsi" w:cstheme="minorHAnsi"/>
          <w:sz w:val="22"/>
          <w:szCs w:val="22"/>
        </w:rPr>
      </w:pPr>
      <w:r w:rsidRPr="00233774">
        <w:rPr>
          <w:noProof/>
        </w:rPr>
        <w:drawing>
          <wp:inline distT="0" distB="0" distL="0" distR="0">
            <wp:extent cx="6638924" cy="3981450"/>
            <wp:effectExtent l="19050" t="0" r="0" b="0"/>
            <wp:docPr id="62"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stretch>
                      <a:fillRect/>
                    </a:stretch>
                  </pic:blipFill>
                  <pic:spPr>
                    <a:xfrm>
                      <a:off x="0" y="0"/>
                      <a:ext cx="6638096" cy="3980954"/>
                    </a:xfrm>
                    <a:prstGeom prst="rect">
                      <a:avLst/>
                    </a:prstGeom>
                  </pic:spPr>
                </pic:pic>
              </a:graphicData>
            </a:graphic>
          </wp:inline>
        </w:drawing>
      </w:r>
    </w:p>
    <w:p w:rsidR="001334F6" w:rsidRPr="00E27C08" w:rsidRDefault="00B14550" w:rsidP="00080DD0">
      <w:pPr>
        <w:jc w:val="both"/>
        <w:rPr>
          <w:rFonts w:asciiTheme="minorHAnsi" w:hAnsiTheme="minorHAnsi" w:cstheme="minorHAnsi"/>
          <w:sz w:val="22"/>
          <w:szCs w:val="22"/>
        </w:rPr>
      </w:pPr>
      <w:r w:rsidRPr="00B14550">
        <w:rPr>
          <w:noProof/>
        </w:rPr>
        <w:drawing>
          <wp:inline distT="0" distB="0" distL="0" distR="0">
            <wp:extent cx="6638925" cy="1828800"/>
            <wp:effectExtent l="19050" t="0" r="9525" b="0"/>
            <wp:docPr id="123"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stretch>
                      <a:fillRect/>
                    </a:stretch>
                  </pic:blipFill>
                  <pic:spPr>
                    <a:xfrm>
                      <a:off x="0" y="0"/>
                      <a:ext cx="6644988" cy="1830470"/>
                    </a:xfrm>
                    <a:prstGeom prst="rect">
                      <a:avLst/>
                    </a:prstGeom>
                  </pic:spPr>
                </pic:pic>
              </a:graphicData>
            </a:graphic>
          </wp:inline>
        </w:drawing>
      </w:r>
    </w:p>
    <w:p w:rsidR="001334F6" w:rsidRDefault="001334F6" w:rsidP="00080DD0">
      <w:pPr>
        <w:jc w:val="both"/>
        <w:rPr>
          <w:rFonts w:asciiTheme="minorHAnsi" w:hAnsiTheme="minorHAnsi" w:cstheme="minorHAnsi"/>
          <w:sz w:val="22"/>
          <w:szCs w:val="22"/>
        </w:rPr>
      </w:pPr>
    </w:p>
    <w:p w:rsidR="00080DD0" w:rsidRPr="00E27C08" w:rsidRDefault="00080DD0" w:rsidP="00080DD0">
      <w:pPr>
        <w:jc w:val="both"/>
        <w:rPr>
          <w:rFonts w:asciiTheme="minorHAnsi" w:hAnsiTheme="minorHAnsi" w:cstheme="minorHAnsi"/>
          <w:sz w:val="22"/>
          <w:szCs w:val="22"/>
        </w:rPr>
      </w:pPr>
      <w:r w:rsidRPr="00E27C08">
        <w:rPr>
          <w:rFonts w:asciiTheme="minorHAnsi" w:hAnsiTheme="minorHAnsi" w:cstheme="minorHAnsi"/>
          <w:sz w:val="22"/>
          <w:szCs w:val="22"/>
        </w:rPr>
        <w:t xml:space="preserve">Le montant moyen de l’investissement est en </w:t>
      </w:r>
      <w:r w:rsidRPr="00EF4FA3">
        <w:rPr>
          <w:rFonts w:asciiTheme="minorHAnsi" w:hAnsiTheme="minorHAnsi" w:cstheme="minorHAnsi"/>
          <w:sz w:val="22"/>
          <w:szCs w:val="22"/>
        </w:rPr>
        <w:t>progression</w:t>
      </w:r>
      <w:r w:rsidR="00EF4FA3" w:rsidRPr="00EF4FA3">
        <w:rPr>
          <w:rFonts w:asciiTheme="minorHAnsi" w:hAnsiTheme="minorHAnsi" w:cstheme="minorHAnsi"/>
          <w:sz w:val="22"/>
          <w:szCs w:val="22"/>
        </w:rPr>
        <w:t xml:space="preserve"> (+16.87%</w:t>
      </w:r>
      <w:r w:rsidR="00EF4FA3">
        <w:rPr>
          <w:rFonts w:asciiTheme="minorHAnsi" w:hAnsiTheme="minorHAnsi" w:cstheme="minorHAnsi"/>
          <w:sz w:val="22"/>
          <w:szCs w:val="22"/>
        </w:rPr>
        <w:t xml:space="preserve"> par rapport à l’exercice 2011</w:t>
      </w:r>
      <w:r w:rsidR="00EF4FA3" w:rsidRPr="00EF4FA3">
        <w:rPr>
          <w:rFonts w:asciiTheme="minorHAnsi" w:hAnsiTheme="minorHAnsi" w:cstheme="minorHAnsi"/>
          <w:sz w:val="22"/>
          <w:szCs w:val="22"/>
        </w:rPr>
        <w:t>),</w:t>
      </w:r>
      <w:r w:rsidR="004102A8">
        <w:rPr>
          <w:rFonts w:asciiTheme="minorHAnsi" w:hAnsiTheme="minorHAnsi" w:cstheme="minorHAnsi"/>
          <w:sz w:val="22"/>
          <w:szCs w:val="22"/>
        </w:rPr>
        <w:t xml:space="preserve"> en moyenne</w:t>
      </w:r>
      <w:r w:rsidR="00EF4FA3">
        <w:rPr>
          <w:rFonts w:asciiTheme="minorHAnsi" w:hAnsiTheme="minorHAnsi" w:cstheme="minorHAnsi"/>
          <w:sz w:val="22"/>
          <w:szCs w:val="22"/>
        </w:rPr>
        <w:t xml:space="preserve"> 1 398 863</w:t>
      </w:r>
      <w:r w:rsidRPr="00E27C08">
        <w:rPr>
          <w:rFonts w:asciiTheme="minorHAnsi" w:hAnsiTheme="minorHAnsi" w:cstheme="minorHAnsi"/>
          <w:sz w:val="22"/>
          <w:szCs w:val="22"/>
        </w:rPr>
        <w:t xml:space="preserve"> MRO par projet</w:t>
      </w:r>
      <w:r w:rsidR="00EF4FA3">
        <w:rPr>
          <w:rFonts w:asciiTheme="minorHAnsi" w:hAnsiTheme="minorHAnsi" w:cstheme="minorHAnsi"/>
          <w:sz w:val="22"/>
          <w:szCs w:val="22"/>
        </w:rPr>
        <w:t>, soit légèrement au-dessus des niveaux régional et national.</w:t>
      </w:r>
    </w:p>
    <w:p w:rsidR="00080DD0" w:rsidRDefault="00080DD0" w:rsidP="00080DD0">
      <w:pPr>
        <w:jc w:val="both"/>
        <w:rPr>
          <w:rFonts w:asciiTheme="minorHAnsi" w:hAnsiTheme="minorHAnsi" w:cstheme="minorHAnsi"/>
          <w:sz w:val="22"/>
          <w:szCs w:val="22"/>
        </w:rPr>
      </w:pPr>
      <w:r w:rsidRPr="00E27C08">
        <w:rPr>
          <w:rFonts w:asciiTheme="minorHAnsi" w:hAnsiTheme="minorHAnsi" w:cstheme="minorHAnsi"/>
          <w:sz w:val="22"/>
          <w:szCs w:val="22"/>
        </w:rPr>
        <w:t xml:space="preserve">Il y a donc un véritable effort des communes de cette </w:t>
      </w:r>
      <w:proofErr w:type="spellStart"/>
      <w:r w:rsidR="001246CD">
        <w:rPr>
          <w:rFonts w:asciiTheme="minorHAnsi" w:hAnsiTheme="minorHAnsi" w:cstheme="minorHAnsi"/>
          <w:sz w:val="22"/>
          <w:szCs w:val="22"/>
        </w:rPr>
        <w:t>Moughataa</w:t>
      </w:r>
      <w:proofErr w:type="spellEnd"/>
      <w:r w:rsidRPr="00E27C08">
        <w:rPr>
          <w:rFonts w:asciiTheme="minorHAnsi" w:hAnsiTheme="minorHAnsi" w:cstheme="minorHAnsi"/>
          <w:sz w:val="22"/>
          <w:szCs w:val="22"/>
        </w:rPr>
        <w:t xml:space="preserve"> pour privilégier les projets d’une certaine importance plutôt qu’une parcellisation de l’investissement.</w:t>
      </w:r>
    </w:p>
    <w:p w:rsidR="00080DD0" w:rsidRDefault="00EF4FA3" w:rsidP="00080DD0">
      <w:pPr>
        <w:jc w:val="both"/>
        <w:rPr>
          <w:rFonts w:asciiTheme="minorHAnsi" w:hAnsiTheme="minorHAnsi" w:cstheme="minorHAnsi"/>
          <w:sz w:val="22"/>
          <w:szCs w:val="22"/>
        </w:rPr>
      </w:pPr>
      <w:r>
        <w:rPr>
          <w:rFonts w:asciiTheme="minorHAnsi" w:hAnsiTheme="minorHAnsi" w:cstheme="minorHAnsi"/>
          <w:sz w:val="22"/>
          <w:szCs w:val="22"/>
        </w:rPr>
        <w:t>Le premier secteur d’investissement concerne l’éducation (33% soit 14 773 171 MRO engagés</w:t>
      </w:r>
      <w:r w:rsidR="00C6163A">
        <w:rPr>
          <w:rFonts w:asciiTheme="minorHAnsi" w:hAnsiTheme="minorHAnsi" w:cstheme="minorHAnsi"/>
          <w:sz w:val="22"/>
          <w:szCs w:val="22"/>
        </w:rPr>
        <w:t xml:space="preserve"> avec 10 projets</w:t>
      </w:r>
      <w:r>
        <w:rPr>
          <w:rFonts w:asciiTheme="minorHAnsi" w:hAnsiTheme="minorHAnsi" w:cstheme="minorHAnsi"/>
          <w:sz w:val="22"/>
          <w:szCs w:val="22"/>
        </w:rPr>
        <w:t>), suivi de près par le secteur de l’hydraulique (31,49%</w:t>
      </w:r>
      <w:r w:rsidR="00C6163A">
        <w:rPr>
          <w:rFonts w:asciiTheme="minorHAnsi" w:hAnsiTheme="minorHAnsi" w:cstheme="minorHAnsi"/>
          <w:sz w:val="22"/>
          <w:szCs w:val="22"/>
        </w:rPr>
        <w:t xml:space="preserve">, 14 096 500 MRO avec </w:t>
      </w:r>
      <w:r w:rsidR="007512A8">
        <w:rPr>
          <w:rFonts w:asciiTheme="minorHAnsi" w:hAnsiTheme="minorHAnsi" w:cstheme="minorHAnsi"/>
          <w:sz w:val="22"/>
          <w:szCs w:val="22"/>
        </w:rPr>
        <w:t>6 projets</w:t>
      </w:r>
      <w:r>
        <w:rPr>
          <w:rFonts w:asciiTheme="minorHAnsi" w:hAnsiTheme="minorHAnsi" w:cstheme="minorHAnsi"/>
          <w:sz w:val="22"/>
          <w:szCs w:val="22"/>
        </w:rPr>
        <w:t>) puis par les bâtiments communaux (20,33%</w:t>
      </w:r>
      <w:r w:rsidR="007512A8">
        <w:rPr>
          <w:rFonts w:asciiTheme="minorHAnsi" w:hAnsiTheme="minorHAnsi" w:cstheme="minorHAnsi"/>
          <w:sz w:val="22"/>
          <w:szCs w:val="22"/>
        </w:rPr>
        <w:t>, 9 102 583 MRO avec 6 projets</w:t>
      </w:r>
      <w:r>
        <w:rPr>
          <w:rFonts w:asciiTheme="minorHAnsi" w:hAnsiTheme="minorHAnsi" w:cstheme="minorHAnsi"/>
          <w:sz w:val="22"/>
          <w:szCs w:val="22"/>
        </w:rPr>
        <w:t>).</w:t>
      </w:r>
    </w:p>
    <w:p w:rsidR="00EF4FA3" w:rsidRPr="00E27C08" w:rsidRDefault="00EF4FA3" w:rsidP="00080DD0">
      <w:pPr>
        <w:jc w:val="both"/>
        <w:rPr>
          <w:rFonts w:asciiTheme="minorHAnsi" w:hAnsiTheme="minorHAnsi" w:cstheme="minorHAnsi"/>
          <w:sz w:val="22"/>
          <w:szCs w:val="22"/>
        </w:rPr>
      </w:pPr>
    </w:p>
    <w:p w:rsidR="00080DD0" w:rsidRPr="00E27C08" w:rsidRDefault="001246CD" w:rsidP="00080DD0">
      <w:pPr>
        <w:jc w:val="center"/>
        <w:rPr>
          <w:rFonts w:asciiTheme="minorHAnsi" w:hAnsiTheme="minorHAnsi" w:cstheme="minorHAnsi"/>
          <w:sz w:val="22"/>
          <w:szCs w:val="22"/>
          <w:u w:val="single"/>
        </w:rPr>
      </w:pPr>
      <w:proofErr w:type="spellStart"/>
      <w:r>
        <w:rPr>
          <w:rFonts w:asciiTheme="minorHAnsi" w:hAnsiTheme="minorHAnsi" w:cstheme="minorHAnsi"/>
          <w:b/>
          <w:sz w:val="22"/>
          <w:szCs w:val="22"/>
          <w:u w:val="single"/>
        </w:rPr>
        <w:t>Moughataa</w:t>
      </w:r>
      <w:proofErr w:type="spellEnd"/>
      <w:r w:rsidR="00B14550">
        <w:rPr>
          <w:rFonts w:asciiTheme="minorHAnsi" w:hAnsiTheme="minorHAnsi" w:cstheme="minorHAnsi"/>
          <w:b/>
          <w:sz w:val="22"/>
          <w:szCs w:val="22"/>
          <w:u w:val="single"/>
        </w:rPr>
        <w:t xml:space="preserve"> d’</w:t>
      </w:r>
      <w:r w:rsidR="00080DD0" w:rsidRPr="00E27C08">
        <w:rPr>
          <w:rFonts w:asciiTheme="minorHAnsi" w:hAnsiTheme="minorHAnsi" w:cstheme="minorHAnsi"/>
          <w:b/>
          <w:sz w:val="22"/>
          <w:szCs w:val="22"/>
          <w:u w:val="single"/>
        </w:rPr>
        <w:t>Oualata</w:t>
      </w:r>
    </w:p>
    <w:p w:rsidR="00080DD0" w:rsidRPr="00E27C08" w:rsidRDefault="00080DD0" w:rsidP="00080DD0">
      <w:pPr>
        <w:jc w:val="both"/>
        <w:rPr>
          <w:rFonts w:asciiTheme="minorHAnsi" w:hAnsiTheme="minorHAnsi" w:cstheme="minorHAnsi"/>
          <w:sz w:val="22"/>
          <w:szCs w:val="22"/>
        </w:rPr>
      </w:pPr>
    </w:p>
    <w:p w:rsidR="00080DD0" w:rsidRPr="00E27C08" w:rsidRDefault="00080DD0" w:rsidP="00080DD0">
      <w:pPr>
        <w:jc w:val="both"/>
        <w:rPr>
          <w:rFonts w:asciiTheme="minorHAnsi" w:hAnsiTheme="minorHAnsi" w:cstheme="minorHAnsi"/>
          <w:sz w:val="22"/>
          <w:szCs w:val="22"/>
        </w:rPr>
      </w:pPr>
      <w:r w:rsidRPr="00E27C08">
        <w:rPr>
          <w:rFonts w:asciiTheme="minorHAnsi" w:hAnsiTheme="minorHAnsi" w:cstheme="minorHAnsi"/>
          <w:sz w:val="22"/>
          <w:szCs w:val="22"/>
        </w:rPr>
        <w:t xml:space="preserve">La commune de la </w:t>
      </w:r>
      <w:proofErr w:type="spellStart"/>
      <w:r w:rsidR="001246CD">
        <w:rPr>
          <w:rFonts w:asciiTheme="minorHAnsi" w:hAnsiTheme="minorHAnsi" w:cstheme="minorHAnsi"/>
          <w:sz w:val="22"/>
          <w:szCs w:val="22"/>
        </w:rPr>
        <w:t>Moughataa</w:t>
      </w:r>
      <w:proofErr w:type="spellEnd"/>
      <w:r w:rsidR="00B14550">
        <w:rPr>
          <w:rFonts w:asciiTheme="minorHAnsi" w:hAnsiTheme="minorHAnsi" w:cstheme="minorHAnsi"/>
          <w:sz w:val="22"/>
          <w:szCs w:val="22"/>
        </w:rPr>
        <w:t xml:space="preserve"> d’</w:t>
      </w:r>
      <w:proofErr w:type="spellStart"/>
      <w:r w:rsidR="00FA33E9">
        <w:rPr>
          <w:rFonts w:asciiTheme="minorHAnsi" w:hAnsiTheme="minorHAnsi" w:cstheme="minorHAnsi"/>
          <w:sz w:val="22"/>
          <w:szCs w:val="22"/>
        </w:rPr>
        <w:t>Oulata</w:t>
      </w:r>
      <w:proofErr w:type="spellEnd"/>
      <w:r w:rsidR="00FA33E9">
        <w:rPr>
          <w:rFonts w:asciiTheme="minorHAnsi" w:hAnsiTheme="minorHAnsi" w:cstheme="minorHAnsi"/>
          <w:sz w:val="22"/>
          <w:szCs w:val="22"/>
        </w:rPr>
        <w:t xml:space="preserve"> a bénéficié d’un FRD 2012</w:t>
      </w:r>
      <w:r w:rsidR="00F40CCD">
        <w:rPr>
          <w:rFonts w:asciiTheme="minorHAnsi" w:hAnsiTheme="minorHAnsi" w:cstheme="minorHAnsi"/>
          <w:sz w:val="22"/>
          <w:szCs w:val="22"/>
        </w:rPr>
        <w:t xml:space="preserve"> pour l’équipement de 11 545 261 MRO (+16,67 % par rapport à 2011). Un engagement de 13 170 236</w:t>
      </w:r>
      <w:r w:rsidRPr="00E27C08">
        <w:rPr>
          <w:rFonts w:asciiTheme="minorHAnsi" w:hAnsiTheme="minorHAnsi" w:cstheme="minorHAnsi"/>
          <w:sz w:val="22"/>
          <w:szCs w:val="22"/>
        </w:rPr>
        <w:t xml:space="preserve"> MRO a été réalisé pour la réalisation de </w:t>
      </w:r>
      <w:r w:rsidR="00F40CCD">
        <w:rPr>
          <w:rFonts w:asciiTheme="minorHAnsi" w:hAnsiTheme="minorHAnsi" w:cstheme="minorHAnsi"/>
          <w:b/>
          <w:sz w:val="22"/>
          <w:szCs w:val="22"/>
        </w:rPr>
        <w:t>8</w:t>
      </w:r>
      <w:r w:rsidRPr="005B0084">
        <w:rPr>
          <w:rFonts w:asciiTheme="minorHAnsi" w:hAnsiTheme="minorHAnsi" w:cstheme="minorHAnsi"/>
          <w:b/>
          <w:sz w:val="22"/>
          <w:szCs w:val="22"/>
        </w:rPr>
        <w:t xml:space="preserve"> projets</w:t>
      </w:r>
      <w:r w:rsidRPr="00E27C08">
        <w:rPr>
          <w:rFonts w:asciiTheme="minorHAnsi" w:hAnsiTheme="minorHAnsi" w:cstheme="minorHAnsi"/>
          <w:sz w:val="22"/>
          <w:szCs w:val="22"/>
        </w:rPr>
        <w:t xml:space="preserve">, soit un </w:t>
      </w:r>
      <w:r w:rsidR="00F40CCD">
        <w:rPr>
          <w:rFonts w:asciiTheme="minorHAnsi" w:hAnsiTheme="minorHAnsi" w:cstheme="minorHAnsi"/>
          <w:b/>
          <w:sz w:val="22"/>
          <w:szCs w:val="22"/>
        </w:rPr>
        <w:t>taux d’absorption de 114,07%</w:t>
      </w:r>
      <w:r w:rsidR="00F40CCD" w:rsidRPr="00F40CCD">
        <w:rPr>
          <w:rFonts w:asciiTheme="minorHAnsi" w:hAnsiTheme="minorHAnsi" w:cstheme="minorHAnsi"/>
          <w:sz w:val="22"/>
          <w:szCs w:val="22"/>
        </w:rPr>
        <w:t>,</w:t>
      </w:r>
      <w:r w:rsidR="00F40CCD">
        <w:rPr>
          <w:rFonts w:asciiTheme="minorHAnsi" w:hAnsiTheme="minorHAnsi" w:cstheme="minorHAnsi"/>
          <w:b/>
          <w:sz w:val="22"/>
          <w:szCs w:val="22"/>
        </w:rPr>
        <w:t xml:space="preserve"> </w:t>
      </w:r>
      <w:r w:rsidR="00F40CCD" w:rsidRPr="00F40CCD">
        <w:rPr>
          <w:rFonts w:asciiTheme="minorHAnsi" w:hAnsiTheme="minorHAnsi" w:cstheme="minorHAnsi"/>
          <w:sz w:val="22"/>
          <w:szCs w:val="22"/>
        </w:rPr>
        <w:t>supérieur à la moyenne régionale et nationale</w:t>
      </w:r>
      <w:r w:rsidR="00F40CCD">
        <w:rPr>
          <w:rFonts w:asciiTheme="minorHAnsi" w:hAnsiTheme="minorHAnsi" w:cstheme="minorHAnsi"/>
          <w:sz w:val="22"/>
          <w:szCs w:val="22"/>
        </w:rPr>
        <w:t xml:space="preserve"> et traduisant donc l’utilisation des reliquats des exercices antérieurs : en somme, une capacité d’absorption tout à fait remarquable et de surcroît en progression.</w:t>
      </w:r>
    </w:p>
    <w:p w:rsidR="00080DD0" w:rsidRDefault="00080DD0" w:rsidP="00080DD0">
      <w:pPr>
        <w:jc w:val="both"/>
        <w:rPr>
          <w:rFonts w:asciiTheme="minorHAnsi" w:hAnsiTheme="minorHAnsi" w:cstheme="minorHAnsi"/>
          <w:sz w:val="22"/>
          <w:szCs w:val="22"/>
        </w:rPr>
      </w:pPr>
      <w:r w:rsidRPr="003A68DA">
        <w:rPr>
          <w:noProof/>
        </w:rPr>
        <w:drawing>
          <wp:inline distT="0" distB="0" distL="0" distR="0">
            <wp:extent cx="2762250" cy="2771775"/>
            <wp:effectExtent l="19050" t="0" r="0" b="0"/>
            <wp:docPr id="41"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stretch>
                      <a:fillRect/>
                    </a:stretch>
                  </pic:blipFill>
                  <pic:spPr>
                    <a:xfrm>
                      <a:off x="0" y="0"/>
                      <a:ext cx="2762250" cy="2771775"/>
                    </a:xfrm>
                    <a:prstGeom prst="rect">
                      <a:avLst/>
                    </a:prstGeom>
                  </pic:spPr>
                </pic:pic>
              </a:graphicData>
            </a:graphic>
          </wp:inline>
        </w:drawing>
      </w:r>
      <w:r w:rsidRPr="006D17F3">
        <w:rPr>
          <w:rFonts w:asciiTheme="minorHAnsi" w:hAnsiTheme="minorHAnsi" w:cstheme="minorHAnsi"/>
          <w:noProof/>
          <w:sz w:val="22"/>
          <w:szCs w:val="22"/>
        </w:rPr>
        <w:drawing>
          <wp:inline distT="0" distB="0" distL="0" distR="0">
            <wp:extent cx="3790950" cy="2771775"/>
            <wp:effectExtent l="19050" t="0" r="0" b="0"/>
            <wp:docPr id="43"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stretch>
                      <a:fillRect/>
                    </a:stretch>
                  </pic:blipFill>
                  <pic:spPr>
                    <a:xfrm>
                      <a:off x="0" y="0"/>
                      <a:ext cx="3790477" cy="2771429"/>
                    </a:xfrm>
                    <a:prstGeom prst="rect">
                      <a:avLst/>
                    </a:prstGeom>
                  </pic:spPr>
                </pic:pic>
              </a:graphicData>
            </a:graphic>
          </wp:inline>
        </w:drawing>
      </w:r>
    </w:p>
    <w:p w:rsidR="00785663" w:rsidRDefault="00785663" w:rsidP="00080DD0">
      <w:pPr>
        <w:jc w:val="both"/>
        <w:rPr>
          <w:rFonts w:asciiTheme="minorHAnsi" w:hAnsiTheme="minorHAnsi" w:cstheme="minorHAnsi"/>
          <w:sz w:val="22"/>
          <w:szCs w:val="22"/>
        </w:rPr>
      </w:pPr>
      <w:r w:rsidRPr="00785663">
        <w:rPr>
          <w:noProof/>
          <w:szCs w:val="22"/>
        </w:rPr>
        <w:drawing>
          <wp:inline distT="0" distB="0" distL="0" distR="0">
            <wp:extent cx="6645910" cy="974972"/>
            <wp:effectExtent l="19050" t="0" r="2540" b="0"/>
            <wp:docPr id="161"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8" cstate="print"/>
                    <a:srcRect/>
                    <a:stretch>
                      <a:fillRect/>
                    </a:stretch>
                  </pic:blipFill>
                  <pic:spPr bwMode="auto">
                    <a:xfrm>
                      <a:off x="0" y="0"/>
                      <a:ext cx="6645910" cy="974972"/>
                    </a:xfrm>
                    <a:prstGeom prst="rect">
                      <a:avLst/>
                    </a:prstGeom>
                    <a:noFill/>
                    <a:ln w="9525">
                      <a:noFill/>
                      <a:miter lim="800000"/>
                      <a:headEnd/>
                      <a:tailEnd/>
                    </a:ln>
                  </pic:spPr>
                </pic:pic>
              </a:graphicData>
            </a:graphic>
          </wp:inline>
        </w:drawing>
      </w:r>
    </w:p>
    <w:p w:rsidR="00785663" w:rsidRPr="00E27C08" w:rsidRDefault="00785663" w:rsidP="00080DD0">
      <w:pPr>
        <w:jc w:val="both"/>
        <w:rPr>
          <w:rFonts w:asciiTheme="minorHAnsi" w:hAnsiTheme="minorHAnsi" w:cstheme="minorHAnsi"/>
          <w:sz w:val="22"/>
          <w:szCs w:val="22"/>
        </w:rPr>
      </w:pPr>
    </w:p>
    <w:p w:rsidR="00080DD0" w:rsidRPr="00E27C08" w:rsidRDefault="00080DD0" w:rsidP="00080DD0">
      <w:pPr>
        <w:jc w:val="both"/>
        <w:rPr>
          <w:rFonts w:asciiTheme="minorHAnsi" w:hAnsiTheme="minorHAnsi" w:cstheme="minorHAnsi"/>
          <w:sz w:val="22"/>
          <w:szCs w:val="22"/>
        </w:rPr>
      </w:pPr>
      <w:r w:rsidRPr="006D17F3">
        <w:rPr>
          <w:rFonts w:asciiTheme="minorHAnsi" w:hAnsiTheme="minorHAnsi" w:cstheme="minorHAnsi"/>
          <w:noProof/>
          <w:sz w:val="22"/>
          <w:szCs w:val="22"/>
        </w:rPr>
        <w:drawing>
          <wp:inline distT="0" distB="0" distL="0" distR="0">
            <wp:extent cx="6600825" cy="2686050"/>
            <wp:effectExtent l="19050" t="0" r="9525" b="0"/>
            <wp:docPr id="44"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stretch>
                      <a:fillRect/>
                    </a:stretch>
                  </pic:blipFill>
                  <pic:spPr>
                    <a:xfrm>
                      <a:off x="0" y="0"/>
                      <a:ext cx="6600000" cy="2685714"/>
                    </a:xfrm>
                    <a:prstGeom prst="rect">
                      <a:avLst/>
                    </a:prstGeom>
                  </pic:spPr>
                </pic:pic>
              </a:graphicData>
            </a:graphic>
          </wp:inline>
        </w:drawing>
      </w:r>
    </w:p>
    <w:p w:rsidR="00785663" w:rsidRDefault="00785663" w:rsidP="00080DD0">
      <w:pPr>
        <w:jc w:val="both"/>
        <w:rPr>
          <w:rFonts w:asciiTheme="minorHAnsi" w:hAnsiTheme="minorHAnsi" w:cstheme="minorHAnsi"/>
          <w:sz w:val="22"/>
          <w:szCs w:val="22"/>
        </w:rPr>
      </w:pPr>
      <w:r w:rsidRPr="00785663">
        <w:rPr>
          <w:noProof/>
          <w:szCs w:val="22"/>
        </w:rPr>
        <w:drawing>
          <wp:inline distT="0" distB="0" distL="0" distR="0">
            <wp:extent cx="6619015" cy="1466850"/>
            <wp:effectExtent l="19050" t="0" r="0" b="0"/>
            <wp:docPr id="191"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0" cstate="print"/>
                    <a:srcRect/>
                    <a:stretch>
                      <a:fillRect/>
                    </a:stretch>
                  </pic:blipFill>
                  <pic:spPr bwMode="auto">
                    <a:xfrm>
                      <a:off x="0" y="0"/>
                      <a:ext cx="6645910" cy="1472810"/>
                    </a:xfrm>
                    <a:prstGeom prst="rect">
                      <a:avLst/>
                    </a:prstGeom>
                    <a:noFill/>
                    <a:ln w="9525">
                      <a:noFill/>
                      <a:miter lim="800000"/>
                      <a:headEnd/>
                      <a:tailEnd/>
                    </a:ln>
                  </pic:spPr>
                </pic:pic>
              </a:graphicData>
            </a:graphic>
          </wp:inline>
        </w:drawing>
      </w:r>
    </w:p>
    <w:p w:rsidR="00785663" w:rsidRDefault="00785663" w:rsidP="00080DD0">
      <w:pPr>
        <w:jc w:val="both"/>
        <w:rPr>
          <w:rFonts w:asciiTheme="minorHAnsi" w:hAnsiTheme="minorHAnsi" w:cstheme="minorHAnsi"/>
          <w:sz w:val="22"/>
          <w:szCs w:val="22"/>
        </w:rPr>
      </w:pPr>
    </w:p>
    <w:p w:rsidR="00080DD0" w:rsidRPr="00E27C08" w:rsidRDefault="00080DD0" w:rsidP="00080DD0">
      <w:pPr>
        <w:jc w:val="both"/>
        <w:rPr>
          <w:rFonts w:asciiTheme="minorHAnsi" w:hAnsiTheme="minorHAnsi" w:cstheme="minorHAnsi"/>
          <w:sz w:val="22"/>
          <w:szCs w:val="22"/>
        </w:rPr>
      </w:pPr>
      <w:r w:rsidRPr="00E27C08">
        <w:rPr>
          <w:rFonts w:asciiTheme="minorHAnsi" w:hAnsiTheme="minorHAnsi" w:cstheme="minorHAnsi"/>
          <w:sz w:val="22"/>
          <w:szCs w:val="22"/>
        </w:rPr>
        <w:t>Le montant moyen de l’investissement est</w:t>
      </w:r>
      <w:r w:rsidR="00F40CCD">
        <w:rPr>
          <w:rFonts w:asciiTheme="minorHAnsi" w:hAnsiTheme="minorHAnsi" w:cstheme="minorHAnsi"/>
          <w:sz w:val="22"/>
          <w:szCs w:val="22"/>
        </w:rPr>
        <w:t>,</w:t>
      </w:r>
      <w:r w:rsidRPr="00E27C08">
        <w:rPr>
          <w:rFonts w:asciiTheme="minorHAnsi" w:hAnsiTheme="minorHAnsi" w:cstheme="minorHAnsi"/>
          <w:sz w:val="22"/>
          <w:szCs w:val="22"/>
        </w:rPr>
        <w:t xml:space="preserve"> </w:t>
      </w:r>
      <w:r w:rsidR="00F40CCD">
        <w:rPr>
          <w:rFonts w:asciiTheme="minorHAnsi" w:hAnsiTheme="minorHAnsi" w:cstheme="minorHAnsi"/>
          <w:sz w:val="22"/>
          <w:szCs w:val="22"/>
        </w:rPr>
        <w:t>par voie de conséquence,</w:t>
      </w:r>
      <w:r w:rsidR="00F40CCD" w:rsidRPr="00E27C08">
        <w:rPr>
          <w:rFonts w:asciiTheme="minorHAnsi" w:hAnsiTheme="minorHAnsi" w:cstheme="minorHAnsi"/>
          <w:sz w:val="22"/>
          <w:szCs w:val="22"/>
        </w:rPr>
        <w:t xml:space="preserve"> </w:t>
      </w:r>
      <w:r w:rsidRPr="00E27C08">
        <w:rPr>
          <w:rFonts w:asciiTheme="minorHAnsi" w:hAnsiTheme="minorHAnsi" w:cstheme="minorHAnsi"/>
          <w:sz w:val="22"/>
          <w:szCs w:val="22"/>
        </w:rPr>
        <w:t>supérieur à la moyenne régionale et nationale</w:t>
      </w:r>
      <w:r w:rsidR="00F40CCD">
        <w:rPr>
          <w:rFonts w:asciiTheme="minorHAnsi" w:hAnsiTheme="minorHAnsi" w:cstheme="minorHAnsi"/>
          <w:sz w:val="22"/>
          <w:szCs w:val="22"/>
        </w:rPr>
        <w:t>, puisque le nombre de projets n’a pas varié d’un exercice à l’autre : il passe de 1 227 625 MRO par projet en 2011 à 1 646 280 MRO en 2012.</w:t>
      </w:r>
    </w:p>
    <w:p w:rsidR="00080DD0" w:rsidRDefault="00F40CCD" w:rsidP="00080DD0">
      <w:pPr>
        <w:jc w:val="both"/>
        <w:rPr>
          <w:rFonts w:asciiTheme="minorHAnsi" w:hAnsiTheme="minorHAnsi" w:cstheme="minorHAnsi"/>
        </w:rPr>
      </w:pPr>
      <w:r>
        <w:rPr>
          <w:rFonts w:asciiTheme="minorHAnsi" w:hAnsiTheme="minorHAnsi" w:cstheme="minorHAnsi"/>
        </w:rPr>
        <w:t>Les secteurs prioritaires d’investissement concernent à 34,55% les bâtiments communaux (soit 4 550 000 MRO</w:t>
      </w:r>
      <w:r w:rsidR="007512A8">
        <w:rPr>
          <w:rFonts w:asciiTheme="minorHAnsi" w:hAnsiTheme="minorHAnsi" w:cstheme="minorHAnsi"/>
        </w:rPr>
        <w:t xml:space="preserve"> avec 2 projets</w:t>
      </w:r>
      <w:r>
        <w:rPr>
          <w:rFonts w:asciiTheme="minorHAnsi" w:hAnsiTheme="minorHAnsi" w:cstheme="minorHAnsi"/>
        </w:rPr>
        <w:t xml:space="preserve">), puis le </w:t>
      </w:r>
      <w:proofErr w:type="spellStart"/>
      <w:r>
        <w:rPr>
          <w:rFonts w:asciiTheme="minorHAnsi" w:hAnsiTheme="minorHAnsi" w:cstheme="minorHAnsi"/>
        </w:rPr>
        <w:t>socio-culturel</w:t>
      </w:r>
      <w:proofErr w:type="spellEnd"/>
      <w:r>
        <w:rPr>
          <w:rFonts w:asciiTheme="minorHAnsi" w:hAnsiTheme="minorHAnsi" w:cstheme="minorHAnsi"/>
        </w:rPr>
        <w:t xml:space="preserve"> à hauteur de 17,20%</w:t>
      </w:r>
      <w:r w:rsidR="007512A8">
        <w:rPr>
          <w:rFonts w:asciiTheme="minorHAnsi" w:hAnsiTheme="minorHAnsi" w:cstheme="minorHAnsi"/>
        </w:rPr>
        <w:t xml:space="preserve"> (1 projet à hauteur de 2 265 236 MRO)</w:t>
      </w:r>
      <w:r>
        <w:rPr>
          <w:rFonts w:asciiTheme="minorHAnsi" w:hAnsiTheme="minorHAnsi" w:cstheme="minorHAnsi"/>
        </w:rPr>
        <w:t>, suivi de l’hydraulique (</w:t>
      </w:r>
      <w:r w:rsidR="005677F2">
        <w:rPr>
          <w:rFonts w:asciiTheme="minorHAnsi" w:hAnsiTheme="minorHAnsi" w:cstheme="minorHAnsi"/>
        </w:rPr>
        <w:t>17,08%</w:t>
      </w:r>
      <w:r w:rsidR="007512A8">
        <w:rPr>
          <w:rFonts w:asciiTheme="minorHAnsi" w:hAnsiTheme="minorHAnsi" w:cstheme="minorHAnsi"/>
        </w:rPr>
        <w:t>, 1 projet à hauteur de 2 250 000 MRO</w:t>
      </w:r>
      <w:r w:rsidR="005677F2">
        <w:rPr>
          <w:rFonts w:asciiTheme="minorHAnsi" w:hAnsiTheme="minorHAnsi" w:cstheme="minorHAnsi"/>
        </w:rPr>
        <w:t>).</w:t>
      </w:r>
    </w:p>
    <w:p w:rsidR="00080DD0" w:rsidRPr="00E27C08" w:rsidRDefault="001246CD" w:rsidP="00080DD0">
      <w:pPr>
        <w:jc w:val="center"/>
        <w:rPr>
          <w:rFonts w:asciiTheme="minorHAnsi" w:hAnsiTheme="minorHAnsi" w:cstheme="minorHAnsi"/>
          <w:sz w:val="22"/>
          <w:szCs w:val="22"/>
          <w:u w:val="single"/>
        </w:rPr>
      </w:pPr>
      <w:proofErr w:type="spellStart"/>
      <w:r>
        <w:rPr>
          <w:rFonts w:asciiTheme="minorHAnsi" w:hAnsiTheme="minorHAnsi" w:cstheme="minorHAnsi"/>
          <w:b/>
          <w:sz w:val="22"/>
          <w:szCs w:val="22"/>
          <w:u w:val="single"/>
        </w:rPr>
        <w:t>Moughataa</w:t>
      </w:r>
      <w:proofErr w:type="spellEnd"/>
      <w:r w:rsidR="00080DD0" w:rsidRPr="00E27C08">
        <w:rPr>
          <w:rFonts w:asciiTheme="minorHAnsi" w:hAnsiTheme="minorHAnsi" w:cstheme="minorHAnsi"/>
          <w:b/>
          <w:sz w:val="22"/>
          <w:szCs w:val="22"/>
          <w:u w:val="single"/>
        </w:rPr>
        <w:t xml:space="preserve"> de </w:t>
      </w:r>
      <w:proofErr w:type="spellStart"/>
      <w:r w:rsidR="00080DD0" w:rsidRPr="00E27C08">
        <w:rPr>
          <w:rFonts w:asciiTheme="minorHAnsi" w:hAnsiTheme="minorHAnsi" w:cstheme="minorHAnsi"/>
          <w:b/>
          <w:sz w:val="22"/>
          <w:szCs w:val="22"/>
          <w:u w:val="single"/>
        </w:rPr>
        <w:t>Djiguéni</w:t>
      </w:r>
      <w:proofErr w:type="spellEnd"/>
    </w:p>
    <w:p w:rsidR="00080DD0" w:rsidRPr="00E27C08" w:rsidRDefault="00080DD0" w:rsidP="00080DD0">
      <w:pPr>
        <w:jc w:val="both"/>
        <w:rPr>
          <w:rFonts w:asciiTheme="minorHAnsi" w:hAnsiTheme="minorHAnsi" w:cstheme="minorHAnsi"/>
          <w:sz w:val="22"/>
          <w:szCs w:val="22"/>
        </w:rPr>
      </w:pPr>
    </w:p>
    <w:p w:rsidR="00080DD0" w:rsidRPr="00E27C08" w:rsidRDefault="00080DD0" w:rsidP="00080DD0">
      <w:pPr>
        <w:jc w:val="both"/>
        <w:rPr>
          <w:rFonts w:asciiTheme="minorHAnsi" w:hAnsiTheme="minorHAnsi" w:cstheme="minorHAnsi"/>
          <w:sz w:val="22"/>
          <w:szCs w:val="22"/>
        </w:rPr>
      </w:pPr>
      <w:r w:rsidRPr="00E27C08">
        <w:rPr>
          <w:rFonts w:asciiTheme="minorHAnsi" w:hAnsiTheme="minorHAnsi" w:cstheme="minorHAnsi"/>
          <w:sz w:val="22"/>
          <w:szCs w:val="22"/>
        </w:rPr>
        <w:t xml:space="preserve">Les communes de la </w:t>
      </w:r>
      <w:proofErr w:type="spellStart"/>
      <w:r w:rsidR="001246CD">
        <w:rPr>
          <w:rFonts w:asciiTheme="minorHAnsi" w:hAnsiTheme="minorHAnsi" w:cstheme="minorHAnsi"/>
          <w:sz w:val="22"/>
          <w:szCs w:val="22"/>
        </w:rPr>
        <w:t>Moughataa</w:t>
      </w:r>
      <w:proofErr w:type="spellEnd"/>
      <w:r w:rsidRPr="00E27C08">
        <w:rPr>
          <w:rFonts w:asciiTheme="minorHAnsi" w:hAnsiTheme="minorHAnsi" w:cstheme="minorHAnsi"/>
          <w:sz w:val="22"/>
          <w:szCs w:val="22"/>
        </w:rPr>
        <w:t xml:space="preserve"> de </w:t>
      </w:r>
      <w:proofErr w:type="spellStart"/>
      <w:r w:rsidRPr="00E27C08">
        <w:rPr>
          <w:rFonts w:asciiTheme="minorHAnsi" w:hAnsiTheme="minorHAnsi" w:cstheme="minorHAnsi"/>
          <w:sz w:val="22"/>
          <w:szCs w:val="22"/>
        </w:rPr>
        <w:t>Djig</w:t>
      </w:r>
      <w:r w:rsidR="005677F2">
        <w:rPr>
          <w:rFonts w:asciiTheme="minorHAnsi" w:hAnsiTheme="minorHAnsi" w:cstheme="minorHAnsi"/>
          <w:sz w:val="22"/>
          <w:szCs w:val="22"/>
        </w:rPr>
        <w:t>uéni</w:t>
      </w:r>
      <w:proofErr w:type="spellEnd"/>
      <w:r w:rsidR="005677F2">
        <w:rPr>
          <w:rFonts w:asciiTheme="minorHAnsi" w:hAnsiTheme="minorHAnsi" w:cstheme="minorHAnsi"/>
          <w:sz w:val="22"/>
          <w:szCs w:val="22"/>
        </w:rPr>
        <w:t xml:space="preserve"> ont bénéficié d’un FRD 2012 pour l’équipement de 46 851 126 MRO (+16,67 % par rapport à 2011</w:t>
      </w:r>
      <w:r w:rsidRPr="00E27C08">
        <w:rPr>
          <w:rFonts w:asciiTheme="minorHAnsi" w:hAnsiTheme="minorHAnsi" w:cstheme="minorHAnsi"/>
          <w:sz w:val="22"/>
          <w:szCs w:val="22"/>
        </w:rPr>
        <w:t>). U</w:t>
      </w:r>
      <w:r w:rsidR="005677F2">
        <w:rPr>
          <w:rFonts w:asciiTheme="minorHAnsi" w:hAnsiTheme="minorHAnsi" w:cstheme="minorHAnsi"/>
          <w:sz w:val="22"/>
          <w:szCs w:val="22"/>
        </w:rPr>
        <w:t>n engagement total de 46 849 868</w:t>
      </w:r>
      <w:r w:rsidRPr="00E27C08">
        <w:rPr>
          <w:rFonts w:asciiTheme="minorHAnsi" w:hAnsiTheme="minorHAnsi" w:cstheme="minorHAnsi"/>
          <w:sz w:val="22"/>
          <w:szCs w:val="22"/>
        </w:rPr>
        <w:t xml:space="preserve"> MRO a été réalisé pour la réalisation de </w:t>
      </w:r>
      <w:r w:rsidR="005677F2">
        <w:rPr>
          <w:rFonts w:asciiTheme="minorHAnsi" w:hAnsiTheme="minorHAnsi" w:cstheme="minorHAnsi"/>
          <w:b/>
          <w:sz w:val="22"/>
          <w:szCs w:val="22"/>
        </w:rPr>
        <w:t>25</w:t>
      </w:r>
      <w:r w:rsidRPr="005B0084">
        <w:rPr>
          <w:rFonts w:asciiTheme="minorHAnsi" w:hAnsiTheme="minorHAnsi" w:cstheme="minorHAnsi"/>
          <w:b/>
          <w:sz w:val="22"/>
          <w:szCs w:val="22"/>
        </w:rPr>
        <w:t xml:space="preserve"> projets</w:t>
      </w:r>
      <w:r w:rsidRPr="00E27C08">
        <w:rPr>
          <w:rFonts w:asciiTheme="minorHAnsi" w:hAnsiTheme="minorHAnsi" w:cstheme="minorHAnsi"/>
          <w:sz w:val="22"/>
          <w:szCs w:val="22"/>
        </w:rPr>
        <w:t xml:space="preserve">, soit un </w:t>
      </w:r>
      <w:r w:rsidR="005677F2">
        <w:rPr>
          <w:rFonts w:asciiTheme="minorHAnsi" w:hAnsiTheme="minorHAnsi" w:cstheme="minorHAnsi"/>
          <w:b/>
          <w:sz w:val="22"/>
          <w:szCs w:val="22"/>
        </w:rPr>
        <w:t>taux d’absorption de 100</w:t>
      </w:r>
      <w:r w:rsidRPr="005B0084">
        <w:rPr>
          <w:rFonts w:asciiTheme="minorHAnsi" w:hAnsiTheme="minorHAnsi" w:cstheme="minorHAnsi"/>
          <w:b/>
          <w:sz w:val="22"/>
          <w:szCs w:val="22"/>
        </w:rPr>
        <w:t xml:space="preserve"> %.</w:t>
      </w:r>
    </w:p>
    <w:p w:rsidR="00080DD0" w:rsidRDefault="00080DD0" w:rsidP="00080DD0">
      <w:pPr>
        <w:jc w:val="both"/>
        <w:rPr>
          <w:rFonts w:asciiTheme="minorHAnsi" w:hAnsiTheme="minorHAnsi" w:cstheme="minorHAnsi"/>
          <w:sz w:val="22"/>
          <w:szCs w:val="22"/>
        </w:rPr>
      </w:pPr>
    </w:p>
    <w:p w:rsidR="00080DD0" w:rsidRDefault="00080DD0" w:rsidP="00080DD0">
      <w:pPr>
        <w:jc w:val="both"/>
        <w:rPr>
          <w:rFonts w:asciiTheme="minorHAnsi" w:hAnsiTheme="minorHAnsi" w:cstheme="minorHAnsi"/>
          <w:sz w:val="22"/>
          <w:szCs w:val="22"/>
        </w:rPr>
      </w:pPr>
      <w:r w:rsidRPr="00DF40C1">
        <w:rPr>
          <w:noProof/>
        </w:rPr>
        <w:drawing>
          <wp:inline distT="0" distB="0" distL="0" distR="0">
            <wp:extent cx="2905125" cy="3810000"/>
            <wp:effectExtent l="19050" t="0" r="0" b="0"/>
            <wp:docPr id="45"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print"/>
                    <a:stretch>
                      <a:fillRect/>
                    </a:stretch>
                  </pic:blipFill>
                  <pic:spPr>
                    <a:xfrm>
                      <a:off x="0" y="0"/>
                      <a:ext cx="2904762" cy="3809525"/>
                    </a:xfrm>
                    <a:prstGeom prst="rect">
                      <a:avLst/>
                    </a:prstGeom>
                  </pic:spPr>
                </pic:pic>
              </a:graphicData>
            </a:graphic>
          </wp:inline>
        </w:drawing>
      </w:r>
      <w:r w:rsidRPr="006D17F3">
        <w:rPr>
          <w:rFonts w:asciiTheme="minorHAnsi" w:hAnsiTheme="minorHAnsi" w:cstheme="minorHAnsi"/>
          <w:noProof/>
          <w:sz w:val="22"/>
          <w:szCs w:val="22"/>
        </w:rPr>
        <w:drawing>
          <wp:inline distT="0" distB="0" distL="0" distR="0">
            <wp:extent cx="3676650" cy="3810000"/>
            <wp:effectExtent l="19050" t="0" r="0" b="0"/>
            <wp:docPr id="47"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print"/>
                    <a:stretch>
                      <a:fillRect/>
                    </a:stretch>
                  </pic:blipFill>
                  <pic:spPr>
                    <a:xfrm>
                      <a:off x="0" y="0"/>
                      <a:ext cx="3676650" cy="3810000"/>
                    </a:xfrm>
                    <a:prstGeom prst="rect">
                      <a:avLst/>
                    </a:prstGeom>
                  </pic:spPr>
                </pic:pic>
              </a:graphicData>
            </a:graphic>
          </wp:inline>
        </w:drawing>
      </w:r>
    </w:p>
    <w:p w:rsidR="00785663" w:rsidRDefault="00785663" w:rsidP="00080DD0">
      <w:pPr>
        <w:jc w:val="both"/>
        <w:rPr>
          <w:rFonts w:asciiTheme="minorHAnsi" w:hAnsiTheme="minorHAnsi" w:cstheme="minorHAnsi"/>
          <w:sz w:val="22"/>
          <w:szCs w:val="22"/>
        </w:rPr>
      </w:pPr>
      <w:r w:rsidRPr="00785663">
        <w:rPr>
          <w:noProof/>
          <w:szCs w:val="22"/>
        </w:rPr>
        <w:drawing>
          <wp:inline distT="0" distB="0" distL="0" distR="0">
            <wp:extent cx="6643103" cy="2933700"/>
            <wp:effectExtent l="19050" t="0" r="5347" b="0"/>
            <wp:docPr id="192"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3" cstate="print"/>
                    <a:srcRect/>
                    <a:stretch>
                      <a:fillRect/>
                    </a:stretch>
                  </pic:blipFill>
                  <pic:spPr bwMode="auto">
                    <a:xfrm>
                      <a:off x="0" y="0"/>
                      <a:ext cx="6645910" cy="2934940"/>
                    </a:xfrm>
                    <a:prstGeom prst="rect">
                      <a:avLst/>
                    </a:prstGeom>
                    <a:noFill/>
                    <a:ln w="9525">
                      <a:noFill/>
                      <a:miter lim="800000"/>
                      <a:headEnd/>
                      <a:tailEnd/>
                    </a:ln>
                  </pic:spPr>
                </pic:pic>
              </a:graphicData>
            </a:graphic>
          </wp:inline>
        </w:drawing>
      </w:r>
    </w:p>
    <w:p w:rsidR="00785663" w:rsidRDefault="00785663" w:rsidP="00785663">
      <w:pPr>
        <w:jc w:val="both"/>
        <w:rPr>
          <w:rFonts w:asciiTheme="minorHAnsi" w:hAnsiTheme="minorHAnsi" w:cstheme="minorHAnsi"/>
          <w:sz w:val="22"/>
          <w:szCs w:val="22"/>
        </w:rPr>
      </w:pPr>
    </w:p>
    <w:p w:rsidR="00785663" w:rsidRDefault="00785663" w:rsidP="00785663">
      <w:pPr>
        <w:jc w:val="both"/>
        <w:rPr>
          <w:rFonts w:asciiTheme="minorHAnsi" w:hAnsiTheme="minorHAnsi" w:cstheme="minorHAnsi"/>
          <w:sz w:val="22"/>
          <w:szCs w:val="22"/>
        </w:rPr>
      </w:pPr>
    </w:p>
    <w:p w:rsidR="00785663" w:rsidRDefault="00785663" w:rsidP="00080DD0">
      <w:pPr>
        <w:jc w:val="both"/>
        <w:rPr>
          <w:rFonts w:asciiTheme="minorHAnsi" w:hAnsiTheme="minorHAnsi" w:cstheme="minorHAnsi"/>
          <w:sz w:val="22"/>
          <w:szCs w:val="22"/>
        </w:rPr>
      </w:pPr>
      <w:r w:rsidRPr="00E27C08">
        <w:rPr>
          <w:rFonts w:asciiTheme="minorHAnsi" w:hAnsiTheme="minorHAnsi" w:cstheme="minorHAnsi"/>
          <w:sz w:val="22"/>
          <w:szCs w:val="22"/>
        </w:rPr>
        <w:t>Le mo</w:t>
      </w:r>
      <w:r>
        <w:rPr>
          <w:rFonts w:asciiTheme="minorHAnsi" w:hAnsiTheme="minorHAnsi" w:cstheme="minorHAnsi"/>
          <w:sz w:val="22"/>
          <w:szCs w:val="22"/>
        </w:rPr>
        <w:t>ntant moyen de l’investissement en 2012 est de 1 873 995 MRO par projet, soit largement au-dessus de la moyenne régionale et nationale. Bien qu’en léger retrait par rapport à 2011 en raison de l’augmentation du nombre de projets (passant de 20 à 25), nous sommes en présence d’un taux significatif de la</w:t>
      </w:r>
      <w:r w:rsidRPr="00E27C08">
        <w:rPr>
          <w:rFonts w:asciiTheme="minorHAnsi" w:hAnsiTheme="minorHAnsi" w:cstheme="minorHAnsi"/>
          <w:sz w:val="22"/>
          <w:szCs w:val="22"/>
        </w:rPr>
        <w:t xml:space="preserve"> volonté</w:t>
      </w:r>
      <w:r>
        <w:rPr>
          <w:rFonts w:asciiTheme="minorHAnsi" w:hAnsiTheme="minorHAnsi" w:cstheme="minorHAnsi"/>
          <w:sz w:val="22"/>
          <w:szCs w:val="22"/>
        </w:rPr>
        <w:t xml:space="preserve"> constatée au cours des différents exercices</w:t>
      </w:r>
      <w:r w:rsidRPr="00E27C08">
        <w:rPr>
          <w:rFonts w:asciiTheme="minorHAnsi" w:hAnsiTheme="minorHAnsi" w:cstheme="minorHAnsi"/>
          <w:sz w:val="22"/>
          <w:szCs w:val="22"/>
        </w:rPr>
        <w:t xml:space="preserve"> de privilégier l’importance et/ou la qualité des investissements.</w:t>
      </w:r>
      <w:r>
        <w:rPr>
          <w:rFonts w:asciiTheme="minorHAnsi" w:hAnsiTheme="minorHAnsi" w:cstheme="minorHAnsi"/>
          <w:sz w:val="22"/>
          <w:szCs w:val="22"/>
        </w:rPr>
        <w:t xml:space="preserve"> </w:t>
      </w:r>
    </w:p>
    <w:p w:rsidR="00E46514" w:rsidRDefault="00E46514" w:rsidP="00080DD0">
      <w:pPr>
        <w:jc w:val="both"/>
        <w:rPr>
          <w:rFonts w:asciiTheme="minorHAnsi" w:hAnsiTheme="minorHAnsi" w:cstheme="minorHAnsi"/>
          <w:sz w:val="22"/>
          <w:szCs w:val="22"/>
        </w:rPr>
      </w:pPr>
    </w:p>
    <w:p w:rsidR="00E46514" w:rsidRDefault="00E46514" w:rsidP="00080DD0">
      <w:pPr>
        <w:jc w:val="both"/>
        <w:rPr>
          <w:rFonts w:asciiTheme="minorHAnsi" w:hAnsiTheme="minorHAnsi" w:cstheme="minorHAnsi"/>
          <w:sz w:val="22"/>
          <w:szCs w:val="22"/>
        </w:rPr>
      </w:pPr>
    </w:p>
    <w:p w:rsidR="00E46514" w:rsidRDefault="00E46514" w:rsidP="00080DD0">
      <w:pPr>
        <w:jc w:val="both"/>
        <w:rPr>
          <w:rFonts w:asciiTheme="minorHAnsi" w:hAnsiTheme="minorHAnsi" w:cstheme="minorHAnsi"/>
          <w:sz w:val="22"/>
          <w:szCs w:val="22"/>
        </w:rPr>
      </w:pPr>
    </w:p>
    <w:p w:rsidR="00E46514" w:rsidRPr="00E27C08" w:rsidRDefault="00E46514" w:rsidP="00E46514">
      <w:pPr>
        <w:jc w:val="both"/>
        <w:rPr>
          <w:rFonts w:asciiTheme="minorHAnsi" w:hAnsiTheme="minorHAnsi" w:cstheme="minorHAnsi"/>
          <w:sz w:val="22"/>
          <w:szCs w:val="22"/>
        </w:rPr>
      </w:pPr>
      <w:r>
        <w:rPr>
          <w:rFonts w:asciiTheme="minorHAnsi" w:hAnsiTheme="minorHAnsi" w:cstheme="minorHAnsi"/>
          <w:sz w:val="22"/>
          <w:szCs w:val="22"/>
        </w:rPr>
        <w:t>Lesquels concernent les bâtiments communaux à hauteur de 20 039 088 MRO (8 projets), soit 42,77%, suivi des secteurs de l’éducation (32.42%, 5 projets pour 15 190 120 MRO) et de l’hydraulique (16.53%, 6 projets pour 7 746 000 MRO).</w:t>
      </w:r>
    </w:p>
    <w:p w:rsidR="00E46514" w:rsidRDefault="00E46514" w:rsidP="00080DD0">
      <w:pPr>
        <w:jc w:val="both"/>
        <w:rPr>
          <w:rFonts w:asciiTheme="minorHAnsi" w:hAnsiTheme="minorHAnsi" w:cstheme="minorHAnsi"/>
          <w:sz w:val="22"/>
          <w:szCs w:val="22"/>
        </w:rPr>
      </w:pPr>
    </w:p>
    <w:p w:rsidR="00080DD0" w:rsidRDefault="00080DD0" w:rsidP="00080DD0">
      <w:pPr>
        <w:jc w:val="both"/>
        <w:rPr>
          <w:rFonts w:asciiTheme="minorHAnsi" w:hAnsiTheme="minorHAnsi" w:cstheme="minorHAnsi"/>
          <w:sz w:val="22"/>
          <w:szCs w:val="22"/>
        </w:rPr>
      </w:pPr>
      <w:r w:rsidRPr="006D17F3">
        <w:rPr>
          <w:rFonts w:asciiTheme="minorHAnsi" w:hAnsiTheme="minorHAnsi" w:cstheme="minorHAnsi"/>
          <w:noProof/>
          <w:sz w:val="22"/>
          <w:szCs w:val="22"/>
        </w:rPr>
        <w:drawing>
          <wp:inline distT="0" distB="0" distL="0" distR="0">
            <wp:extent cx="6610349" cy="3105150"/>
            <wp:effectExtent l="19050" t="0" r="1" b="0"/>
            <wp:docPr id="48"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cstate="print"/>
                    <a:stretch>
                      <a:fillRect/>
                    </a:stretch>
                  </pic:blipFill>
                  <pic:spPr>
                    <a:xfrm>
                      <a:off x="0" y="0"/>
                      <a:ext cx="6609524" cy="3104762"/>
                    </a:xfrm>
                    <a:prstGeom prst="rect">
                      <a:avLst/>
                    </a:prstGeom>
                  </pic:spPr>
                </pic:pic>
              </a:graphicData>
            </a:graphic>
          </wp:inline>
        </w:drawing>
      </w:r>
    </w:p>
    <w:p w:rsidR="00080DD0" w:rsidRPr="00E27C08" w:rsidRDefault="00B14550" w:rsidP="00080DD0">
      <w:pPr>
        <w:jc w:val="both"/>
        <w:rPr>
          <w:rFonts w:asciiTheme="minorHAnsi" w:hAnsiTheme="minorHAnsi" w:cstheme="minorHAnsi"/>
          <w:sz w:val="22"/>
          <w:szCs w:val="22"/>
        </w:rPr>
      </w:pPr>
      <w:r w:rsidRPr="00B14550">
        <w:rPr>
          <w:noProof/>
        </w:rPr>
        <w:drawing>
          <wp:inline distT="0" distB="0" distL="0" distR="0">
            <wp:extent cx="6610350" cy="2495550"/>
            <wp:effectExtent l="19050" t="0" r="0" b="0"/>
            <wp:docPr id="125"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cstate="print"/>
                    <a:stretch>
                      <a:fillRect/>
                    </a:stretch>
                  </pic:blipFill>
                  <pic:spPr>
                    <a:xfrm>
                      <a:off x="0" y="0"/>
                      <a:ext cx="6610350" cy="2495550"/>
                    </a:xfrm>
                    <a:prstGeom prst="rect">
                      <a:avLst/>
                    </a:prstGeom>
                  </pic:spPr>
                </pic:pic>
              </a:graphicData>
            </a:graphic>
          </wp:inline>
        </w:drawing>
      </w:r>
    </w:p>
    <w:p w:rsidR="00080DD0" w:rsidRPr="00E27C08" w:rsidRDefault="00080DD0" w:rsidP="00080DD0">
      <w:pPr>
        <w:jc w:val="both"/>
        <w:rPr>
          <w:rFonts w:asciiTheme="minorHAnsi" w:hAnsiTheme="minorHAnsi" w:cstheme="minorHAnsi"/>
          <w:sz w:val="22"/>
          <w:szCs w:val="22"/>
        </w:rPr>
      </w:pPr>
    </w:p>
    <w:p w:rsidR="00080DD0" w:rsidRDefault="00080DD0" w:rsidP="00080DD0">
      <w:pPr>
        <w:jc w:val="both"/>
        <w:rPr>
          <w:rFonts w:asciiTheme="minorHAnsi" w:hAnsiTheme="minorHAnsi" w:cstheme="minorHAnsi"/>
          <w:sz w:val="22"/>
          <w:szCs w:val="22"/>
        </w:rPr>
      </w:pPr>
    </w:p>
    <w:p w:rsidR="00E46514" w:rsidRDefault="00E46514" w:rsidP="00080DD0">
      <w:pPr>
        <w:jc w:val="both"/>
        <w:rPr>
          <w:rFonts w:asciiTheme="minorHAnsi" w:hAnsiTheme="minorHAnsi" w:cstheme="minorHAnsi"/>
          <w:sz w:val="22"/>
          <w:szCs w:val="22"/>
        </w:rPr>
      </w:pPr>
    </w:p>
    <w:p w:rsidR="00E46514" w:rsidRDefault="00E46514" w:rsidP="00080DD0">
      <w:pPr>
        <w:jc w:val="both"/>
        <w:rPr>
          <w:rFonts w:asciiTheme="minorHAnsi" w:hAnsiTheme="minorHAnsi" w:cstheme="minorHAnsi"/>
          <w:sz w:val="22"/>
          <w:szCs w:val="22"/>
        </w:rPr>
      </w:pPr>
    </w:p>
    <w:p w:rsidR="00080DD0" w:rsidRPr="00E27C08" w:rsidRDefault="001246CD" w:rsidP="00080DD0">
      <w:pPr>
        <w:ind w:left="360"/>
        <w:jc w:val="center"/>
        <w:rPr>
          <w:rFonts w:asciiTheme="minorHAnsi" w:hAnsiTheme="minorHAnsi" w:cstheme="minorHAnsi"/>
          <w:sz w:val="22"/>
          <w:szCs w:val="22"/>
          <w:u w:val="single"/>
        </w:rPr>
      </w:pPr>
      <w:proofErr w:type="spellStart"/>
      <w:r>
        <w:rPr>
          <w:rFonts w:asciiTheme="minorHAnsi" w:hAnsiTheme="minorHAnsi" w:cstheme="minorHAnsi"/>
          <w:b/>
          <w:sz w:val="22"/>
          <w:szCs w:val="22"/>
          <w:u w:val="single"/>
        </w:rPr>
        <w:t>Moughataa</w:t>
      </w:r>
      <w:proofErr w:type="spellEnd"/>
      <w:r w:rsidR="00080DD0" w:rsidRPr="00E27C08">
        <w:rPr>
          <w:rFonts w:asciiTheme="minorHAnsi" w:hAnsiTheme="minorHAnsi" w:cstheme="minorHAnsi"/>
          <w:b/>
          <w:sz w:val="22"/>
          <w:szCs w:val="22"/>
          <w:u w:val="single"/>
        </w:rPr>
        <w:t xml:space="preserve"> de </w:t>
      </w:r>
      <w:proofErr w:type="spellStart"/>
      <w:r w:rsidR="00080DD0" w:rsidRPr="00E27C08">
        <w:rPr>
          <w:rFonts w:asciiTheme="minorHAnsi" w:hAnsiTheme="minorHAnsi" w:cstheme="minorHAnsi"/>
          <w:b/>
          <w:sz w:val="22"/>
          <w:szCs w:val="22"/>
          <w:u w:val="single"/>
        </w:rPr>
        <w:t>Timbédra</w:t>
      </w:r>
      <w:proofErr w:type="spellEnd"/>
    </w:p>
    <w:p w:rsidR="00080DD0" w:rsidRPr="00E27C08" w:rsidRDefault="00080DD0" w:rsidP="00080DD0">
      <w:pPr>
        <w:jc w:val="both"/>
        <w:rPr>
          <w:rFonts w:asciiTheme="minorHAnsi" w:hAnsiTheme="minorHAnsi" w:cstheme="minorHAnsi"/>
          <w:sz w:val="22"/>
          <w:szCs w:val="22"/>
        </w:rPr>
      </w:pPr>
    </w:p>
    <w:p w:rsidR="00080DD0" w:rsidRPr="00E27C08" w:rsidRDefault="00080DD0" w:rsidP="00080DD0">
      <w:pPr>
        <w:jc w:val="both"/>
        <w:rPr>
          <w:rFonts w:asciiTheme="minorHAnsi" w:hAnsiTheme="minorHAnsi" w:cstheme="minorHAnsi"/>
          <w:sz w:val="22"/>
          <w:szCs w:val="22"/>
        </w:rPr>
      </w:pPr>
      <w:r w:rsidRPr="00E27C08">
        <w:rPr>
          <w:rFonts w:asciiTheme="minorHAnsi" w:hAnsiTheme="minorHAnsi" w:cstheme="minorHAnsi"/>
          <w:sz w:val="22"/>
          <w:szCs w:val="22"/>
        </w:rPr>
        <w:t xml:space="preserve">Les communes de la </w:t>
      </w:r>
      <w:proofErr w:type="spellStart"/>
      <w:r w:rsidR="001246CD">
        <w:rPr>
          <w:rFonts w:asciiTheme="minorHAnsi" w:hAnsiTheme="minorHAnsi" w:cstheme="minorHAnsi"/>
          <w:sz w:val="22"/>
          <w:szCs w:val="22"/>
        </w:rPr>
        <w:t>Moughataa</w:t>
      </w:r>
      <w:proofErr w:type="spellEnd"/>
      <w:r w:rsidRPr="00E27C08">
        <w:rPr>
          <w:rFonts w:asciiTheme="minorHAnsi" w:hAnsiTheme="minorHAnsi" w:cstheme="minorHAnsi"/>
          <w:sz w:val="22"/>
          <w:szCs w:val="22"/>
        </w:rPr>
        <w:t xml:space="preserve"> de </w:t>
      </w:r>
      <w:proofErr w:type="spellStart"/>
      <w:r w:rsidRPr="00E27C08">
        <w:rPr>
          <w:rFonts w:asciiTheme="minorHAnsi" w:hAnsiTheme="minorHAnsi" w:cstheme="minorHAnsi"/>
          <w:sz w:val="22"/>
          <w:szCs w:val="22"/>
        </w:rPr>
        <w:t>Timb</w:t>
      </w:r>
      <w:r w:rsidR="0032654E">
        <w:rPr>
          <w:rFonts w:asciiTheme="minorHAnsi" w:hAnsiTheme="minorHAnsi" w:cstheme="minorHAnsi"/>
          <w:sz w:val="22"/>
          <w:szCs w:val="22"/>
        </w:rPr>
        <w:t>édra</w:t>
      </w:r>
      <w:proofErr w:type="spellEnd"/>
      <w:r w:rsidR="0032654E">
        <w:rPr>
          <w:rFonts w:asciiTheme="minorHAnsi" w:hAnsiTheme="minorHAnsi" w:cstheme="minorHAnsi"/>
          <w:sz w:val="22"/>
          <w:szCs w:val="22"/>
        </w:rPr>
        <w:t xml:space="preserve"> ont bénéficié d’un FRD 2012 pour l’équipement de 60 339 965</w:t>
      </w:r>
      <w:r w:rsidRPr="00E27C08">
        <w:rPr>
          <w:rFonts w:asciiTheme="minorHAnsi" w:hAnsiTheme="minorHAnsi" w:cstheme="minorHAnsi"/>
          <w:sz w:val="22"/>
          <w:szCs w:val="22"/>
        </w:rPr>
        <w:t xml:space="preserve"> </w:t>
      </w:r>
      <w:r w:rsidR="0032654E">
        <w:rPr>
          <w:rFonts w:asciiTheme="minorHAnsi" w:hAnsiTheme="minorHAnsi" w:cstheme="minorHAnsi"/>
          <w:sz w:val="22"/>
          <w:szCs w:val="22"/>
        </w:rPr>
        <w:t>MRO (+16,67 % par rapport à 2011</w:t>
      </w:r>
      <w:r w:rsidRPr="00E27C08">
        <w:rPr>
          <w:rFonts w:asciiTheme="minorHAnsi" w:hAnsiTheme="minorHAnsi" w:cstheme="minorHAnsi"/>
          <w:sz w:val="22"/>
          <w:szCs w:val="22"/>
        </w:rPr>
        <w:t xml:space="preserve">). </w:t>
      </w:r>
    </w:p>
    <w:p w:rsidR="00080DD0" w:rsidRPr="005B0084" w:rsidRDefault="00080DD0" w:rsidP="00080DD0">
      <w:pPr>
        <w:jc w:val="both"/>
        <w:rPr>
          <w:rFonts w:asciiTheme="minorHAnsi" w:hAnsiTheme="minorHAnsi" w:cstheme="minorHAnsi"/>
          <w:b/>
          <w:sz w:val="22"/>
          <w:szCs w:val="22"/>
        </w:rPr>
      </w:pPr>
      <w:r w:rsidRPr="00E27C08">
        <w:rPr>
          <w:rFonts w:asciiTheme="minorHAnsi" w:hAnsiTheme="minorHAnsi" w:cstheme="minorHAnsi"/>
          <w:sz w:val="22"/>
          <w:szCs w:val="22"/>
        </w:rPr>
        <w:t>U</w:t>
      </w:r>
      <w:r w:rsidR="0032654E">
        <w:rPr>
          <w:rFonts w:asciiTheme="minorHAnsi" w:hAnsiTheme="minorHAnsi" w:cstheme="minorHAnsi"/>
          <w:sz w:val="22"/>
          <w:szCs w:val="22"/>
        </w:rPr>
        <w:t>n engagement total de 60 339 965</w:t>
      </w:r>
      <w:r w:rsidRPr="00E27C08">
        <w:rPr>
          <w:rFonts w:asciiTheme="minorHAnsi" w:hAnsiTheme="minorHAnsi" w:cstheme="minorHAnsi"/>
          <w:sz w:val="22"/>
          <w:szCs w:val="22"/>
        </w:rPr>
        <w:t xml:space="preserve"> MRO a été réalisé pour la réalisation de </w:t>
      </w:r>
      <w:r w:rsidR="0032654E">
        <w:rPr>
          <w:rFonts w:asciiTheme="minorHAnsi" w:hAnsiTheme="minorHAnsi" w:cstheme="minorHAnsi"/>
          <w:b/>
          <w:sz w:val="22"/>
          <w:szCs w:val="22"/>
        </w:rPr>
        <w:t>39</w:t>
      </w:r>
      <w:r w:rsidRPr="005B0084">
        <w:rPr>
          <w:rFonts w:asciiTheme="minorHAnsi" w:hAnsiTheme="minorHAnsi" w:cstheme="minorHAnsi"/>
          <w:b/>
          <w:sz w:val="22"/>
          <w:szCs w:val="22"/>
        </w:rPr>
        <w:t xml:space="preserve"> projets</w:t>
      </w:r>
      <w:r w:rsidRPr="00E27C08">
        <w:rPr>
          <w:rFonts w:asciiTheme="minorHAnsi" w:hAnsiTheme="minorHAnsi" w:cstheme="minorHAnsi"/>
          <w:sz w:val="22"/>
          <w:szCs w:val="22"/>
        </w:rPr>
        <w:t xml:space="preserve">, soit un </w:t>
      </w:r>
      <w:r w:rsidRPr="005B0084">
        <w:rPr>
          <w:rFonts w:asciiTheme="minorHAnsi" w:hAnsiTheme="minorHAnsi" w:cstheme="minorHAnsi"/>
          <w:b/>
          <w:sz w:val="22"/>
          <w:szCs w:val="22"/>
        </w:rPr>
        <w:t>tau</w:t>
      </w:r>
      <w:r w:rsidR="0032654E">
        <w:rPr>
          <w:rFonts w:asciiTheme="minorHAnsi" w:hAnsiTheme="minorHAnsi" w:cstheme="minorHAnsi"/>
          <w:b/>
          <w:sz w:val="22"/>
          <w:szCs w:val="22"/>
        </w:rPr>
        <w:t>x d’absorption de 100</w:t>
      </w:r>
      <w:r w:rsidRPr="005B0084">
        <w:rPr>
          <w:rFonts w:asciiTheme="minorHAnsi" w:hAnsiTheme="minorHAnsi" w:cstheme="minorHAnsi"/>
          <w:b/>
          <w:sz w:val="22"/>
          <w:szCs w:val="22"/>
        </w:rPr>
        <w:t xml:space="preserve"> %.</w:t>
      </w:r>
    </w:p>
    <w:p w:rsidR="00080DD0" w:rsidRPr="00E27C08" w:rsidRDefault="00080DD0" w:rsidP="00080DD0">
      <w:pPr>
        <w:jc w:val="both"/>
        <w:rPr>
          <w:rFonts w:asciiTheme="minorHAnsi" w:hAnsiTheme="minorHAnsi" w:cstheme="minorHAnsi"/>
          <w:sz w:val="22"/>
          <w:szCs w:val="22"/>
        </w:rPr>
      </w:pPr>
    </w:p>
    <w:p w:rsidR="00080DD0" w:rsidRDefault="00080DD0" w:rsidP="00080DD0">
      <w:pPr>
        <w:jc w:val="both"/>
        <w:rPr>
          <w:rFonts w:asciiTheme="minorHAnsi" w:hAnsiTheme="minorHAnsi" w:cstheme="minorHAnsi"/>
          <w:b/>
          <w:sz w:val="22"/>
          <w:szCs w:val="22"/>
        </w:rPr>
      </w:pPr>
      <w:r w:rsidRPr="00B65FF9">
        <w:rPr>
          <w:noProof/>
        </w:rPr>
        <w:drawing>
          <wp:inline distT="0" distB="0" distL="0" distR="0">
            <wp:extent cx="3400425" cy="3286125"/>
            <wp:effectExtent l="19050" t="0" r="9525" b="0"/>
            <wp:docPr id="50"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cstate="print"/>
                    <a:stretch>
                      <a:fillRect/>
                    </a:stretch>
                  </pic:blipFill>
                  <pic:spPr>
                    <a:xfrm>
                      <a:off x="0" y="0"/>
                      <a:ext cx="3400000" cy="3285714"/>
                    </a:xfrm>
                    <a:prstGeom prst="rect">
                      <a:avLst/>
                    </a:prstGeom>
                  </pic:spPr>
                </pic:pic>
              </a:graphicData>
            </a:graphic>
          </wp:inline>
        </w:drawing>
      </w:r>
      <w:r w:rsidRPr="006D17F3">
        <w:rPr>
          <w:rFonts w:asciiTheme="minorHAnsi" w:hAnsiTheme="minorHAnsi" w:cstheme="minorHAnsi"/>
          <w:b/>
          <w:noProof/>
          <w:sz w:val="22"/>
          <w:szCs w:val="22"/>
        </w:rPr>
        <w:drawing>
          <wp:inline distT="0" distB="0" distL="0" distR="0">
            <wp:extent cx="3181350" cy="3286125"/>
            <wp:effectExtent l="19050" t="0" r="0" b="0"/>
            <wp:docPr id="51"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print"/>
                    <a:stretch>
                      <a:fillRect/>
                    </a:stretch>
                  </pic:blipFill>
                  <pic:spPr>
                    <a:xfrm>
                      <a:off x="0" y="0"/>
                      <a:ext cx="3180953" cy="3285715"/>
                    </a:xfrm>
                    <a:prstGeom prst="rect">
                      <a:avLst/>
                    </a:prstGeom>
                  </pic:spPr>
                </pic:pic>
              </a:graphicData>
            </a:graphic>
          </wp:inline>
        </w:drawing>
      </w:r>
    </w:p>
    <w:p w:rsidR="00E46514" w:rsidRDefault="00E46514" w:rsidP="00080DD0">
      <w:pPr>
        <w:jc w:val="both"/>
        <w:rPr>
          <w:rFonts w:asciiTheme="minorHAnsi" w:hAnsiTheme="minorHAnsi" w:cstheme="minorHAnsi"/>
          <w:b/>
          <w:sz w:val="22"/>
          <w:szCs w:val="22"/>
        </w:rPr>
      </w:pPr>
      <w:r w:rsidRPr="00E46514">
        <w:rPr>
          <w:noProof/>
          <w:szCs w:val="22"/>
        </w:rPr>
        <w:drawing>
          <wp:inline distT="0" distB="0" distL="0" distR="0">
            <wp:extent cx="6645910" cy="1520599"/>
            <wp:effectExtent l="19050" t="0" r="2540" b="0"/>
            <wp:docPr id="202"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8" cstate="print"/>
                    <a:srcRect/>
                    <a:stretch>
                      <a:fillRect/>
                    </a:stretch>
                  </pic:blipFill>
                  <pic:spPr bwMode="auto">
                    <a:xfrm>
                      <a:off x="0" y="0"/>
                      <a:ext cx="6645910" cy="1520599"/>
                    </a:xfrm>
                    <a:prstGeom prst="rect">
                      <a:avLst/>
                    </a:prstGeom>
                    <a:noFill/>
                    <a:ln w="9525">
                      <a:noFill/>
                      <a:miter lim="800000"/>
                      <a:headEnd/>
                      <a:tailEnd/>
                    </a:ln>
                  </pic:spPr>
                </pic:pic>
              </a:graphicData>
            </a:graphic>
          </wp:inline>
        </w:drawing>
      </w:r>
    </w:p>
    <w:p w:rsidR="00E46514" w:rsidRDefault="00E46514" w:rsidP="00E46514">
      <w:pPr>
        <w:jc w:val="both"/>
        <w:rPr>
          <w:rFonts w:asciiTheme="minorHAnsi" w:hAnsiTheme="minorHAnsi" w:cstheme="minorHAnsi"/>
          <w:sz w:val="22"/>
          <w:szCs w:val="22"/>
        </w:rPr>
      </w:pPr>
    </w:p>
    <w:p w:rsidR="00E46514" w:rsidRPr="00E27C08" w:rsidRDefault="00E46514" w:rsidP="00E46514">
      <w:pPr>
        <w:jc w:val="both"/>
        <w:rPr>
          <w:rFonts w:asciiTheme="minorHAnsi" w:hAnsiTheme="minorHAnsi" w:cstheme="minorHAnsi"/>
          <w:sz w:val="22"/>
          <w:szCs w:val="22"/>
        </w:rPr>
      </w:pPr>
      <w:r w:rsidRPr="00E27C08">
        <w:rPr>
          <w:rFonts w:asciiTheme="minorHAnsi" w:hAnsiTheme="minorHAnsi" w:cstheme="minorHAnsi"/>
          <w:sz w:val="22"/>
          <w:szCs w:val="22"/>
        </w:rPr>
        <w:t>Le montant moyen de l’in</w:t>
      </w:r>
      <w:r>
        <w:rPr>
          <w:rFonts w:asciiTheme="minorHAnsi" w:hAnsiTheme="minorHAnsi" w:cstheme="minorHAnsi"/>
          <w:sz w:val="22"/>
          <w:szCs w:val="22"/>
        </w:rPr>
        <w:t>vestissement est bien au-dessus de</w:t>
      </w:r>
      <w:r w:rsidRPr="00E27C08">
        <w:rPr>
          <w:rFonts w:asciiTheme="minorHAnsi" w:hAnsiTheme="minorHAnsi" w:cstheme="minorHAnsi"/>
          <w:sz w:val="22"/>
          <w:szCs w:val="22"/>
        </w:rPr>
        <w:t xml:space="preserve"> la moyenne régionale et nationale.</w:t>
      </w:r>
      <w:r>
        <w:rPr>
          <w:rFonts w:asciiTheme="minorHAnsi" w:hAnsiTheme="minorHAnsi" w:cstheme="minorHAnsi"/>
          <w:sz w:val="22"/>
          <w:szCs w:val="22"/>
        </w:rPr>
        <w:t xml:space="preserve"> Ce qui s’exp</w:t>
      </w:r>
      <w:r w:rsidR="00AE5AE7">
        <w:rPr>
          <w:rFonts w:asciiTheme="minorHAnsi" w:hAnsiTheme="minorHAnsi" w:cstheme="minorHAnsi"/>
          <w:sz w:val="22"/>
          <w:szCs w:val="22"/>
        </w:rPr>
        <w:t>lique par la réduction</w:t>
      </w:r>
      <w:r>
        <w:rPr>
          <w:rFonts w:asciiTheme="minorHAnsi" w:hAnsiTheme="minorHAnsi" w:cstheme="minorHAnsi"/>
          <w:sz w:val="22"/>
          <w:szCs w:val="22"/>
        </w:rPr>
        <w:t xml:space="preserve"> drastique du nombre de projets : passant de 62 à 39, avec pour conséquence une augmentation du montant par projet passant de 1 081 496 MRO en 2011 à 1 547 179 MRO en 2012.</w:t>
      </w:r>
    </w:p>
    <w:p w:rsidR="00E46514" w:rsidRPr="00E27C08" w:rsidRDefault="00E46514" w:rsidP="00080DD0">
      <w:pPr>
        <w:jc w:val="both"/>
        <w:rPr>
          <w:rFonts w:asciiTheme="minorHAnsi" w:hAnsiTheme="minorHAnsi" w:cstheme="minorHAnsi"/>
          <w:b/>
          <w:sz w:val="22"/>
          <w:szCs w:val="22"/>
        </w:rPr>
      </w:pPr>
    </w:p>
    <w:p w:rsidR="00080DD0" w:rsidRPr="00E27C08" w:rsidRDefault="00080DD0" w:rsidP="00080DD0">
      <w:pPr>
        <w:jc w:val="both"/>
        <w:rPr>
          <w:rFonts w:asciiTheme="minorHAnsi" w:hAnsiTheme="minorHAnsi" w:cstheme="minorHAnsi"/>
          <w:b/>
          <w:sz w:val="22"/>
          <w:szCs w:val="22"/>
        </w:rPr>
      </w:pPr>
      <w:r w:rsidRPr="006D17F3">
        <w:rPr>
          <w:rFonts w:asciiTheme="minorHAnsi" w:hAnsiTheme="minorHAnsi" w:cstheme="minorHAnsi"/>
          <w:b/>
          <w:noProof/>
          <w:sz w:val="22"/>
          <w:szCs w:val="22"/>
        </w:rPr>
        <w:drawing>
          <wp:inline distT="0" distB="0" distL="0" distR="0">
            <wp:extent cx="6610350" cy="3438525"/>
            <wp:effectExtent l="19050" t="0" r="0" b="0"/>
            <wp:docPr id="52"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cstate="print"/>
                    <a:stretch>
                      <a:fillRect/>
                    </a:stretch>
                  </pic:blipFill>
                  <pic:spPr>
                    <a:xfrm>
                      <a:off x="0" y="0"/>
                      <a:ext cx="6609524" cy="3438095"/>
                    </a:xfrm>
                    <a:prstGeom prst="rect">
                      <a:avLst/>
                    </a:prstGeom>
                  </pic:spPr>
                </pic:pic>
              </a:graphicData>
            </a:graphic>
          </wp:inline>
        </w:drawing>
      </w:r>
    </w:p>
    <w:p w:rsidR="00080DD0" w:rsidRPr="00E27C08" w:rsidRDefault="00080DD0" w:rsidP="00080DD0">
      <w:pPr>
        <w:jc w:val="both"/>
        <w:rPr>
          <w:rFonts w:asciiTheme="minorHAnsi" w:hAnsiTheme="minorHAnsi" w:cstheme="minorHAnsi"/>
          <w:sz w:val="22"/>
          <w:szCs w:val="22"/>
        </w:rPr>
      </w:pPr>
    </w:p>
    <w:p w:rsidR="00080DD0" w:rsidRDefault="0032654E" w:rsidP="00080DD0">
      <w:pPr>
        <w:jc w:val="both"/>
        <w:rPr>
          <w:rFonts w:asciiTheme="minorHAnsi" w:hAnsiTheme="minorHAnsi" w:cstheme="minorHAnsi"/>
          <w:sz w:val="22"/>
          <w:szCs w:val="22"/>
        </w:rPr>
      </w:pPr>
      <w:r>
        <w:rPr>
          <w:rFonts w:asciiTheme="minorHAnsi" w:hAnsiTheme="minorHAnsi" w:cstheme="minorHAnsi"/>
          <w:sz w:val="22"/>
          <w:szCs w:val="22"/>
        </w:rPr>
        <w:t>Les secteurs les plus favorisés sont l’hydraulique à hauteur de 38,89%, soit 23 467 535 MRO. En deuxième position, le secteur de la santé avec 20,23% des engagements 2012. Puis l’éducation à hauteur de 19,69%.</w:t>
      </w:r>
    </w:p>
    <w:p w:rsidR="001334F6" w:rsidRDefault="001334F6" w:rsidP="00080DD0">
      <w:pPr>
        <w:jc w:val="both"/>
        <w:rPr>
          <w:rFonts w:asciiTheme="minorHAnsi" w:hAnsiTheme="minorHAnsi" w:cstheme="minorHAnsi"/>
          <w:sz w:val="22"/>
          <w:szCs w:val="22"/>
        </w:rPr>
      </w:pPr>
    </w:p>
    <w:p w:rsidR="00E46514" w:rsidRPr="00E27C08" w:rsidRDefault="00B14550" w:rsidP="00080DD0">
      <w:pPr>
        <w:jc w:val="both"/>
        <w:rPr>
          <w:rFonts w:asciiTheme="minorHAnsi" w:hAnsiTheme="minorHAnsi" w:cstheme="minorHAnsi"/>
          <w:sz w:val="22"/>
          <w:szCs w:val="22"/>
        </w:rPr>
      </w:pPr>
      <w:r w:rsidRPr="00B14550">
        <w:rPr>
          <w:noProof/>
        </w:rPr>
        <w:drawing>
          <wp:inline distT="0" distB="0" distL="0" distR="0">
            <wp:extent cx="6645910" cy="2886075"/>
            <wp:effectExtent l="19050" t="0" r="2540" b="0"/>
            <wp:docPr id="126"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cstate="print"/>
                    <a:stretch>
                      <a:fillRect/>
                    </a:stretch>
                  </pic:blipFill>
                  <pic:spPr>
                    <a:xfrm>
                      <a:off x="0" y="0"/>
                      <a:ext cx="6645910" cy="2886075"/>
                    </a:xfrm>
                    <a:prstGeom prst="rect">
                      <a:avLst/>
                    </a:prstGeom>
                  </pic:spPr>
                </pic:pic>
              </a:graphicData>
            </a:graphic>
          </wp:inline>
        </w:drawing>
      </w:r>
    </w:p>
    <w:p w:rsidR="00080DD0" w:rsidRPr="00E27C08" w:rsidRDefault="00080DD0" w:rsidP="00080DD0">
      <w:pPr>
        <w:jc w:val="both"/>
        <w:rPr>
          <w:rFonts w:asciiTheme="minorHAnsi" w:hAnsiTheme="minorHAnsi" w:cstheme="minorHAnsi"/>
          <w:sz w:val="22"/>
          <w:szCs w:val="22"/>
        </w:rPr>
      </w:pPr>
    </w:p>
    <w:p w:rsidR="00080DD0" w:rsidRDefault="00080DD0" w:rsidP="00A27296">
      <w:pPr>
        <w:rPr>
          <w:rFonts w:asciiTheme="minorHAnsi" w:hAnsiTheme="minorHAnsi" w:cstheme="minorHAnsi"/>
        </w:rPr>
      </w:pPr>
    </w:p>
    <w:p w:rsidR="0032654E" w:rsidRDefault="0032654E" w:rsidP="00A27296">
      <w:pPr>
        <w:rPr>
          <w:rFonts w:asciiTheme="minorHAnsi" w:hAnsiTheme="minorHAnsi" w:cstheme="minorHAnsi"/>
        </w:rPr>
      </w:pPr>
    </w:p>
    <w:p w:rsidR="0032654E" w:rsidRDefault="0032654E" w:rsidP="00A27296">
      <w:pPr>
        <w:rPr>
          <w:rFonts w:asciiTheme="minorHAnsi" w:hAnsiTheme="minorHAnsi" w:cstheme="minorHAnsi"/>
        </w:rPr>
      </w:pPr>
    </w:p>
    <w:p w:rsidR="0032654E" w:rsidRDefault="0032654E" w:rsidP="00654AA3">
      <w:pPr>
        <w:spacing w:after="200" w:line="276" w:lineRule="auto"/>
        <w:rPr>
          <w:rFonts w:asciiTheme="minorHAnsi" w:hAnsiTheme="minorHAnsi" w:cstheme="minorHAnsi"/>
        </w:rPr>
      </w:pPr>
      <w:r>
        <w:rPr>
          <w:rFonts w:asciiTheme="minorHAnsi" w:hAnsiTheme="minorHAnsi" w:cstheme="minorHAnsi"/>
        </w:rPr>
        <w:br w:type="page"/>
      </w:r>
    </w:p>
    <w:p w:rsidR="00A27296" w:rsidRPr="00DA6062" w:rsidRDefault="001246CD" w:rsidP="00DA606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2D050"/>
        <w:rPr>
          <w:rFonts w:asciiTheme="minorHAnsi" w:hAnsiTheme="minorHAnsi" w:cstheme="minorHAnsi"/>
          <w:b/>
          <w:smallCaps/>
          <w:sz w:val="28"/>
          <w:szCs w:val="28"/>
        </w:rPr>
      </w:pPr>
      <w:r>
        <w:rPr>
          <w:rFonts w:asciiTheme="minorHAnsi" w:hAnsiTheme="minorHAnsi" w:cstheme="minorHAnsi"/>
          <w:b/>
          <w:smallCaps/>
          <w:sz w:val="28"/>
          <w:szCs w:val="28"/>
        </w:rPr>
        <w:t>Wilaya</w:t>
      </w:r>
      <w:r w:rsidR="00A27296" w:rsidRPr="00DA6062">
        <w:rPr>
          <w:rFonts w:asciiTheme="minorHAnsi" w:hAnsiTheme="minorHAnsi" w:cstheme="minorHAnsi"/>
          <w:b/>
          <w:smallCaps/>
          <w:sz w:val="28"/>
          <w:szCs w:val="28"/>
        </w:rPr>
        <w:t xml:space="preserve"> du </w:t>
      </w:r>
      <w:proofErr w:type="spellStart"/>
      <w:r w:rsidR="00A27296" w:rsidRPr="00DA6062">
        <w:rPr>
          <w:rFonts w:asciiTheme="minorHAnsi" w:hAnsiTheme="minorHAnsi" w:cstheme="minorHAnsi"/>
          <w:b/>
          <w:smallCaps/>
          <w:sz w:val="28"/>
          <w:szCs w:val="28"/>
        </w:rPr>
        <w:t>Hodh</w:t>
      </w:r>
      <w:proofErr w:type="spellEnd"/>
      <w:r w:rsidR="00A27296" w:rsidRPr="00DA6062">
        <w:rPr>
          <w:rFonts w:asciiTheme="minorHAnsi" w:hAnsiTheme="minorHAnsi" w:cstheme="minorHAnsi"/>
          <w:b/>
          <w:smallCaps/>
          <w:sz w:val="28"/>
          <w:szCs w:val="28"/>
        </w:rPr>
        <w:t xml:space="preserve"> El Gharbi</w:t>
      </w:r>
    </w:p>
    <w:p w:rsidR="002529BC" w:rsidRDefault="002529BC" w:rsidP="00A27296">
      <w:pPr>
        <w:jc w:val="both"/>
        <w:rPr>
          <w:rFonts w:asciiTheme="minorHAnsi" w:hAnsiTheme="minorHAnsi" w:cstheme="minorHAnsi"/>
        </w:rPr>
      </w:pPr>
    </w:p>
    <w:p w:rsidR="00654AA3" w:rsidRDefault="00654AA3" w:rsidP="00A27296">
      <w:pPr>
        <w:jc w:val="both"/>
        <w:rPr>
          <w:rFonts w:asciiTheme="minorHAnsi" w:hAnsiTheme="minorHAnsi" w:cstheme="minorHAnsi"/>
        </w:rPr>
      </w:pPr>
      <w:r w:rsidRPr="00654AA3">
        <w:rPr>
          <w:noProof/>
        </w:rPr>
        <w:drawing>
          <wp:inline distT="0" distB="0" distL="0" distR="0">
            <wp:extent cx="6638924" cy="3019425"/>
            <wp:effectExtent l="19050" t="0" r="0" b="0"/>
            <wp:docPr id="242"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cstate="print"/>
                    <a:stretch>
                      <a:fillRect/>
                    </a:stretch>
                  </pic:blipFill>
                  <pic:spPr>
                    <a:xfrm>
                      <a:off x="0" y="0"/>
                      <a:ext cx="6645434" cy="3022386"/>
                    </a:xfrm>
                    <a:prstGeom prst="rect">
                      <a:avLst/>
                    </a:prstGeom>
                  </pic:spPr>
                </pic:pic>
              </a:graphicData>
            </a:graphic>
          </wp:inline>
        </w:drawing>
      </w:r>
    </w:p>
    <w:p w:rsidR="00654AA3" w:rsidRDefault="00654AA3" w:rsidP="00A27296">
      <w:pPr>
        <w:jc w:val="both"/>
        <w:rPr>
          <w:rFonts w:asciiTheme="minorHAnsi" w:hAnsiTheme="minorHAnsi" w:cstheme="minorHAnsi"/>
        </w:rPr>
      </w:pPr>
    </w:p>
    <w:p w:rsidR="00A27296" w:rsidRDefault="00A27296" w:rsidP="00A27296">
      <w:pPr>
        <w:jc w:val="both"/>
        <w:rPr>
          <w:rFonts w:asciiTheme="minorHAnsi" w:hAnsiTheme="minorHAnsi" w:cstheme="minorHAnsi"/>
          <w:sz w:val="22"/>
          <w:szCs w:val="22"/>
        </w:rPr>
      </w:pPr>
      <w:r w:rsidRPr="00D355F3">
        <w:rPr>
          <w:rFonts w:asciiTheme="minorHAnsi" w:hAnsiTheme="minorHAnsi" w:cstheme="minorHAnsi"/>
          <w:sz w:val="22"/>
          <w:szCs w:val="22"/>
        </w:rPr>
        <w:t xml:space="preserve">La </w:t>
      </w:r>
      <w:r w:rsidR="001246CD">
        <w:rPr>
          <w:rFonts w:asciiTheme="minorHAnsi" w:hAnsiTheme="minorHAnsi" w:cstheme="minorHAnsi"/>
          <w:sz w:val="22"/>
          <w:szCs w:val="22"/>
        </w:rPr>
        <w:t>Wilaya</w:t>
      </w:r>
      <w:r w:rsidRPr="00D355F3">
        <w:rPr>
          <w:rFonts w:asciiTheme="minorHAnsi" w:hAnsiTheme="minorHAnsi" w:cstheme="minorHAnsi"/>
          <w:sz w:val="22"/>
          <w:szCs w:val="22"/>
        </w:rPr>
        <w:t xml:space="preserve"> du </w:t>
      </w:r>
      <w:proofErr w:type="spellStart"/>
      <w:r w:rsidRPr="00D355F3">
        <w:rPr>
          <w:rFonts w:asciiTheme="minorHAnsi" w:hAnsiTheme="minorHAnsi" w:cstheme="minorHAnsi"/>
          <w:sz w:val="22"/>
          <w:szCs w:val="22"/>
        </w:rPr>
        <w:t>Hodh</w:t>
      </w:r>
      <w:proofErr w:type="spellEnd"/>
      <w:r w:rsidRPr="00D355F3">
        <w:rPr>
          <w:rFonts w:asciiTheme="minorHAnsi" w:hAnsiTheme="minorHAnsi" w:cstheme="minorHAnsi"/>
          <w:sz w:val="22"/>
          <w:szCs w:val="22"/>
        </w:rPr>
        <w:t xml:space="preserve"> El Gharbi </w:t>
      </w:r>
      <w:r w:rsidR="00D835B5">
        <w:rPr>
          <w:rFonts w:asciiTheme="minorHAnsi" w:hAnsiTheme="minorHAnsi" w:cstheme="minorHAnsi"/>
          <w:sz w:val="22"/>
          <w:szCs w:val="22"/>
        </w:rPr>
        <w:t>a bénéficié pour l’exercice 2012</w:t>
      </w:r>
      <w:r w:rsidRPr="00D355F3">
        <w:rPr>
          <w:rFonts w:asciiTheme="minorHAnsi" w:hAnsiTheme="minorHAnsi" w:cstheme="minorHAnsi"/>
          <w:sz w:val="22"/>
          <w:szCs w:val="22"/>
        </w:rPr>
        <w:t xml:space="preserve"> d’un FRD équipement de </w:t>
      </w:r>
      <w:r w:rsidR="00D835B5">
        <w:rPr>
          <w:rFonts w:asciiTheme="minorHAnsi" w:hAnsiTheme="minorHAnsi" w:cstheme="minorHAnsi"/>
          <w:b/>
          <w:sz w:val="22"/>
          <w:szCs w:val="22"/>
        </w:rPr>
        <w:t>205 009 887</w:t>
      </w:r>
      <w:r w:rsidRPr="00D355F3">
        <w:rPr>
          <w:rFonts w:asciiTheme="minorHAnsi" w:hAnsiTheme="minorHAnsi" w:cstheme="minorHAnsi"/>
          <w:b/>
          <w:sz w:val="22"/>
          <w:szCs w:val="22"/>
        </w:rPr>
        <w:t xml:space="preserve"> </w:t>
      </w:r>
      <w:proofErr w:type="gramStart"/>
      <w:r w:rsidR="004871EA">
        <w:rPr>
          <w:rFonts w:asciiTheme="minorHAnsi" w:hAnsiTheme="minorHAnsi" w:cstheme="minorHAnsi"/>
          <w:b/>
          <w:sz w:val="22"/>
          <w:szCs w:val="22"/>
        </w:rPr>
        <w:t>ouguiya</w:t>
      </w:r>
      <w:proofErr w:type="gramEnd"/>
      <w:r w:rsidRPr="00D355F3">
        <w:rPr>
          <w:rFonts w:asciiTheme="minorHAnsi" w:hAnsiTheme="minorHAnsi" w:cstheme="minorHAnsi"/>
          <w:sz w:val="22"/>
          <w:szCs w:val="22"/>
        </w:rPr>
        <w:t xml:space="preserve">, soit une hausse de </w:t>
      </w:r>
      <w:r w:rsidR="00D835B5">
        <w:rPr>
          <w:rFonts w:asciiTheme="minorHAnsi" w:hAnsiTheme="minorHAnsi" w:cstheme="minorHAnsi"/>
          <w:b/>
          <w:sz w:val="22"/>
          <w:szCs w:val="22"/>
        </w:rPr>
        <w:t>15,73</w:t>
      </w:r>
      <w:r w:rsidRPr="00D355F3">
        <w:rPr>
          <w:rFonts w:asciiTheme="minorHAnsi" w:hAnsiTheme="minorHAnsi" w:cstheme="minorHAnsi"/>
          <w:b/>
          <w:sz w:val="22"/>
          <w:szCs w:val="22"/>
        </w:rPr>
        <w:t>%.</w:t>
      </w:r>
      <w:r w:rsidR="00D835B5">
        <w:rPr>
          <w:rFonts w:asciiTheme="minorHAnsi" w:hAnsiTheme="minorHAnsi" w:cstheme="minorHAnsi"/>
          <w:sz w:val="22"/>
          <w:szCs w:val="22"/>
        </w:rPr>
        <w:t xml:space="preserve"> 202 259 435 </w:t>
      </w:r>
      <w:proofErr w:type="gramStart"/>
      <w:r w:rsidR="004871EA">
        <w:rPr>
          <w:rFonts w:asciiTheme="minorHAnsi" w:hAnsiTheme="minorHAnsi" w:cstheme="minorHAnsi"/>
          <w:sz w:val="22"/>
          <w:szCs w:val="22"/>
        </w:rPr>
        <w:t>ouguiya</w:t>
      </w:r>
      <w:proofErr w:type="gramEnd"/>
      <w:r w:rsidR="00D835B5">
        <w:rPr>
          <w:rFonts w:asciiTheme="minorHAnsi" w:hAnsiTheme="minorHAnsi" w:cstheme="minorHAnsi"/>
          <w:sz w:val="22"/>
          <w:szCs w:val="22"/>
        </w:rPr>
        <w:t xml:space="preserve"> ont été engagés en 2012</w:t>
      </w:r>
      <w:r w:rsidRPr="00D355F3">
        <w:rPr>
          <w:rFonts w:asciiTheme="minorHAnsi" w:hAnsiTheme="minorHAnsi" w:cstheme="minorHAnsi"/>
          <w:sz w:val="22"/>
          <w:szCs w:val="22"/>
        </w:rPr>
        <w:t xml:space="preserve">, soit un </w:t>
      </w:r>
      <w:r w:rsidRPr="00D355F3">
        <w:rPr>
          <w:rFonts w:asciiTheme="minorHAnsi" w:hAnsiTheme="minorHAnsi" w:cstheme="minorHAnsi"/>
          <w:b/>
          <w:sz w:val="22"/>
          <w:szCs w:val="22"/>
        </w:rPr>
        <w:t>taux d’abs</w:t>
      </w:r>
      <w:r w:rsidR="00D835B5">
        <w:rPr>
          <w:rFonts w:asciiTheme="minorHAnsi" w:hAnsiTheme="minorHAnsi" w:cstheme="minorHAnsi"/>
          <w:b/>
          <w:sz w:val="22"/>
          <w:szCs w:val="22"/>
        </w:rPr>
        <w:t>orption de 98,66</w:t>
      </w:r>
      <w:r w:rsidRPr="00D355F3">
        <w:rPr>
          <w:rFonts w:asciiTheme="minorHAnsi" w:hAnsiTheme="minorHAnsi" w:cstheme="minorHAnsi"/>
          <w:b/>
          <w:sz w:val="22"/>
          <w:szCs w:val="22"/>
        </w:rPr>
        <w:t>%</w:t>
      </w:r>
      <w:r w:rsidR="00D835B5">
        <w:rPr>
          <w:rFonts w:asciiTheme="minorHAnsi" w:hAnsiTheme="minorHAnsi" w:cstheme="minorHAnsi"/>
          <w:sz w:val="22"/>
          <w:szCs w:val="22"/>
        </w:rPr>
        <w:t>.</w:t>
      </w:r>
    </w:p>
    <w:p w:rsidR="00D835B5" w:rsidRPr="00D355F3" w:rsidRDefault="00D835B5" w:rsidP="00A27296">
      <w:pPr>
        <w:jc w:val="both"/>
        <w:rPr>
          <w:rFonts w:asciiTheme="minorHAnsi" w:hAnsiTheme="minorHAnsi" w:cstheme="minorHAnsi"/>
          <w:sz w:val="22"/>
          <w:szCs w:val="22"/>
        </w:rPr>
      </w:pPr>
    </w:p>
    <w:p w:rsidR="00A27296" w:rsidRPr="00D355F3" w:rsidRDefault="00D835B5" w:rsidP="00A27296">
      <w:pPr>
        <w:jc w:val="both"/>
        <w:rPr>
          <w:rFonts w:asciiTheme="minorHAnsi" w:hAnsiTheme="minorHAnsi" w:cstheme="minorHAnsi"/>
          <w:sz w:val="22"/>
          <w:szCs w:val="22"/>
        </w:rPr>
      </w:pPr>
      <w:r>
        <w:rPr>
          <w:rFonts w:asciiTheme="minorHAnsi" w:hAnsiTheme="minorHAnsi" w:cstheme="minorHAnsi"/>
          <w:sz w:val="22"/>
          <w:szCs w:val="22"/>
        </w:rPr>
        <w:t>Ce taux d’absorption, compte tenu de l’abondement des crédits à hauteur de 15,73% au titre de l’exercice 2012 et du taux constaté au niveau national (plus de 5 points d’écart)</w:t>
      </w:r>
      <w:r w:rsidR="00A27296" w:rsidRPr="00D355F3">
        <w:rPr>
          <w:rFonts w:asciiTheme="minorHAnsi" w:hAnsiTheme="minorHAnsi" w:cstheme="minorHAnsi"/>
          <w:sz w:val="22"/>
          <w:szCs w:val="22"/>
        </w:rPr>
        <w:t xml:space="preserve"> est </w:t>
      </w:r>
      <w:r w:rsidR="00103842">
        <w:rPr>
          <w:rFonts w:asciiTheme="minorHAnsi" w:hAnsiTheme="minorHAnsi" w:cstheme="minorHAnsi"/>
          <w:sz w:val="22"/>
          <w:szCs w:val="22"/>
        </w:rPr>
        <w:t xml:space="preserve">globalement </w:t>
      </w:r>
      <w:r w:rsidR="002D4356">
        <w:rPr>
          <w:rFonts w:asciiTheme="minorHAnsi" w:hAnsiTheme="minorHAnsi" w:cstheme="minorHAnsi"/>
          <w:sz w:val="22"/>
          <w:szCs w:val="22"/>
        </w:rPr>
        <w:t>satisfaisant.</w:t>
      </w:r>
    </w:p>
    <w:p w:rsidR="00A27296" w:rsidRDefault="00A27296" w:rsidP="00A27296">
      <w:pPr>
        <w:jc w:val="both"/>
        <w:rPr>
          <w:rFonts w:asciiTheme="minorHAnsi" w:hAnsiTheme="minorHAnsi" w:cstheme="minorHAnsi"/>
          <w:sz w:val="22"/>
          <w:szCs w:val="22"/>
        </w:rPr>
      </w:pPr>
    </w:p>
    <w:p w:rsidR="00A27296" w:rsidRDefault="0025746B" w:rsidP="00A27296">
      <w:pPr>
        <w:jc w:val="both"/>
        <w:rPr>
          <w:rFonts w:asciiTheme="minorHAnsi" w:hAnsiTheme="minorHAnsi" w:cstheme="minorHAnsi"/>
          <w:sz w:val="22"/>
          <w:szCs w:val="22"/>
        </w:rPr>
      </w:pPr>
      <w:r w:rsidRPr="0025746B">
        <w:rPr>
          <w:noProof/>
          <w:szCs w:val="22"/>
        </w:rPr>
        <w:drawing>
          <wp:inline distT="0" distB="0" distL="0" distR="0">
            <wp:extent cx="6645910" cy="2980263"/>
            <wp:effectExtent l="19050" t="0" r="2540" b="0"/>
            <wp:docPr id="15"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2" cstate="print"/>
                    <a:srcRect/>
                    <a:stretch>
                      <a:fillRect/>
                    </a:stretch>
                  </pic:blipFill>
                  <pic:spPr bwMode="auto">
                    <a:xfrm>
                      <a:off x="0" y="0"/>
                      <a:ext cx="6645910" cy="2980263"/>
                    </a:xfrm>
                    <a:prstGeom prst="rect">
                      <a:avLst/>
                    </a:prstGeom>
                    <a:noFill/>
                    <a:ln w="9525">
                      <a:noFill/>
                      <a:miter lim="800000"/>
                      <a:headEnd/>
                      <a:tailEnd/>
                    </a:ln>
                  </pic:spPr>
                </pic:pic>
              </a:graphicData>
            </a:graphic>
          </wp:inline>
        </w:drawing>
      </w:r>
    </w:p>
    <w:p w:rsidR="00A27296" w:rsidRDefault="00A27296" w:rsidP="00A27296">
      <w:pPr>
        <w:jc w:val="both"/>
        <w:rPr>
          <w:rFonts w:asciiTheme="minorHAnsi" w:hAnsiTheme="minorHAnsi" w:cstheme="minorHAnsi"/>
          <w:sz w:val="22"/>
          <w:szCs w:val="22"/>
        </w:rPr>
      </w:pPr>
    </w:p>
    <w:p w:rsidR="002D4356" w:rsidRPr="00D355F3" w:rsidRDefault="00103842" w:rsidP="002D4356">
      <w:pPr>
        <w:jc w:val="both"/>
        <w:rPr>
          <w:rFonts w:asciiTheme="minorHAnsi" w:hAnsiTheme="minorHAnsi" w:cstheme="minorHAnsi"/>
          <w:sz w:val="22"/>
          <w:szCs w:val="22"/>
        </w:rPr>
      </w:pPr>
      <w:r>
        <w:rPr>
          <w:rFonts w:asciiTheme="minorHAnsi" w:hAnsiTheme="minorHAnsi" w:cstheme="minorHAnsi"/>
          <w:sz w:val="22"/>
          <w:szCs w:val="22"/>
        </w:rPr>
        <w:t>Ces engagements financiers 2012</w:t>
      </w:r>
      <w:r w:rsidR="002D4356" w:rsidRPr="00D355F3">
        <w:rPr>
          <w:rFonts w:asciiTheme="minorHAnsi" w:hAnsiTheme="minorHAnsi" w:cstheme="minorHAnsi"/>
          <w:sz w:val="22"/>
          <w:szCs w:val="22"/>
        </w:rPr>
        <w:t xml:space="preserve"> correspondent à </w:t>
      </w:r>
      <w:r>
        <w:rPr>
          <w:rFonts w:asciiTheme="minorHAnsi" w:hAnsiTheme="minorHAnsi" w:cstheme="minorHAnsi"/>
          <w:b/>
          <w:sz w:val="22"/>
          <w:szCs w:val="22"/>
        </w:rPr>
        <w:t>353</w:t>
      </w:r>
      <w:r w:rsidR="002D4356" w:rsidRPr="00D355F3">
        <w:rPr>
          <w:rFonts w:asciiTheme="minorHAnsi" w:hAnsiTheme="minorHAnsi" w:cstheme="minorHAnsi"/>
          <w:b/>
          <w:sz w:val="22"/>
          <w:szCs w:val="22"/>
        </w:rPr>
        <w:t xml:space="preserve"> projets</w:t>
      </w:r>
      <w:r w:rsidR="002D4356" w:rsidRPr="00D355F3">
        <w:rPr>
          <w:rFonts w:asciiTheme="minorHAnsi" w:hAnsiTheme="minorHAnsi" w:cstheme="minorHAnsi"/>
          <w:sz w:val="22"/>
          <w:szCs w:val="22"/>
        </w:rPr>
        <w:t>. Il s’agi</w:t>
      </w:r>
      <w:r>
        <w:rPr>
          <w:rFonts w:asciiTheme="minorHAnsi" w:hAnsiTheme="minorHAnsi" w:cstheme="minorHAnsi"/>
          <w:sz w:val="22"/>
          <w:szCs w:val="22"/>
        </w:rPr>
        <w:t>t d’un chiffre en hausse de près de 15% (+ 46</w:t>
      </w:r>
      <w:r w:rsidR="002D4356" w:rsidRPr="00D355F3">
        <w:rPr>
          <w:rFonts w:asciiTheme="minorHAnsi" w:hAnsiTheme="minorHAnsi" w:cstheme="minorHAnsi"/>
          <w:sz w:val="22"/>
          <w:szCs w:val="22"/>
        </w:rPr>
        <w:t xml:space="preserve"> projets). </w:t>
      </w:r>
    </w:p>
    <w:p w:rsidR="00A27296" w:rsidRDefault="00A27296" w:rsidP="00A27296">
      <w:pPr>
        <w:jc w:val="both"/>
        <w:rPr>
          <w:rFonts w:asciiTheme="minorHAnsi" w:hAnsiTheme="minorHAnsi" w:cstheme="minorHAnsi"/>
          <w:sz w:val="22"/>
          <w:szCs w:val="22"/>
        </w:rPr>
      </w:pPr>
    </w:p>
    <w:p w:rsidR="00A27296" w:rsidRDefault="0088179C" w:rsidP="00A27296">
      <w:pPr>
        <w:jc w:val="both"/>
        <w:rPr>
          <w:rFonts w:asciiTheme="minorHAnsi" w:hAnsiTheme="minorHAnsi" w:cstheme="minorHAnsi"/>
          <w:sz w:val="22"/>
          <w:szCs w:val="22"/>
        </w:rPr>
      </w:pPr>
      <w:r w:rsidRPr="0088179C">
        <w:rPr>
          <w:noProof/>
          <w:szCs w:val="22"/>
        </w:rPr>
        <w:drawing>
          <wp:inline distT="0" distB="0" distL="0" distR="0">
            <wp:extent cx="6124575" cy="3686175"/>
            <wp:effectExtent l="19050" t="0" r="9525" b="0"/>
            <wp:docPr id="216"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3" cstate="print"/>
                    <a:srcRect/>
                    <a:stretch>
                      <a:fillRect/>
                    </a:stretch>
                  </pic:blipFill>
                  <pic:spPr bwMode="auto">
                    <a:xfrm>
                      <a:off x="0" y="0"/>
                      <a:ext cx="6124575" cy="3686175"/>
                    </a:xfrm>
                    <a:prstGeom prst="rect">
                      <a:avLst/>
                    </a:prstGeom>
                    <a:noFill/>
                    <a:ln w="9525">
                      <a:noFill/>
                      <a:miter lim="800000"/>
                      <a:headEnd/>
                      <a:tailEnd/>
                    </a:ln>
                  </pic:spPr>
                </pic:pic>
              </a:graphicData>
            </a:graphic>
          </wp:inline>
        </w:drawing>
      </w:r>
    </w:p>
    <w:p w:rsidR="0088179C" w:rsidRDefault="0088179C" w:rsidP="00A27296">
      <w:pPr>
        <w:jc w:val="both"/>
        <w:rPr>
          <w:rFonts w:asciiTheme="minorHAnsi" w:hAnsiTheme="minorHAnsi" w:cstheme="minorHAnsi"/>
          <w:sz w:val="22"/>
          <w:szCs w:val="22"/>
        </w:rPr>
      </w:pPr>
    </w:p>
    <w:p w:rsidR="00103842" w:rsidRPr="00D355F3" w:rsidRDefault="00103842" w:rsidP="00103842">
      <w:pPr>
        <w:jc w:val="both"/>
        <w:rPr>
          <w:rFonts w:asciiTheme="minorHAnsi" w:hAnsiTheme="minorHAnsi" w:cstheme="minorHAnsi"/>
          <w:sz w:val="22"/>
          <w:szCs w:val="22"/>
        </w:rPr>
      </w:pPr>
      <w:r>
        <w:rPr>
          <w:rFonts w:asciiTheme="minorHAnsi" w:hAnsiTheme="minorHAnsi" w:cstheme="minorHAnsi"/>
          <w:sz w:val="22"/>
          <w:szCs w:val="22"/>
        </w:rPr>
        <w:t xml:space="preserve">Cette augmentation du nombre de projets explique par conséquent la légère diminution </w:t>
      </w:r>
      <w:r>
        <w:rPr>
          <w:rFonts w:asciiTheme="minorHAnsi" w:hAnsiTheme="minorHAnsi" w:cstheme="minorHAnsi"/>
          <w:b/>
          <w:sz w:val="22"/>
          <w:szCs w:val="22"/>
        </w:rPr>
        <w:t>du</w:t>
      </w:r>
      <w:r w:rsidRPr="00D355F3">
        <w:rPr>
          <w:rFonts w:asciiTheme="minorHAnsi" w:hAnsiTheme="minorHAnsi" w:cstheme="minorHAnsi"/>
          <w:b/>
          <w:sz w:val="22"/>
          <w:szCs w:val="22"/>
        </w:rPr>
        <w:t xml:space="preserve"> montant moyen de l’investissement par projet</w:t>
      </w:r>
      <w:r>
        <w:rPr>
          <w:rFonts w:asciiTheme="minorHAnsi" w:hAnsiTheme="minorHAnsi" w:cstheme="minorHAnsi"/>
          <w:sz w:val="22"/>
          <w:szCs w:val="22"/>
        </w:rPr>
        <w:t>, passant de 602 787 MRO en 2011 à 572</w:t>
      </w:r>
      <w:r w:rsidR="00A57009">
        <w:rPr>
          <w:rFonts w:asciiTheme="minorHAnsi" w:hAnsiTheme="minorHAnsi" w:cstheme="minorHAnsi"/>
          <w:sz w:val="22"/>
          <w:szCs w:val="22"/>
        </w:rPr>
        <w:t> 973 MRO en 2012. La tendance à</w:t>
      </w:r>
      <w:r>
        <w:rPr>
          <w:rFonts w:asciiTheme="minorHAnsi" w:hAnsiTheme="minorHAnsi" w:cstheme="minorHAnsi"/>
          <w:sz w:val="22"/>
          <w:szCs w:val="22"/>
        </w:rPr>
        <w:t xml:space="preserve"> la parcellisation de l’investissement est également une constante en ce qui concerne la </w:t>
      </w:r>
      <w:r w:rsidR="001246CD">
        <w:rPr>
          <w:rFonts w:asciiTheme="minorHAnsi" w:hAnsiTheme="minorHAnsi" w:cstheme="minorHAnsi"/>
          <w:sz w:val="22"/>
          <w:szCs w:val="22"/>
        </w:rPr>
        <w:t>Wilaya</w:t>
      </w:r>
      <w:r>
        <w:rPr>
          <w:rFonts w:asciiTheme="minorHAnsi" w:hAnsiTheme="minorHAnsi" w:cstheme="minorHAnsi"/>
          <w:sz w:val="22"/>
          <w:szCs w:val="22"/>
        </w:rPr>
        <w:t xml:space="preserve"> dans la mesure où la moyenne nationale représente peu ou prou le double du montant moyen. Ce sont en fait les très nombreux projets </w:t>
      </w:r>
      <w:r w:rsidR="00AF7034">
        <w:rPr>
          <w:rFonts w:asciiTheme="minorHAnsi" w:hAnsiTheme="minorHAnsi" w:cstheme="minorHAnsi"/>
          <w:sz w:val="22"/>
          <w:szCs w:val="22"/>
        </w:rPr>
        <w:t>en hydraulique, au nombre de 117 en 2012, qui avec une mo</w:t>
      </w:r>
      <w:r w:rsidR="00A57009">
        <w:rPr>
          <w:rFonts w:asciiTheme="minorHAnsi" w:hAnsiTheme="minorHAnsi" w:cstheme="minorHAnsi"/>
          <w:sz w:val="22"/>
          <w:szCs w:val="22"/>
        </w:rPr>
        <w:t>yenne de 427 290 MRO par projet</w:t>
      </w:r>
      <w:r w:rsidR="00AF7034">
        <w:rPr>
          <w:rFonts w:asciiTheme="minorHAnsi" w:hAnsiTheme="minorHAnsi" w:cstheme="minorHAnsi"/>
          <w:sz w:val="22"/>
          <w:szCs w:val="22"/>
        </w:rPr>
        <w:t xml:space="preserve"> tirent vers le bas la moyenne de la </w:t>
      </w:r>
      <w:r w:rsidR="001246CD">
        <w:rPr>
          <w:rFonts w:asciiTheme="minorHAnsi" w:hAnsiTheme="minorHAnsi" w:cstheme="minorHAnsi"/>
          <w:sz w:val="22"/>
          <w:szCs w:val="22"/>
        </w:rPr>
        <w:t>Wilaya</w:t>
      </w:r>
      <w:r w:rsidR="00AF7034">
        <w:rPr>
          <w:rFonts w:asciiTheme="minorHAnsi" w:hAnsiTheme="minorHAnsi" w:cstheme="minorHAnsi"/>
          <w:sz w:val="22"/>
          <w:szCs w:val="22"/>
        </w:rPr>
        <w:t>.</w:t>
      </w:r>
    </w:p>
    <w:p w:rsidR="00A27296" w:rsidRDefault="00A27296" w:rsidP="00A27296">
      <w:pPr>
        <w:jc w:val="both"/>
        <w:rPr>
          <w:rFonts w:asciiTheme="minorHAnsi" w:hAnsiTheme="minorHAnsi" w:cstheme="minorHAnsi"/>
          <w:b/>
          <w:sz w:val="22"/>
          <w:szCs w:val="22"/>
        </w:rPr>
      </w:pPr>
    </w:p>
    <w:p w:rsidR="00A27296" w:rsidRDefault="00FA4345" w:rsidP="00A27296">
      <w:pPr>
        <w:jc w:val="both"/>
        <w:rPr>
          <w:rFonts w:asciiTheme="minorHAnsi" w:hAnsiTheme="minorHAnsi" w:cstheme="minorHAnsi"/>
          <w:b/>
          <w:sz w:val="22"/>
          <w:szCs w:val="22"/>
        </w:rPr>
      </w:pPr>
      <w:r w:rsidRPr="00FA4345">
        <w:rPr>
          <w:noProof/>
          <w:szCs w:val="22"/>
        </w:rPr>
        <w:drawing>
          <wp:inline distT="0" distB="0" distL="0" distR="0">
            <wp:extent cx="6296025" cy="3438525"/>
            <wp:effectExtent l="19050" t="0" r="9525" b="0"/>
            <wp:docPr id="278"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4" cstate="print"/>
                    <a:srcRect/>
                    <a:stretch>
                      <a:fillRect/>
                    </a:stretch>
                  </pic:blipFill>
                  <pic:spPr bwMode="auto">
                    <a:xfrm>
                      <a:off x="0" y="0"/>
                      <a:ext cx="6296025" cy="3438525"/>
                    </a:xfrm>
                    <a:prstGeom prst="rect">
                      <a:avLst/>
                    </a:prstGeom>
                    <a:noFill/>
                    <a:ln w="9525">
                      <a:noFill/>
                      <a:miter lim="800000"/>
                      <a:headEnd/>
                      <a:tailEnd/>
                    </a:ln>
                  </pic:spPr>
                </pic:pic>
              </a:graphicData>
            </a:graphic>
          </wp:inline>
        </w:drawing>
      </w:r>
    </w:p>
    <w:p w:rsidR="00A27296" w:rsidRDefault="00A27296" w:rsidP="00A27296">
      <w:pPr>
        <w:jc w:val="both"/>
        <w:rPr>
          <w:rFonts w:asciiTheme="minorHAnsi" w:hAnsiTheme="minorHAnsi" w:cstheme="minorHAnsi"/>
          <w:b/>
          <w:sz w:val="22"/>
          <w:szCs w:val="22"/>
        </w:rPr>
      </w:pPr>
    </w:p>
    <w:p w:rsidR="008E3B82" w:rsidRDefault="00A27296" w:rsidP="00A27296">
      <w:pPr>
        <w:jc w:val="both"/>
        <w:rPr>
          <w:rFonts w:asciiTheme="minorHAnsi" w:hAnsiTheme="minorHAnsi" w:cstheme="minorHAnsi"/>
          <w:sz w:val="22"/>
          <w:szCs w:val="22"/>
        </w:rPr>
      </w:pPr>
      <w:r w:rsidRPr="00D355F3">
        <w:rPr>
          <w:rFonts w:asciiTheme="minorHAnsi" w:hAnsiTheme="minorHAnsi" w:cstheme="minorHAnsi"/>
          <w:b/>
          <w:sz w:val="22"/>
          <w:szCs w:val="22"/>
        </w:rPr>
        <w:t>En termes de priorités d’investissement</w:t>
      </w:r>
      <w:r w:rsidRPr="00D355F3">
        <w:rPr>
          <w:rFonts w:asciiTheme="minorHAnsi" w:hAnsiTheme="minorHAnsi" w:cstheme="minorHAnsi"/>
          <w:sz w:val="22"/>
          <w:szCs w:val="22"/>
        </w:rPr>
        <w:t xml:space="preserve">, </w:t>
      </w:r>
      <w:r w:rsidR="00AF7034">
        <w:rPr>
          <w:rFonts w:asciiTheme="minorHAnsi" w:hAnsiTheme="minorHAnsi" w:cstheme="minorHAnsi"/>
          <w:sz w:val="22"/>
          <w:szCs w:val="22"/>
        </w:rPr>
        <w:t xml:space="preserve">c’est donc le secteur de l’hydraulique qui arrive en première position avec 24,72% des engagements. Ensuite, le secteur de l’éducation avec </w:t>
      </w:r>
      <w:r w:rsidR="008E3B82">
        <w:rPr>
          <w:rFonts w:asciiTheme="minorHAnsi" w:hAnsiTheme="minorHAnsi" w:cstheme="minorHAnsi"/>
          <w:sz w:val="22"/>
          <w:szCs w:val="22"/>
        </w:rPr>
        <w:t xml:space="preserve">72 projets </w:t>
      </w:r>
      <w:r w:rsidR="00AF7034">
        <w:rPr>
          <w:rFonts w:asciiTheme="minorHAnsi" w:hAnsiTheme="minorHAnsi" w:cstheme="minorHAnsi"/>
          <w:sz w:val="22"/>
          <w:szCs w:val="22"/>
        </w:rPr>
        <w:t>(24,02% des engagements) suivi des équipements des mairies (13,01%</w:t>
      </w:r>
      <w:r w:rsidR="008E3B82">
        <w:rPr>
          <w:rFonts w:asciiTheme="minorHAnsi" w:hAnsiTheme="minorHAnsi" w:cstheme="minorHAnsi"/>
          <w:sz w:val="22"/>
          <w:szCs w:val="22"/>
        </w:rPr>
        <w:t xml:space="preserve"> des engagements pour 30 projets</w:t>
      </w:r>
      <w:r w:rsidR="00AF7034">
        <w:rPr>
          <w:rFonts w:asciiTheme="minorHAnsi" w:hAnsiTheme="minorHAnsi" w:cstheme="minorHAnsi"/>
          <w:sz w:val="22"/>
          <w:szCs w:val="22"/>
        </w:rPr>
        <w:t>).</w:t>
      </w:r>
    </w:p>
    <w:p w:rsidR="00A27296" w:rsidRPr="00D355F3" w:rsidRDefault="00A27296" w:rsidP="00A27296">
      <w:pPr>
        <w:jc w:val="both"/>
        <w:rPr>
          <w:rFonts w:asciiTheme="minorHAnsi" w:hAnsiTheme="minorHAnsi" w:cstheme="minorHAnsi"/>
          <w:sz w:val="22"/>
          <w:szCs w:val="22"/>
        </w:rPr>
      </w:pPr>
    </w:p>
    <w:p w:rsidR="00A27296" w:rsidRPr="00D355F3" w:rsidRDefault="00A27296" w:rsidP="00A27296">
      <w:pPr>
        <w:jc w:val="both"/>
        <w:rPr>
          <w:rFonts w:asciiTheme="minorHAnsi" w:hAnsiTheme="minorHAnsi" w:cstheme="minorHAnsi"/>
          <w:sz w:val="22"/>
          <w:szCs w:val="22"/>
        </w:rPr>
      </w:pPr>
      <w:r w:rsidRPr="00D355F3">
        <w:rPr>
          <w:rFonts w:asciiTheme="minorHAnsi" w:hAnsiTheme="minorHAnsi" w:cstheme="minorHAnsi"/>
          <w:sz w:val="22"/>
          <w:szCs w:val="22"/>
        </w:rPr>
        <w:t xml:space="preserve">Enfin, </w:t>
      </w:r>
      <w:r w:rsidR="008E3B82">
        <w:rPr>
          <w:rFonts w:asciiTheme="minorHAnsi" w:hAnsiTheme="minorHAnsi" w:cstheme="minorHAnsi"/>
          <w:sz w:val="22"/>
          <w:szCs w:val="22"/>
        </w:rPr>
        <w:t xml:space="preserve">comme pour l’année dernière, </w:t>
      </w:r>
      <w:r w:rsidRPr="00D355F3">
        <w:rPr>
          <w:rFonts w:asciiTheme="minorHAnsi" w:hAnsiTheme="minorHAnsi" w:cstheme="minorHAnsi"/>
          <w:sz w:val="22"/>
          <w:szCs w:val="22"/>
        </w:rPr>
        <w:t xml:space="preserve">la </w:t>
      </w:r>
      <w:r w:rsidR="001246CD">
        <w:rPr>
          <w:rFonts w:asciiTheme="minorHAnsi" w:hAnsiTheme="minorHAnsi" w:cstheme="minorHAnsi"/>
          <w:sz w:val="22"/>
          <w:szCs w:val="22"/>
        </w:rPr>
        <w:t>Wilaya</w:t>
      </w:r>
      <w:r w:rsidRPr="00D355F3">
        <w:rPr>
          <w:rFonts w:asciiTheme="minorHAnsi" w:hAnsiTheme="minorHAnsi" w:cstheme="minorHAnsi"/>
          <w:sz w:val="22"/>
          <w:szCs w:val="22"/>
        </w:rPr>
        <w:t xml:space="preserve"> s</w:t>
      </w:r>
      <w:r w:rsidR="008E3B82">
        <w:rPr>
          <w:rFonts w:asciiTheme="minorHAnsi" w:hAnsiTheme="minorHAnsi" w:cstheme="minorHAnsi"/>
          <w:sz w:val="22"/>
          <w:szCs w:val="22"/>
        </w:rPr>
        <w:t xml:space="preserve">e singularise par une </w:t>
      </w:r>
      <w:r w:rsidRPr="00D355F3">
        <w:rPr>
          <w:rFonts w:asciiTheme="minorHAnsi" w:hAnsiTheme="minorHAnsi" w:cstheme="minorHAnsi"/>
          <w:sz w:val="22"/>
          <w:szCs w:val="22"/>
        </w:rPr>
        <w:t>priorité d’investissement dans les projet</w:t>
      </w:r>
      <w:r w:rsidR="008E3B82">
        <w:rPr>
          <w:rFonts w:asciiTheme="minorHAnsi" w:hAnsiTheme="minorHAnsi" w:cstheme="minorHAnsi"/>
          <w:sz w:val="22"/>
          <w:szCs w:val="22"/>
        </w:rPr>
        <w:t xml:space="preserve">s </w:t>
      </w:r>
      <w:proofErr w:type="spellStart"/>
      <w:r w:rsidR="008E3B82">
        <w:rPr>
          <w:rFonts w:asciiTheme="minorHAnsi" w:hAnsiTheme="minorHAnsi" w:cstheme="minorHAnsi"/>
          <w:sz w:val="22"/>
          <w:szCs w:val="22"/>
        </w:rPr>
        <w:t>socio</w:t>
      </w:r>
      <w:r w:rsidR="00B14550">
        <w:rPr>
          <w:rFonts w:asciiTheme="minorHAnsi" w:hAnsiTheme="minorHAnsi" w:cstheme="minorHAnsi"/>
          <w:sz w:val="22"/>
          <w:szCs w:val="22"/>
        </w:rPr>
        <w:t>-</w:t>
      </w:r>
      <w:r w:rsidR="008E3B82">
        <w:rPr>
          <w:rFonts w:asciiTheme="minorHAnsi" w:hAnsiTheme="minorHAnsi" w:cstheme="minorHAnsi"/>
          <w:sz w:val="22"/>
          <w:szCs w:val="22"/>
        </w:rPr>
        <w:t>culturels</w:t>
      </w:r>
      <w:proofErr w:type="spellEnd"/>
      <w:r w:rsidR="008E3B82">
        <w:rPr>
          <w:rFonts w:asciiTheme="minorHAnsi" w:hAnsiTheme="minorHAnsi" w:cstheme="minorHAnsi"/>
          <w:sz w:val="22"/>
          <w:szCs w:val="22"/>
        </w:rPr>
        <w:t xml:space="preserve"> avec 11,</w:t>
      </w:r>
      <w:r w:rsidRPr="00D355F3">
        <w:rPr>
          <w:rFonts w:asciiTheme="minorHAnsi" w:hAnsiTheme="minorHAnsi" w:cstheme="minorHAnsi"/>
          <w:sz w:val="22"/>
          <w:szCs w:val="22"/>
        </w:rPr>
        <w:t>4</w:t>
      </w:r>
      <w:r w:rsidR="008E3B82">
        <w:rPr>
          <w:rFonts w:asciiTheme="minorHAnsi" w:hAnsiTheme="minorHAnsi" w:cstheme="minorHAnsi"/>
          <w:sz w:val="22"/>
          <w:szCs w:val="22"/>
        </w:rPr>
        <w:t>0 % de l’investissement pour 28</w:t>
      </w:r>
      <w:r w:rsidRPr="00D355F3">
        <w:rPr>
          <w:rFonts w:asciiTheme="minorHAnsi" w:hAnsiTheme="minorHAnsi" w:cstheme="minorHAnsi"/>
          <w:sz w:val="22"/>
          <w:szCs w:val="22"/>
        </w:rPr>
        <w:t xml:space="preserve"> projets. Ce secteur au niveau national n’arrive qu’en 6</w:t>
      </w:r>
      <w:r w:rsidRPr="00D355F3">
        <w:rPr>
          <w:rFonts w:asciiTheme="minorHAnsi" w:hAnsiTheme="minorHAnsi" w:cstheme="minorHAnsi"/>
          <w:sz w:val="22"/>
          <w:szCs w:val="22"/>
          <w:vertAlign w:val="superscript"/>
        </w:rPr>
        <w:t>ème</w:t>
      </w:r>
      <w:r w:rsidRPr="00D355F3">
        <w:rPr>
          <w:rFonts w:asciiTheme="minorHAnsi" w:hAnsiTheme="minorHAnsi" w:cstheme="minorHAnsi"/>
          <w:sz w:val="22"/>
          <w:szCs w:val="22"/>
        </w:rPr>
        <w:t xml:space="preserve"> position.</w:t>
      </w:r>
    </w:p>
    <w:p w:rsidR="00A27296" w:rsidRDefault="00A27296" w:rsidP="00A27296">
      <w:pPr>
        <w:jc w:val="both"/>
        <w:rPr>
          <w:rFonts w:asciiTheme="minorHAnsi" w:hAnsiTheme="minorHAnsi" w:cstheme="minorHAnsi"/>
          <w:b/>
        </w:rPr>
      </w:pPr>
    </w:p>
    <w:p w:rsidR="00A27296" w:rsidRPr="008E3B82" w:rsidRDefault="00A27296" w:rsidP="008E3B82">
      <w:pPr>
        <w:jc w:val="both"/>
        <w:rPr>
          <w:rFonts w:asciiTheme="minorHAnsi" w:hAnsiTheme="minorHAnsi" w:cstheme="minorHAnsi"/>
          <w:b/>
          <w:sz w:val="22"/>
          <w:szCs w:val="22"/>
          <w:u w:val="single"/>
        </w:rPr>
      </w:pPr>
      <w:r w:rsidRPr="008E3B82">
        <w:rPr>
          <w:rFonts w:asciiTheme="minorHAnsi" w:hAnsiTheme="minorHAnsi" w:cstheme="minorHAnsi"/>
          <w:b/>
          <w:sz w:val="22"/>
          <w:szCs w:val="22"/>
          <w:u w:val="single"/>
        </w:rPr>
        <w:t xml:space="preserve">Analyse des données par </w:t>
      </w:r>
      <w:proofErr w:type="spellStart"/>
      <w:r w:rsidR="001246CD">
        <w:rPr>
          <w:rFonts w:asciiTheme="minorHAnsi" w:hAnsiTheme="minorHAnsi" w:cstheme="minorHAnsi"/>
          <w:b/>
          <w:sz w:val="22"/>
          <w:szCs w:val="22"/>
          <w:u w:val="single"/>
        </w:rPr>
        <w:t>Moughataa</w:t>
      </w:r>
      <w:proofErr w:type="spellEnd"/>
    </w:p>
    <w:p w:rsidR="00A27296" w:rsidRPr="00D355F3" w:rsidRDefault="00A27296" w:rsidP="00A27296">
      <w:pPr>
        <w:pStyle w:val="Paragraphedeliste"/>
        <w:jc w:val="both"/>
        <w:rPr>
          <w:rFonts w:asciiTheme="minorHAnsi" w:hAnsiTheme="minorHAnsi" w:cstheme="minorHAnsi"/>
          <w:b/>
          <w:sz w:val="22"/>
          <w:szCs w:val="22"/>
        </w:rPr>
      </w:pPr>
    </w:p>
    <w:p w:rsidR="00A27296" w:rsidRPr="00D355F3" w:rsidRDefault="001246CD" w:rsidP="00A27296">
      <w:pPr>
        <w:ind w:left="360"/>
        <w:jc w:val="center"/>
        <w:rPr>
          <w:rFonts w:asciiTheme="minorHAnsi" w:hAnsiTheme="minorHAnsi" w:cstheme="minorHAnsi"/>
          <w:sz w:val="22"/>
          <w:szCs w:val="22"/>
          <w:u w:val="single"/>
        </w:rPr>
      </w:pPr>
      <w:proofErr w:type="spellStart"/>
      <w:r>
        <w:rPr>
          <w:rFonts w:asciiTheme="minorHAnsi" w:hAnsiTheme="minorHAnsi" w:cstheme="minorHAnsi"/>
          <w:b/>
          <w:sz w:val="22"/>
          <w:szCs w:val="22"/>
          <w:u w:val="single"/>
        </w:rPr>
        <w:t>Moughataa</w:t>
      </w:r>
      <w:proofErr w:type="spellEnd"/>
      <w:r w:rsidR="00A27296" w:rsidRPr="00D355F3">
        <w:rPr>
          <w:rFonts w:asciiTheme="minorHAnsi" w:hAnsiTheme="minorHAnsi" w:cstheme="minorHAnsi"/>
          <w:b/>
          <w:sz w:val="22"/>
          <w:szCs w:val="22"/>
          <w:u w:val="single"/>
        </w:rPr>
        <w:t xml:space="preserve"> d’</w:t>
      </w:r>
      <w:proofErr w:type="spellStart"/>
      <w:r w:rsidR="00A27296" w:rsidRPr="00D355F3">
        <w:rPr>
          <w:rFonts w:asciiTheme="minorHAnsi" w:hAnsiTheme="minorHAnsi" w:cstheme="minorHAnsi"/>
          <w:b/>
          <w:sz w:val="22"/>
          <w:szCs w:val="22"/>
          <w:u w:val="single"/>
        </w:rPr>
        <w:t>Aïoun</w:t>
      </w:r>
      <w:proofErr w:type="spellEnd"/>
    </w:p>
    <w:p w:rsidR="00A27296" w:rsidRPr="00D355F3" w:rsidRDefault="00A27296" w:rsidP="00A27296">
      <w:pPr>
        <w:jc w:val="both"/>
        <w:rPr>
          <w:rFonts w:asciiTheme="minorHAnsi" w:hAnsiTheme="minorHAnsi" w:cstheme="minorHAnsi"/>
          <w:sz w:val="22"/>
          <w:szCs w:val="22"/>
        </w:rPr>
      </w:pPr>
    </w:p>
    <w:p w:rsidR="00A27296" w:rsidRPr="00894126" w:rsidRDefault="00A27296" w:rsidP="00A27296">
      <w:pPr>
        <w:jc w:val="both"/>
        <w:rPr>
          <w:rFonts w:asciiTheme="minorHAnsi" w:hAnsiTheme="minorHAnsi" w:cstheme="minorHAnsi"/>
          <w:b/>
          <w:sz w:val="22"/>
          <w:szCs w:val="22"/>
        </w:rPr>
      </w:pPr>
      <w:r w:rsidRPr="00D355F3">
        <w:rPr>
          <w:rFonts w:asciiTheme="minorHAnsi" w:hAnsiTheme="minorHAnsi" w:cstheme="minorHAnsi"/>
          <w:sz w:val="22"/>
          <w:szCs w:val="22"/>
        </w:rPr>
        <w:t xml:space="preserve">Les communes de la </w:t>
      </w:r>
      <w:proofErr w:type="spellStart"/>
      <w:r w:rsidR="001246CD">
        <w:rPr>
          <w:rFonts w:asciiTheme="minorHAnsi" w:hAnsiTheme="minorHAnsi" w:cstheme="minorHAnsi"/>
          <w:sz w:val="22"/>
          <w:szCs w:val="22"/>
        </w:rPr>
        <w:t>Moughataa</w:t>
      </w:r>
      <w:proofErr w:type="spellEnd"/>
      <w:r w:rsidRPr="00D355F3">
        <w:rPr>
          <w:rFonts w:asciiTheme="minorHAnsi" w:hAnsiTheme="minorHAnsi" w:cstheme="minorHAnsi"/>
          <w:sz w:val="22"/>
          <w:szCs w:val="22"/>
        </w:rPr>
        <w:t xml:space="preserve"> d’</w:t>
      </w:r>
      <w:proofErr w:type="spellStart"/>
      <w:r w:rsidRPr="00D355F3">
        <w:rPr>
          <w:rFonts w:asciiTheme="minorHAnsi" w:hAnsiTheme="minorHAnsi" w:cstheme="minorHAnsi"/>
          <w:sz w:val="22"/>
          <w:szCs w:val="22"/>
        </w:rPr>
        <w:t>A</w:t>
      </w:r>
      <w:r w:rsidR="008E3B82">
        <w:rPr>
          <w:rFonts w:asciiTheme="minorHAnsi" w:hAnsiTheme="minorHAnsi" w:cstheme="minorHAnsi"/>
          <w:sz w:val="22"/>
          <w:szCs w:val="22"/>
        </w:rPr>
        <w:t>ïoun</w:t>
      </w:r>
      <w:proofErr w:type="spellEnd"/>
      <w:r w:rsidR="008E3B82">
        <w:rPr>
          <w:rFonts w:asciiTheme="minorHAnsi" w:hAnsiTheme="minorHAnsi" w:cstheme="minorHAnsi"/>
          <w:sz w:val="22"/>
          <w:szCs w:val="22"/>
        </w:rPr>
        <w:t xml:space="preserve"> ont bénéficié d’un FRD 2012 pour l’équipement de 37 373 748 MRO (+14,93 % par rapport à 2011). Elles ont engagé 37 586 818</w:t>
      </w:r>
      <w:r w:rsidRPr="00D355F3">
        <w:rPr>
          <w:rFonts w:asciiTheme="minorHAnsi" w:hAnsiTheme="minorHAnsi" w:cstheme="minorHAnsi"/>
          <w:sz w:val="22"/>
          <w:szCs w:val="22"/>
        </w:rPr>
        <w:t xml:space="preserve"> MRO pour la réalisation de </w:t>
      </w:r>
      <w:r w:rsidR="008E3B82">
        <w:rPr>
          <w:rFonts w:asciiTheme="minorHAnsi" w:hAnsiTheme="minorHAnsi" w:cstheme="minorHAnsi"/>
          <w:b/>
          <w:sz w:val="22"/>
          <w:szCs w:val="22"/>
        </w:rPr>
        <w:t>46</w:t>
      </w:r>
      <w:r w:rsidRPr="00894126">
        <w:rPr>
          <w:rFonts w:asciiTheme="minorHAnsi" w:hAnsiTheme="minorHAnsi" w:cstheme="minorHAnsi"/>
          <w:b/>
          <w:sz w:val="22"/>
          <w:szCs w:val="22"/>
        </w:rPr>
        <w:t xml:space="preserve"> projets</w:t>
      </w:r>
      <w:r w:rsidRPr="00D355F3">
        <w:rPr>
          <w:rFonts w:asciiTheme="minorHAnsi" w:hAnsiTheme="minorHAnsi" w:cstheme="minorHAnsi"/>
          <w:sz w:val="22"/>
          <w:szCs w:val="22"/>
        </w:rPr>
        <w:t xml:space="preserve">, soit un </w:t>
      </w:r>
      <w:r w:rsidR="008E3B82">
        <w:rPr>
          <w:rFonts w:asciiTheme="minorHAnsi" w:hAnsiTheme="minorHAnsi" w:cstheme="minorHAnsi"/>
          <w:b/>
          <w:sz w:val="22"/>
          <w:szCs w:val="22"/>
        </w:rPr>
        <w:t>taux d’absorption de 100,57</w:t>
      </w:r>
      <w:r w:rsidRPr="00894126">
        <w:rPr>
          <w:rFonts w:asciiTheme="minorHAnsi" w:hAnsiTheme="minorHAnsi" w:cstheme="minorHAnsi"/>
          <w:b/>
          <w:sz w:val="22"/>
          <w:szCs w:val="22"/>
        </w:rPr>
        <w:t xml:space="preserve"> %.</w:t>
      </w:r>
    </w:p>
    <w:p w:rsidR="00A27296" w:rsidRPr="00D355F3" w:rsidRDefault="00A27296" w:rsidP="00A27296">
      <w:pPr>
        <w:jc w:val="both"/>
        <w:rPr>
          <w:rFonts w:asciiTheme="minorHAnsi" w:hAnsiTheme="minorHAnsi" w:cstheme="minorHAnsi"/>
          <w:sz w:val="22"/>
          <w:szCs w:val="22"/>
        </w:rPr>
      </w:pPr>
    </w:p>
    <w:p w:rsidR="00A27296" w:rsidRPr="00D355F3" w:rsidRDefault="00A27296" w:rsidP="00A27296">
      <w:pPr>
        <w:jc w:val="both"/>
        <w:rPr>
          <w:rFonts w:asciiTheme="minorHAnsi" w:hAnsiTheme="minorHAnsi" w:cstheme="minorHAnsi"/>
          <w:sz w:val="22"/>
          <w:szCs w:val="22"/>
        </w:rPr>
      </w:pPr>
      <w:r w:rsidRPr="00D355F3">
        <w:rPr>
          <w:rFonts w:asciiTheme="minorHAnsi" w:hAnsiTheme="minorHAnsi" w:cstheme="minorHAnsi"/>
          <w:sz w:val="22"/>
          <w:szCs w:val="22"/>
        </w:rPr>
        <w:t>Ce taux d’absorption est évidemmen</w:t>
      </w:r>
      <w:r w:rsidR="008E3B82">
        <w:rPr>
          <w:rFonts w:asciiTheme="minorHAnsi" w:hAnsiTheme="minorHAnsi" w:cstheme="minorHAnsi"/>
          <w:sz w:val="22"/>
          <w:szCs w:val="22"/>
        </w:rPr>
        <w:t xml:space="preserve">t satisfaisant compte tenu de l’augmentation des crédits alloués au titre de 2012. Il est en effet </w:t>
      </w:r>
      <w:r w:rsidRPr="00D355F3">
        <w:rPr>
          <w:rFonts w:asciiTheme="minorHAnsi" w:hAnsiTheme="minorHAnsi" w:cstheme="minorHAnsi"/>
          <w:sz w:val="22"/>
          <w:szCs w:val="22"/>
        </w:rPr>
        <w:t>supérieur à la moyenne régionale et nationale</w:t>
      </w:r>
      <w:r w:rsidR="00B14550">
        <w:rPr>
          <w:rFonts w:asciiTheme="minorHAnsi" w:hAnsiTheme="minorHAnsi" w:cstheme="minorHAnsi"/>
          <w:sz w:val="22"/>
          <w:szCs w:val="22"/>
        </w:rPr>
        <w:t xml:space="preserve"> (grâce surtout aux 155,35% de la Commune de N’</w:t>
      </w:r>
      <w:proofErr w:type="spellStart"/>
      <w:r w:rsidR="00B14550">
        <w:rPr>
          <w:rFonts w:asciiTheme="minorHAnsi" w:hAnsiTheme="minorHAnsi" w:cstheme="minorHAnsi"/>
          <w:sz w:val="22"/>
          <w:szCs w:val="22"/>
        </w:rPr>
        <w:t>Saveni</w:t>
      </w:r>
      <w:proofErr w:type="spellEnd"/>
      <w:r w:rsidR="00B14550">
        <w:rPr>
          <w:rFonts w:asciiTheme="minorHAnsi" w:hAnsiTheme="minorHAnsi" w:cstheme="minorHAnsi"/>
          <w:sz w:val="22"/>
          <w:szCs w:val="22"/>
        </w:rPr>
        <w:t> !)</w:t>
      </w:r>
      <w:r w:rsidRPr="00D355F3">
        <w:rPr>
          <w:rFonts w:asciiTheme="minorHAnsi" w:hAnsiTheme="minorHAnsi" w:cstheme="minorHAnsi"/>
          <w:sz w:val="22"/>
          <w:szCs w:val="22"/>
        </w:rPr>
        <w:t>.</w:t>
      </w:r>
      <w:r>
        <w:rPr>
          <w:rFonts w:asciiTheme="minorHAnsi" w:hAnsiTheme="minorHAnsi" w:cstheme="minorHAnsi"/>
          <w:sz w:val="22"/>
          <w:szCs w:val="22"/>
        </w:rPr>
        <w:t xml:space="preserve"> Les reliquat</w:t>
      </w:r>
      <w:r w:rsidR="008E3B82">
        <w:rPr>
          <w:rFonts w:asciiTheme="minorHAnsi" w:hAnsiTheme="minorHAnsi" w:cstheme="minorHAnsi"/>
          <w:sz w:val="22"/>
          <w:szCs w:val="22"/>
        </w:rPr>
        <w:t xml:space="preserve">s ont en outre été légèrement entamés </w:t>
      </w:r>
      <w:r w:rsidR="00A57009">
        <w:rPr>
          <w:rFonts w:asciiTheme="minorHAnsi" w:hAnsiTheme="minorHAnsi" w:cstheme="minorHAnsi"/>
          <w:sz w:val="22"/>
          <w:szCs w:val="22"/>
        </w:rPr>
        <w:t xml:space="preserve">au niveau de la </w:t>
      </w:r>
      <w:proofErr w:type="spellStart"/>
      <w:r w:rsidR="00A57009">
        <w:rPr>
          <w:rFonts w:asciiTheme="minorHAnsi" w:hAnsiTheme="minorHAnsi" w:cstheme="minorHAnsi"/>
          <w:sz w:val="22"/>
          <w:szCs w:val="22"/>
        </w:rPr>
        <w:t>Moughataa</w:t>
      </w:r>
      <w:proofErr w:type="spellEnd"/>
      <w:r w:rsidR="00A57009">
        <w:rPr>
          <w:rFonts w:asciiTheme="minorHAnsi" w:hAnsiTheme="minorHAnsi" w:cstheme="minorHAnsi"/>
          <w:sz w:val="22"/>
          <w:szCs w:val="22"/>
        </w:rPr>
        <w:t xml:space="preserve"> </w:t>
      </w:r>
      <w:r w:rsidR="008E3B82">
        <w:rPr>
          <w:rFonts w:asciiTheme="minorHAnsi" w:hAnsiTheme="minorHAnsi" w:cstheme="minorHAnsi"/>
          <w:sz w:val="22"/>
          <w:szCs w:val="22"/>
        </w:rPr>
        <w:t>(0,57 points) puisque le taux excède très légèrement les 100%.</w:t>
      </w:r>
    </w:p>
    <w:p w:rsidR="00A27296" w:rsidRDefault="00A27296" w:rsidP="00A27296">
      <w:pPr>
        <w:jc w:val="both"/>
        <w:rPr>
          <w:rFonts w:asciiTheme="minorHAnsi" w:hAnsiTheme="minorHAnsi" w:cstheme="minorHAnsi"/>
        </w:rPr>
      </w:pPr>
    </w:p>
    <w:p w:rsidR="00A27296" w:rsidRDefault="000A2F19" w:rsidP="00A27296">
      <w:pPr>
        <w:jc w:val="both"/>
        <w:rPr>
          <w:rFonts w:asciiTheme="minorHAnsi" w:hAnsiTheme="minorHAnsi" w:cstheme="minorHAnsi"/>
        </w:rPr>
      </w:pPr>
      <w:r w:rsidRPr="000A2F19">
        <w:rPr>
          <w:noProof/>
        </w:rPr>
        <w:drawing>
          <wp:inline distT="0" distB="0" distL="0" distR="0">
            <wp:extent cx="3495675" cy="3314700"/>
            <wp:effectExtent l="19050" t="0" r="9525" b="0"/>
            <wp:docPr id="329"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stretch>
                      <a:fillRect/>
                    </a:stretch>
                  </pic:blipFill>
                  <pic:spPr>
                    <a:xfrm>
                      <a:off x="0" y="0"/>
                      <a:ext cx="3495237" cy="3314285"/>
                    </a:xfrm>
                    <a:prstGeom prst="rect">
                      <a:avLst/>
                    </a:prstGeom>
                  </pic:spPr>
                </pic:pic>
              </a:graphicData>
            </a:graphic>
          </wp:inline>
        </w:drawing>
      </w:r>
      <w:r w:rsidR="00D4494E" w:rsidRPr="00D4494E">
        <w:rPr>
          <w:rFonts w:asciiTheme="minorHAnsi" w:hAnsiTheme="minorHAnsi" w:cstheme="minorHAnsi"/>
          <w:noProof/>
        </w:rPr>
        <w:drawing>
          <wp:inline distT="0" distB="0" distL="0" distR="0">
            <wp:extent cx="3086100" cy="3314700"/>
            <wp:effectExtent l="19050" t="0" r="0" b="0"/>
            <wp:docPr id="559"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cstate="print"/>
                    <a:stretch>
                      <a:fillRect/>
                    </a:stretch>
                  </pic:blipFill>
                  <pic:spPr>
                    <a:xfrm>
                      <a:off x="0" y="0"/>
                      <a:ext cx="3086100" cy="3314700"/>
                    </a:xfrm>
                    <a:prstGeom prst="rect">
                      <a:avLst/>
                    </a:prstGeom>
                  </pic:spPr>
                </pic:pic>
              </a:graphicData>
            </a:graphic>
          </wp:inline>
        </w:drawing>
      </w:r>
    </w:p>
    <w:p w:rsidR="00127F9E" w:rsidRDefault="00127F9E" w:rsidP="00A27296">
      <w:pPr>
        <w:jc w:val="both"/>
        <w:rPr>
          <w:rFonts w:asciiTheme="minorHAnsi" w:hAnsiTheme="minorHAnsi" w:cstheme="minorHAnsi"/>
        </w:rPr>
      </w:pPr>
      <w:r w:rsidRPr="00127F9E">
        <w:rPr>
          <w:noProof/>
        </w:rPr>
        <w:drawing>
          <wp:inline distT="0" distB="0" distL="0" distR="0">
            <wp:extent cx="6645910" cy="3067050"/>
            <wp:effectExtent l="19050" t="0" r="2540" b="0"/>
            <wp:docPr id="226"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7" cstate="print"/>
                    <a:srcRect/>
                    <a:stretch>
                      <a:fillRect/>
                    </a:stretch>
                  </pic:blipFill>
                  <pic:spPr bwMode="auto">
                    <a:xfrm>
                      <a:off x="0" y="0"/>
                      <a:ext cx="6645910" cy="3067050"/>
                    </a:xfrm>
                    <a:prstGeom prst="rect">
                      <a:avLst/>
                    </a:prstGeom>
                    <a:noFill/>
                    <a:ln w="9525">
                      <a:noFill/>
                      <a:miter lim="800000"/>
                      <a:headEnd/>
                      <a:tailEnd/>
                    </a:ln>
                  </pic:spPr>
                </pic:pic>
              </a:graphicData>
            </a:graphic>
          </wp:inline>
        </w:drawing>
      </w:r>
    </w:p>
    <w:p w:rsidR="00127F9E" w:rsidRPr="00E06D8D" w:rsidRDefault="00127F9E" w:rsidP="00127F9E">
      <w:pPr>
        <w:jc w:val="both"/>
        <w:rPr>
          <w:rFonts w:asciiTheme="minorHAnsi" w:hAnsiTheme="minorHAnsi" w:cstheme="minorHAnsi"/>
        </w:rPr>
      </w:pPr>
      <w:r w:rsidRPr="00E06D8D">
        <w:rPr>
          <w:rFonts w:asciiTheme="minorHAnsi" w:hAnsiTheme="minorHAnsi" w:cstheme="minorHAnsi"/>
        </w:rPr>
        <w:t xml:space="preserve">La parcellisation de l’investissement reste forte, au vu de la moyenne nationale. </w:t>
      </w:r>
    </w:p>
    <w:p w:rsidR="00127F9E" w:rsidRDefault="00127F9E" w:rsidP="00127F9E">
      <w:pPr>
        <w:jc w:val="both"/>
        <w:rPr>
          <w:rFonts w:asciiTheme="minorHAnsi" w:hAnsiTheme="minorHAnsi" w:cstheme="minorHAnsi"/>
        </w:rPr>
      </w:pPr>
      <w:r w:rsidRPr="00E06D8D">
        <w:rPr>
          <w:rFonts w:asciiTheme="minorHAnsi" w:hAnsiTheme="minorHAnsi" w:cstheme="minorHAnsi"/>
        </w:rPr>
        <w:t xml:space="preserve">On peut toutefois relever une augmentation du montant moyen de la </w:t>
      </w:r>
      <w:proofErr w:type="spellStart"/>
      <w:r w:rsidR="001246CD">
        <w:rPr>
          <w:rFonts w:asciiTheme="minorHAnsi" w:hAnsiTheme="minorHAnsi" w:cstheme="minorHAnsi"/>
        </w:rPr>
        <w:t>Moughataa</w:t>
      </w:r>
      <w:proofErr w:type="spellEnd"/>
      <w:r w:rsidRPr="00E06D8D">
        <w:rPr>
          <w:rFonts w:asciiTheme="minorHAnsi" w:hAnsiTheme="minorHAnsi" w:cstheme="minorHAnsi"/>
        </w:rPr>
        <w:t xml:space="preserve"> en 2012 (817 105 MRO par projet en 2012) alors qu’il n’était que de 643 891 en 2011.</w:t>
      </w:r>
      <w:r>
        <w:rPr>
          <w:rFonts w:asciiTheme="minorHAnsi" w:hAnsiTheme="minorHAnsi" w:cstheme="minorHAnsi"/>
        </w:rPr>
        <w:t xml:space="preserve"> Le nombre de projets en diminution (56 en 2011 contre seulement 46 en 2012) l’explique donc en partie.</w:t>
      </w:r>
    </w:p>
    <w:p w:rsidR="00127F9E" w:rsidRDefault="00127F9E" w:rsidP="00A27296">
      <w:pPr>
        <w:jc w:val="both"/>
        <w:rPr>
          <w:rFonts w:asciiTheme="minorHAnsi" w:hAnsiTheme="minorHAnsi" w:cstheme="minorHAnsi"/>
        </w:rPr>
      </w:pPr>
    </w:p>
    <w:p w:rsidR="00A27296" w:rsidRDefault="00D4494E" w:rsidP="00A27296">
      <w:pPr>
        <w:jc w:val="both"/>
        <w:rPr>
          <w:rFonts w:asciiTheme="minorHAnsi" w:hAnsiTheme="minorHAnsi" w:cstheme="minorHAnsi"/>
        </w:rPr>
      </w:pPr>
      <w:r w:rsidRPr="00D4494E">
        <w:rPr>
          <w:rFonts w:asciiTheme="minorHAnsi" w:hAnsiTheme="minorHAnsi" w:cstheme="minorHAnsi"/>
          <w:noProof/>
        </w:rPr>
        <w:drawing>
          <wp:inline distT="0" distB="0" distL="0" distR="0">
            <wp:extent cx="6667500" cy="2400300"/>
            <wp:effectExtent l="19050" t="0" r="0" b="0"/>
            <wp:docPr id="560"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cstate="print"/>
                    <a:stretch>
                      <a:fillRect/>
                    </a:stretch>
                  </pic:blipFill>
                  <pic:spPr>
                    <a:xfrm>
                      <a:off x="0" y="0"/>
                      <a:ext cx="6666667" cy="2400000"/>
                    </a:xfrm>
                    <a:prstGeom prst="rect">
                      <a:avLst/>
                    </a:prstGeom>
                  </pic:spPr>
                </pic:pic>
              </a:graphicData>
            </a:graphic>
          </wp:inline>
        </w:drawing>
      </w:r>
    </w:p>
    <w:p w:rsidR="00A27296" w:rsidRDefault="00422B0F" w:rsidP="00A27296">
      <w:pPr>
        <w:jc w:val="both"/>
        <w:rPr>
          <w:rFonts w:asciiTheme="minorHAnsi" w:hAnsiTheme="minorHAnsi" w:cstheme="minorHAnsi"/>
        </w:rPr>
      </w:pPr>
      <w:r w:rsidRPr="00422B0F">
        <w:rPr>
          <w:noProof/>
        </w:rPr>
        <w:drawing>
          <wp:inline distT="0" distB="0" distL="0" distR="0">
            <wp:extent cx="6667500" cy="2886075"/>
            <wp:effectExtent l="19050" t="0" r="0" b="0"/>
            <wp:docPr id="128"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cstate="print"/>
                    <a:stretch>
                      <a:fillRect/>
                    </a:stretch>
                  </pic:blipFill>
                  <pic:spPr>
                    <a:xfrm>
                      <a:off x="0" y="0"/>
                      <a:ext cx="6667500" cy="2886075"/>
                    </a:xfrm>
                    <a:prstGeom prst="rect">
                      <a:avLst/>
                    </a:prstGeom>
                  </pic:spPr>
                </pic:pic>
              </a:graphicData>
            </a:graphic>
          </wp:inline>
        </w:drawing>
      </w:r>
    </w:p>
    <w:p w:rsidR="00127F9E" w:rsidRDefault="00127F9E" w:rsidP="00E06D8D">
      <w:pPr>
        <w:jc w:val="both"/>
        <w:rPr>
          <w:rFonts w:asciiTheme="minorHAnsi" w:hAnsiTheme="minorHAnsi" w:cstheme="minorHAnsi"/>
        </w:rPr>
      </w:pPr>
    </w:p>
    <w:p w:rsidR="00E06D8D" w:rsidRPr="00E06D8D" w:rsidRDefault="00E06D8D" w:rsidP="00A27296">
      <w:pPr>
        <w:jc w:val="both"/>
        <w:rPr>
          <w:rFonts w:asciiTheme="minorHAnsi" w:hAnsiTheme="minorHAnsi" w:cstheme="minorHAnsi"/>
        </w:rPr>
      </w:pPr>
      <w:r>
        <w:rPr>
          <w:rFonts w:asciiTheme="minorHAnsi" w:hAnsiTheme="minorHAnsi" w:cstheme="minorHAnsi"/>
        </w:rPr>
        <w:t>Le secteur de l’éducation, avec ses 17 460 485 MRO engagés</w:t>
      </w:r>
      <w:r w:rsidR="002B7E88">
        <w:rPr>
          <w:rFonts w:asciiTheme="minorHAnsi" w:hAnsiTheme="minorHAnsi" w:cstheme="minorHAnsi"/>
        </w:rPr>
        <w:t xml:space="preserve"> et ses 16 projets</w:t>
      </w:r>
      <w:r>
        <w:rPr>
          <w:rFonts w:asciiTheme="minorHAnsi" w:hAnsiTheme="minorHAnsi" w:cstheme="minorHAnsi"/>
        </w:rPr>
        <w:t>, représente 46,45% des investissements. Suit avec 21,26% en d</w:t>
      </w:r>
      <w:r w:rsidR="00A57009">
        <w:rPr>
          <w:rFonts w:asciiTheme="minorHAnsi" w:hAnsiTheme="minorHAnsi" w:cstheme="minorHAnsi"/>
        </w:rPr>
        <w:t>euxième position le secteur de l’équipement</w:t>
      </w:r>
      <w:r>
        <w:rPr>
          <w:rFonts w:asciiTheme="minorHAnsi" w:hAnsiTheme="minorHAnsi" w:cstheme="minorHAnsi"/>
        </w:rPr>
        <w:t xml:space="preserve"> des mairies</w:t>
      </w:r>
      <w:r w:rsidR="002B7E88">
        <w:rPr>
          <w:rFonts w:asciiTheme="minorHAnsi" w:hAnsiTheme="minorHAnsi" w:cstheme="minorHAnsi"/>
        </w:rPr>
        <w:t xml:space="preserve"> (11 projets</w:t>
      </w:r>
      <w:r w:rsidR="005D5E53">
        <w:rPr>
          <w:rFonts w:asciiTheme="minorHAnsi" w:hAnsiTheme="minorHAnsi" w:cstheme="minorHAnsi"/>
        </w:rPr>
        <w:t xml:space="preserve"> pour 7 989 090 MRO</w:t>
      </w:r>
      <w:r w:rsidR="002B7E88">
        <w:rPr>
          <w:rFonts w:asciiTheme="minorHAnsi" w:hAnsiTheme="minorHAnsi" w:cstheme="minorHAnsi"/>
        </w:rPr>
        <w:t>)</w:t>
      </w:r>
      <w:r>
        <w:rPr>
          <w:rFonts w:asciiTheme="minorHAnsi" w:hAnsiTheme="minorHAnsi" w:cstheme="minorHAnsi"/>
        </w:rPr>
        <w:t xml:space="preserve">. </w:t>
      </w:r>
      <w:r w:rsidR="002B7E88">
        <w:rPr>
          <w:rFonts w:asciiTheme="minorHAnsi" w:hAnsiTheme="minorHAnsi" w:cstheme="minorHAnsi"/>
        </w:rPr>
        <w:t>En troisième position arrive le secteur de l’hydraulique à hauteur de 11,74% avec 7 projets</w:t>
      </w:r>
      <w:r w:rsidR="00422B0F">
        <w:rPr>
          <w:rFonts w:asciiTheme="minorHAnsi" w:hAnsiTheme="minorHAnsi" w:cstheme="minorHAnsi"/>
        </w:rPr>
        <w:t xml:space="preserve"> pour</w:t>
      </w:r>
      <w:r w:rsidR="005D5E53">
        <w:rPr>
          <w:rFonts w:asciiTheme="minorHAnsi" w:hAnsiTheme="minorHAnsi" w:cstheme="minorHAnsi"/>
        </w:rPr>
        <w:t xml:space="preserve"> 4 411 813 MRO</w:t>
      </w:r>
      <w:r w:rsidR="002B7E88">
        <w:rPr>
          <w:rFonts w:asciiTheme="minorHAnsi" w:hAnsiTheme="minorHAnsi" w:cstheme="minorHAnsi"/>
        </w:rPr>
        <w:t>.</w:t>
      </w:r>
    </w:p>
    <w:p w:rsidR="00A27296" w:rsidRDefault="00A27296" w:rsidP="00A27296">
      <w:pPr>
        <w:pStyle w:val="Paragraphedeliste"/>
        <w:ind w:left="1080"/>
        <w:jc w:val="center"/>
        <w:rPr>
          <w:rFonts w:asciiTheme="minorHAnsi" w:hAnsiTheme="minorHAnsi" w:cstheme="minorHAnsi"/>
          <w:b/>
          <w:u w:val="single"/>
        </w:rPr>
      </w:pPr>
    </w:p>
    <w:p w:rsidR="002B7E88" w:rsidRDefault="002B7E88" w:rsidP="00A27296">
      <w:pPr>
        <w:pStyle w:val="Paragraphedeliste"/>
        <w:ind w:left="1080"/>
        <w:jc w:val="center"/>
        <w:rPr>
          <w:rFonts w:asciiTheme="minorHAnsi" w:hAnsiTheme="minorHAnsi" w:cstheme="minorHAnsi"/>
          <w:b/>
          <w:u w:val="single"/>
        </w:rPr>
      </w:pPr>
    </w:p>
    <w:p w:rsidR="00A27296" w:rsidRPr="00D355F3" w:rsidRDefault="001246CD" w:rsidP="00A27296">
      <w:pPr>
        <w:pStyle w:val="Paragraphedeliste"/>
        <w:ind w:left="0"/>
        <w:jc w:val="center"/>
        <w:rPr>
          <w:rFonts w:asciiTheme="minorHAnsi" w:hAnsiTheme="minorHAnsi" w:cstheme="minorHAnsi"/>
          <w:sz w:val="22"/>
          <w:szCs w:val="22"/>
          <w:u w:val="single"/>
        </w:rPr>
      </w:pPr>
      <w:proofErr w:type="spellStart"/>
      <w:r>
        <w:rPr>
          <w:rFonts w:asciiTheme="minorHAnsi" w:hAnsiTheme="minorHAnsi" w:cstheme="minorHAnsi"/>
          <w:b/>
          <w:sz w:val="22"/>
          <w:szCs w:val="22"/>
          <w:u w:val="single"/>
        </w:rPr>
        <w:t>Moughataa</w:t>
      </w:r>
      <w:proofErr w:type="spellEnd"/>
      <w:r w:rsidR="00E06D8D">
        <w:rPr>
          <w:rFonts w:asciiTheme="minorHAnsi" w:hAnsiTheme="minorHAnsi" w:cstheme="minorHAnsi"/>
          <w:b/>
          <w:sz w:val="22"/>
          <w:szCs w:val="22"/>
          <w:u w:val="single"/>
        </w:rPr>
        <w:t xml:space="preserve"> de </w:t>
      </w:r>
      <w:proofErr w:type="spellStart"/>
      <w:r w:rsidR="00E06D8D">
        <w:rPr>
          <w:rFonts w:asciiTheme="minorHAnsi" w:hAnsiTheme="minorHAnsi" w:cstheme="minorHAnsi"/>
          <w:b/>
          <w:sz w:val="22"/>
          <w:szCs w:val="22"/>
          <w:u w:val="single"/>
        </w:rPr>
        <w:t>K</w:t>
      </w:r>
      <w:r w:rsidR="00A27296" w:rsidRPr="00D355F3">
        <w:rPr>
          <w:rFonts w:asciiTheme="minorHAnsi" w:hAnsiTheme="minorHAnsi" w:cstheme="minorHAnsi"/>
          <w:b/>
          <w:sz w:val="22"/>
          <w:szCs w:val="22"/>
          <w:u w:val="single"/>
        </w:rPr>
        <w:t>obéni</w:t>
      </w:r>
      <w:proofErr w:type="spellEnd"/>
    </w:p>
    <w:p w:rsidR="00A27296" w:rsidRPr="00D355F3" w:rsidRDefault="00A27296" w:rsidP="00A27296">
      <w:pPr>
        <w:jc w:val="both"/>
        <w:rPr>
          <w:rFonts w:asciiTheme="minorHAnsi" w:hAnsiTheme="minorHAnsi" w:cstheme="minorHAnsi"/>
          <w:sz w:val="22"/>
          <w:szCs w:val="22"/>
        </w:rPr>
      </w:pPr>
    </w:p>
    <w:p w:rsidR="00A27296" w:rsidRDefault="00A27296" w:rsidP="00A27296">
      <w:pPr>
        <w:jc w:val="both"/>
        <w:rPr>
          <w:rFonts w:asciiTheme="minorHAnsi" w:hAnsiTheme="minorHAnsi" w:cstheme="minorHAnsi"/>
          <w:sz w:val="22"/>
          <w:szCs w:val="22"/>
        </w:rPr>
      </w:pPr>
      <w:r w:rsidRPr="00D355F3">
        <w:rPr>
          <w:rFonts w:asciiTheme="minorHAnsi" w:hAnsiTheme="minorHAnsi" w:cstheme="minorHAnsi"/>
          <w:sz w:val="22"/>
          <w:szCs w:val="22"/>
        </w:rPr>
        <w:t xml:space="preserve">Les communes de la </w:t>
      </w:r>
      <w:proofErr w:type="spellStart"/>
      <w:r w:rsidR="001246CD">
        <w:rPr>
          <w:rFonts w:asciiTheme="minorHAnsi" w:hAnsiTheme="minorHAnsi" w:cstheme="minorHAnsi"/>
          <w:sz w:val="22"/>
          <w:szCs w:val="22"/>
        </w:rPr>
        <w:t>Moughataa</w:t>
      </w:r>
      <w:proofErr w:type="spellEnd"/>
      <w:r w:rsidRPr="00D355F3">
        <w:rPr>
          <w:rFonts w:asciiTheme="minorHAnsi" w:hAnsiTheme="minorHAnsi" w:cstheme="minorHAnsi"/>
          <w:sz w:val="22"/>
          <w:szCs w:val="22"/>
        </w:rPr>
        <w:t xml:space="preserve"> de </w:t>
      </w:r>
      <w:proofErr w:type="spellStart"/>
      <w:r w:rsidRPr="00D355F3">
        <w:rPr>
          <w:rFonts w:asciiTheme="minorHAnsi" w:hAnsiTheme="minorHAnsi" w:cstheme="minorHAnsi"/>
          <w:sz w:val="22"/>
          <w:szCs w:val="22"/>
        </w:rPr>
        <w:t>Ko</w:t>
      </w:r>
      <w:r w:rsidR="002B7E88">
        <w:rPr>
          <w:rFonts w:asciiTheme="minorHAnsi" w:hAnsiTheme="minorHAnsi" w:cstheme="minorHAnsi"/>
          <w:sz w:val="22"/>
          <w:szCs w:val="22"/>
        </w:rPr>
        <w:t>béni</w:t>
      </w:r>
      <w:proofErr w:type="spellEnd"/>
      <w:r w:rsidR="002B7E88">
        <w:rPr>
          <w:rFonts w:asciiTheme="minorHAnsi" w:hAnsiTheme="minorHAnsi" w:cstheme="minorHAnsi"/>
          <w:sz w:val="22"/>
          <w:szCs w:val="22"/>
        </w:rPr>
        <w:t xml:space="preserve"> ont bénéficié d’un FRD 2012 pour l’équipement de 74 727 483 MRO (+16,67 % par rapport à 2011). Elles ont engagé 73 263 526</w:t>
      </w:r>
      <w:r w:rsidRPr="00D355F3">
        <w:rPr>
          <w:rFonts w:asciiTheme="minorHAnsi" w:hAnsiTheme="minorHAnsi" w:cstheme="minorHAnsi"/>
          <w:sz w:val="22"/>
          <w:szCs w:val="22"/>
        </w:rPr>
        <w:t xml:space="preserve"> MRO pour la réalisation de </w:t>
      </w:r>
      <w:r w:rsidR="002B7E88">
        <w:rPr>
          <w:rFonts w:asciiTheme="minorHAnsi" w:hAnsiTheme="minorHAnsi" w:cstheme="minorHAnsi"/>
          <w:b/>
          <w:sz w:val="22"/>
          <w:szCs w:val="22"/>
        </w:rPr>
        <w:t>113</w:t>
      </w:r>
      <w:r w:rsidRPr="00544D5A">
        <w:rPr>
          <w:rFonts w:asciiTheme="minorHAnsi" w:hAnsiTheme="minorHAnsi" w:cstheme="minorHAnsi"/>
          <w:b/>
          <w:sz w:val="22"/>
          <w:szCs w:val="22"/>
        </w:rPr>
        <w:t xml:space="preserve"> projets</w:t>
      </w:r>
      <w:r w:rsidRPr="00D355F3">
        <w:rPr>
          <w:rFonts w:asciiTheme="minorHAnsi" w:hAnsiTheme="minorHAnsi" w:cstheme="minorHAnsi"/>
          <w:sz w:val="22"/>
          <w:szCs w:val="22"/>
        </w:rPr>
        <w:t xml:space="preserve">, soit un </w:t>
      </w:r>
      <w:r w:rsidR="002B7E88">
        <w:rPr>
          <w:rFonts w:asciiTheme="minorHAnsi" w:hAnsiTheme="minorHAnsi" w:cstheme="minorHAnsi"/>
          <w:b/>
          <w:sz w:val="22"/>
          <w:szCs w:val="22"/>
        </w:rPr>
        <w:t xml:space="preserve">taux </w:t>
      </w:r>
      <w:r w:rsidR="005D5E53">
        <w:rPr>
          <w:rFonts w:asciiTheme="minorHAnsi" w:hAnsiTheme="minorHAnsi" w:cstheme="minorHAnsi"/>
          <w:b/>
          <w:sz w:val="22"/>
          <w:szCs w:val="22"/>
        </w:rPr>
        <w:t xml:space="preserve">honorable </w:t>
      </w:r>
      <w:r w:rsidR="002B7E88">
        <w:rPr>
          <w:rFonts w:asciiTheme="minorHAnsi" w:hAnsiTheme="minorHAnsi" w:cstheme="minorHAnsi"/>
          <w:b/>
          <w:sz w:val="22"/>
          <w:szCs w:val="22"/>
        </w:rPr>
        <w:t>d’absorption de 98,04</w:t>
      </w:r>
      <w:r w:rsidRPr="00544D5A">
        <w:rPr>
          <w:rFonts w:asciiTheme="minorHAnsi" w:hAnsiTheme="minorHAnsi" w:cstheme="minorHAnsi"/>
          <w:b/>
          <w:sz w:val="22"/>
          <w:szCs w:val="22"/>
        </w:rPr>
        <w:t xml:space="preserve"> %</w:t>
      </w:r>
      <w:r w:rsidRPr="00D355F3">
        <w:rPr>
          <w:rFonts w:asciiTheme="minorHAnsi" w:hAnsiTheme="minorHAnsi" w:cstheme="minorHAnsi"/>
          <w:sz w:val="22"/>
          <w:szCs w:val="22"/>
        </w:rPr>
        <w:t>.</w:t>
      </w:r>
      <w:r>
        <w:rPr>
          <w:rFonts w:asciiTheme="minorHAnsi" w:hAnsiTheme="minorHAnsi" w:cstheme="minorHAnsi"/>
          <w:sz w:val="22"/>
          <w:szCs w:val="22"/>
        </w:rPr>
        <w:t xml:space="preserve"> </w:t>
      </w:r>
    </w:p>
    <w:p w:rsidR="00A27296" w:rsidRDefault="00A27296" w:rsidP="00A27296">
      <w:pPr>
        <w:jc w:val="both"/>
        <w:rPr>
          <w:rFonts w:asciiTheme="minorHAnsi" w:hAnsiTheme="minorHAnsi" w:cstheme="minorHAnsi"/>
          <w:sz w:val="22"/>
          <w:szCs w:val="22"/>
        </w:rPr>
      </w:pPr>
    </w:p>
    <w:p w:rsidR="00A27296" w:rsidRDefault="000A2F19" w:rsidP="00A27296">
      <w:pPr>
        <w:jc w:val="both"/>
        <w:rPr>
          <w:rFonts w:asciiTheme="minorHAnsi" w:hAnsiTheme="minorHAnsi" w:cstheme="minorHAnsi"/>
          <w:sz w:val="22"/>
          <w:szCs w:val="22"/>
        </w:rPr>
      </w:pPr>
      <w:r w:rsidRPr="000A2F19">
        <w:rPr>
          <w:noProof/>
        </w:rPr>
        <w:drawing>
          <wp:inline distT="0" distB="0" distL="0" distR="0">
            <wp:extent cx="3486150" cy="2990850"/>
            <wp:effectExtent l="19050" t="0" r="0" b="0"/>
            <wp:docPr id="330"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cstate="print"/>
                    <a:stretch>
                      <a:fillRect/>
                    </a:stretch>
                  </pic:blipFill>
                  <pic:spPr>
                    <a:xfrm>
                      <a:off x="0" y="0"/>
                      <a:ext cx="3485716" cy="2990477"/>
                    </a:xfrm>
                    <a:prstGeom prst="rect">
                      <a:avLst/>
                    </a:prstGeom>
                  </pic:spPr>
                </pic:pic>
              </a:graphicData>
            </a:graphic>
          </wp:inline>
        </w:drawing>
      </w:r>
      <w:r w:rsidR="00D4494E" w:rsidRPr="00D4494E">
        <w:rPr>
          <w:rFonts w:asciiTheme="minorHAnsi" w:hAnsiTheme="minorHAnsi" w:cstheme="minorHAnsi"/>
          <w:noProof/>
          <w:sz w:val="22"/>
          <w:szCs w:val="22"/>
        </w:rPr>
        <w:drawing>
          <wp:inline distT="0" distB="0" distL="0" distR="0">
            <wp:extent cx="3076575" cy="2990850"/>
            <wp:effectExtent l="19050" t="0" r="9525" b="0"/>
            <wp:docPr id="557"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cstate="print"/>
                    <a:stretch>
                      <a:fillRect/>
                    </a:stretch>
                  </pic:blipFill>
                  <pic:spPr>
                    <a:xfrm>
                      <a:off x="0" y="0"/>
                      <a:ext cx="3076575" cy="2990850"/>
                    </a:xfrm>
                    <a:prstGeom prst="rect">
                      <a:avLst/>
                    </a:prstGeom>
                  </pic:spPr>
                </pic:pic>
              </a:graphicData>
            </a:graphic>
          </wp:inline>
        </w:drawing>
      </w:r>
    </w:p>
    <w:p w:rsidR="00127F9E" w:rsidRDefault="00127F9E" w:rsidP="00A27296">
      <w:pPr>
        <w:jc w:val="both"/>
        <w:rPr>
          <w:rFonts w:asciiTheme="minorHAnsi" w:hAnsiTheme="minorHAnsi" w:cstheme="minorHAnsi"/>
          <w:sz w:val="22"/>
          <w:szCs w:val="22"/>
        </w:rPr>
      </w:pPr>
      <w:r w:rsidRPr="00127F9E">
        <w:rPr>
          <w:noProof/>
          <w:szCs w:val="22"/>
        </w:rPr>
        <w:drawing>
          <wp:inline distT="0" distB="0" distL="0" distR="0">
            <wp:extent cx="6645910" cy="1887331"/>
            <wp:effectExtent l="19050" t="0" r="2540" b="0"/>
            <wp:docPr id="227"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2" cstate="print"/>
                    <a:srcRect/>
                    <a:stretch>
                      <a:fillRect/>
                    </a:stretch>
                  </pic:blipFill>
                  <pic:spPr bwMode="auto">
                    <a:xfrm>
                      <a:off x="0" y="0"/>
                      <a:ext cx="6645910" cy="1887331"/>
                    </a:xfrm>
                    <a:prstGeom prst="rect">
                      <a:avLst/>
                    </a:prstGeom>
                    <a:noFill/>
                    <a:ln w="9525">
                      <a:noFill/>
                      <a:miter lim="800000"/>
                      <a:headEnd/>
                      <a:tailEnd/>
                    </a:ln>
                  </pic:spPr>
                </pic:pic>
              </a:graphicData>
            </a:graphic>
          </wp:inline>
        </w:drawing>
      </w:r>
    </w:p>
    <w:p w:rsidR="00127F9E" w:rsidRDefault="00127F9E" w:rsidP="00A27296">
      <w:pPr>
        <w:jc w:val="both"/>
        <w:rPr>
          <w:rFonts w:asciiTheme="minorHAnsi" w:hAnsiTheme="minorHAnsi" w:cstheme="minorHAnsi"/>
          <w:sz w:val="22"/>
          <w:szCs w:val="22"/>
        </w:rPr>
      </w:pPr>
    </w:p>
    <w:p w:rsidR="00127F9E" w:rsidRPr="00D355F3" w:rsidRDefault="00127F9E" w:rsidP="00127F9E">
      <w:pPr>
        <w:jc w:val="both"/>
        <w:rPr>
          <w:rFonts w:asciiTheme="minorHAnsi" w:hAnsiTheme="minorHAnsi" w:cstheme="minorHAnsi"/>
          <w:sz w:val="22"/>
          <w:szCs w:val="22"/>
        </w:rPr>
      </w:pPr>
      <w:r w:rsidRPr="00D355F3">
        <w:rPr>
          <w:rFonts w:asciiTheme="minorHAnsi" w:hAnsiTheme="minorHAnsi" w:cstheme="minorHAnsi"/>
          <w:sz w:val="22"/>
          <w:szCs w:val="22"/>
        </w:rPr>
        <w:t xml:space="preserve">Le montant moyen de l’investissement par projet pour la </w:t>
      </w:r>
      <w:proofErr w:type="spellStart"/>
      <w:r w:rsidR="001246CD">
        <w:rPr>
          <w:rFonts w:asciiTheme="minorHAnsi" w:hAnsiTheme="minorHAnsi" w:cstheme="minorHAnsi"/>
          <w:sz w:val="22"/>
          <w:szCs w:val="22"/>
        </w:rPr>
        <w:t>Moughataa</w:t>
      </w:r>
      <w:proofErr w:type="spellEnd"/>
      <w:r w:rsidRPr="00D355F3">
        <w:rPr>
          <w:rFonts w:asciiTheme="minorHAnsi" w:hAnsiTheme="minorHAnsi" w:cstheme="minorHAnsi"/>
          <w:sz w:val="22"/>
          <w:szCs w:val="22"/>
        </w:rPr>
        <w:t xml:space="preserve"> est en </w:t>
      </w:r>
      <w:r w:rsidRPr="00D355F3">
        <w:rPr>
          <w:rFonts w:asciiTheme="minorHAnsi" w:hAnsiTheme="minorHAnsi" w:cstheme="minorHAnsi"/>
          <w:b/>
          <w:sz w:val="22"/>
          <w:szCs w:val="22"/>
        </w:rPr>
        <w:t xml:space="preserve">très forte </w:t>
      </w:r>
      <w:r>
        <w:rPr>
          <w:rFonts w:asciiTheme="minorHAnsi" w:hAnsiTheme="minorHAnsi" w:cstheme="minorHAnsi"/>
          <w:b/>
          <w:sz w:val="22"/>
          <w:szCs w:val="22"/>
        </w:rPr>
        <w:t>baisse</w:t>
      </w:r>
      <w:r>
        <w:rPr>
          <w:rFonts w:asciiTheme="minorHAnsi" w:hAnsiTheme="minorHAnsi" w:cstheme="minorHAnsi"/>
          <w:sz w:val="22"/>
          <w:szCs w:val="22"/>
        </w:rPr>
        <w:t xml:space="preserve"> par rapport à 2011</w:t>
      </w:r>
      <w:r w:rsidRPr="00D355F3">
        <w:rPr>
          <w:rFonts w:asciiTheme="minorHAnsi" w:hAnsiTheme="minorHAnsi" w:cstheme="minorHAnsi"/>
          <w:sz w:val="22"/>
          <w:szCs w:val="22"/>
        </w:rPr>
        <w:t xml:space="preserve"> </w:t>
      </w:r>
      <w:r>
        <w:rPr>
          <w:rFonts w:asciiTheme="minorHAnsi" w:hAnsiTheme="minorHAnsi" w:cstheme="minorHAnsi"/>
          <w:sz w:val="22"/>
          <w:szCs w:val="22"/>
        </w:rPr>
        <w:t>en raison de l’explosion du nombre de projets (passant de 50 à 113). Cette parcellisation de l’investissement est donc imputable au volume de projets liés au secteur de l’hydraulique (Priorité n°1 avec 57 projets pour 22 148 416 MRO, soit une moyenne de 389 000 MRO par projet). Par conséquent, le montant moyen par projet baisse de 1 313 240 MRO en 2011 à 648 350 MRO en 2012.</w:t>
      </w:r>
    </w:p>
    <w:p w:rsidR="00127F9E" w:rsidRDefault="00127F9E" w:rsidP="00A27296">
      <w:pPr>
        <w:jc w:val="both"/>
        <w:rPr>
          <w:rFonts w:asciiTheme="minorHAnsi" w:hAnsiTheme="minorHAnsi" w:cstheme="minorHAnsi"/>
          <w:sz w:val="22"/>
          <w:szCs w:val="22"/>
        </w:rPr>
      </w:pPr>
    </w:p>
    <w:p w:rsidR="00127F9E" w:rsidRPr="00D355F3" w:rsidRDefault="00127F9E" w:rsidP="00A27296">
      <w:pPr>
        <w:jc w:val="both"/>
        <w:rPr>
          <w:rFonts w:asciiTheme="minorHAnsi" w:hAnsiTheme="minorHAnsi" w:cstheme="minorHAnsi"/>
          <w:sz w:val="22"/>
          <w:szCs w:val="22"/>
        </w:rPr>
      </w:pPr>
    </w:p>
    <w:p w:rsidR="00A27296" w:rsidRDefault="00D4494E" w:rsidP="00A27296">
      <w:pPr>
        <w:jc w:val="both"/>
        <w:rPr>
          <w:rFonts w:asciiTheme="minorHAnsi" w:hAnsiTheme="minorHAnsi" w:cstheme="minorHAnsi"/>
          <w:sz w:val="22"/>
          <w:szCs w:val="22"/>
        </w:rPr>
      </w:pPr>
      <w:r w:rsidRPr="00D4494E">
        <w:rPr>
          <w:rFonts w:asciiTheme="minorHAnsi" w:hAnsiTheme="minorHAnsi" w:cstheme="minorHAnsi"/>
          <w:noProof/>
          <w:sz w:val="22"/>
          <w:szCs w:val="22"/>
        </w:rPr>
        <w:drawing>
          <wp:inline distT="0" distB="0" distL="0" distR="0">
            <wp:extent cx="6581775" cy="2457450"/>
            <wp:effectExtent l="19050" t="0" r="9525" b="0"/>
            <wp:docPr id="558"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cstate="print"/>
                    <a:stretch>
                      <a:fillRect/>
                    </a:stretch>
                  </pic:blipFill>
                  <pic:spPr>
                    <a:xfrm>
                      <a:off x="0" y="0"/>
                      <a:ext cx="6580953" cy="2457143"/>
                    </a:xfrm>
                    <a:prstGeom prst="rect">
                      <a:avLst/>
                    </a:prstGeom>
                  </pic:spPr>
                </pic:pic>
              </a:graphicData>
            </a:graphic>
          </wp:inline>
        </w:drawing>
      </w:r>
    </w:p>
    <w:p w:rsidR="00127F9E" w:rsidRDefault="00127F9E" w:rsidP="00A27296">
      <w:pPr>
        <w:jc w:val="both"/>
        <w:rPr>
          <w:rFonts w:asciiTheme="minorHAnsi" w:hAnsiTheme="minorHAnsi" w:cstheme="minorHAnsi"/>
          <w:sz w:val="22"/>
          <w:szCs w:val="22"/>
        </w:rPr>
      </w:pPr>
    </w:p>
    <w:p w:rsidR="001334F6" w:rsidRDefault="0041746A" w:rsidP="00A27296">
      <w:pPr>
        <w:jc w:val="both"/>
        <w:rPr>
          <w:rFonts w:asciiTheme="minorHAnsi" w:hAnsiTheme="minorHAnsi" w:cstheme="minorHAnsi"/>
          <w:sz w:val="22"/>
          <w:szCs w:val="22"/>
        </w:rPr>
      </w:pPr>
      <w:r w:rsidRPr="0041746A">
        <w:rPr>
          <w:noProof/>
        </w:rPr>
        <w:drawing>
          <wp:inline distT="0" distB="0" distL="0" distR="0">
            <wp:extent cx="6581775" cy="2581275"/>
            <wp:effectExtent l="19050" t="0" r="9525" b="0"/>
            <wp:docPr id="129"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cstate="print"/>
                    <a:stretch>
                      <a:fillRect/>
                    </a:stretch>
                  </pic:blipFill>
                  <pic:spPr>
                    <a:xfrm>
                      <a:off x="0" y="0"/>
                      <a:ext cx="6581775" cy="2581275"/>
                    </a:xfrm>
                    <a:prstGeom prst="rect">
                      <a:avLst/>
                    </a:prstGeom>
                  </pic:spPr>
                </pic:pic>
              </a:graphicData>
            </a:graphic>
          </wp:inline>
        </w:drawing>
      </w:r>
    </w:p>
    <w:p w:rsidR="0041746A" w:rsidRDefault="0041746A" w:rsidP="00A27296">
      <w:pPr>
        <w:jc w:val="both"/>
        <w:rPr>
          <w:rFonts w:asciiTheme="minorHAnsi" w:hAnsiTheme="minorHAnsi" w:cstheme="minorHAnsi"/>
          <w:sz w:val="22"/>
          <w:szCs w:val="22"/>
        </w:rPr>
      </w:pPr>
    </w:p>
    <w:p w:rsidR="00A27296" w:rsidRDefault="00E04DE8" w:rsidP="00A27296">
      <w:pPr>
        <w:jc w:val="both"/>
        <w:rPr>
          <w:rFonts w:asciiTheme="minorHAnsi" w:hAnsiTheme="minorHAnsi" w:cstheme="minorHAnsi"/>
          <w:sz w:val="22"/>
          <w:szCs w:val="22"/>
        </w:rPr>
      </w:pPr>
      <w:r>
        <w:rPr>
          <w:rFonts w:asciiTheme="minorHAnsi" w:hAnsiTheme="minorHAnsi" w:cstheme="minorHAnsi"/>
          <w:sz w:val="22"/>
          <w:szCs w:val="22"/>
        </w:rPr>
        <w:t>En deuxièm</w:t>
      </w:r>
      <w:r w:rsidR="00ED203E">
        <w:rPr>
          <w:rFonts w:asciiTheme="minorHAnsi" w:hAnsiTheme="minorHAnsi" w:cstheme="minorHAnsi"/>
          <w:sz w:val="22"/>
          <w:szCs w:val="22"/>
        </w:rPr>
        <w:t xml:space="preserve">e position arrive le secteur </w:t>
      </w:r>
      <w:r>
        <w:rPr>
          <w:rFonts w:asciiTheme="minorHAnsi" w:hAnsiTheme="minorHAnsi" w:cstheme="minorHAnsi"/>
          <w:sz w:val="22"/>
          <w:szCs w:val="22"/>
        </w:rPr>
        <w:t xml:space="preserve">du </w:t>
      </w:r>
      <w:proofErr w:type="spellStart"/>
      <w:r>
        <w:rPr>
          <w:rFonts w:asciiTheme="minorHAnsi" w:hAnsiTheme="minorHAnsi" w:cstheme="minorHAnsi"/>
          <w:sz w:val="22"/>
          <w:szCs w:val="22"/>
        </w:rPr>
        <w:t>socio-culturel</w:t>
      </w:r>
      <w:proofErr w:type="spellEnd"/>
      <w:r>
        <w:rPr>
          <w:rFonts w:asciiTheme="minorHAnsi" w:hAnsiTheme="minorHAnsi" w:cstheme="minorHAnsi"/>
          <w:sz w:val="22"/>
          <w:szCs w:val="22"/>
        </w:rPr>
        <w:t xml:space="preserve"> (24,68% avec 13 projets à hauteur de 18 080 000 MRO) : une particularité à relever eu égard aux priorités nationales habituellement dégagées.</w:t>
      </w:r>
    </w:p>
    <w:p w:rsidR="00A04B77" w:rsidRDefault="00E04DE8" w:rsidP="00A27296">
      <w:pPr>
        <w:jc w:val="both"/>
        <w:rPr>
          <w:rFonts w:asciiTheme="minorHAnsi" w:hAnsiTheme="minorHAnsi" w:cstheme="minorHAnsi"/>
          <w:sz w:val="22"/>
          <w:szCs w:val="22"/>
        </w:rPr>
      </w:pPr>
      <w:r>
        <w:rPr>
          <w:rFonts w:asciiTheme="minorHAnsi" w:hAnsiTheme="minorHAnsi" w:cstheme="minorHAnsi"/>
          <w:sz w:val="22"/>
          <w:szCs w:val="22"/>
        </w:rPr>
        <w:t>Enfin, en troisième position, le secteur de l’éducation (22 projets pour un montant total de 13 019 584 MRO) pour 17,77% des engagements.</w:t>
      </w:r>
    </w:p>
    <w:p w:rsidR="00A27296" w:rsidRPr="00D355F3" w:rsidRDefault="00A27296" w:rsidP="00A27296">
      <w:pPr>
        <w:jc w:val="center"/>
        <w:rPr>
          <w:rFonts w:asciiTheme="minorHAnsi" w:hAnsiTheme="minorHAnsi" w:cstheme="minorHAnsi"/>
          <w:sz w:val="22"/>
          <w:szCs w:val="22"/>
        </w:rPr>
      </w:pPr>
    </w:p>
    <w:p w:rsidR="00A27296" w:rsidRDefault="00A27296" w:rsidP="00A27296">
      <w:pPr>
        <w:rPr>
          <w:rFonts w:asciiTheme="minorHAnsi" w:hAnsiTheme="minorHAnsi" w:cstheme="minorHAnsi"/>
          <w:b/>
          <w:u w:val="single"/>
        </w:rPr>
      </w:pPr>
    </w:p>
    <w:p w:rsidR="00A27296" w:rsidRPr="008034A1" w:rsidRDefault="001246CD" w:rsidP="00A27296">
      <w:pPr>
        <w:jc w:val="center"/>
        <w:rPr>
          <w:rFonts w:asciiTheme="minorHAnsi" w:hAnsiTheme="minorHAnsi" w:cstheme="minorHAnsi"/>
          <w:u w:val="single"/>
        </w:rPr>
      </w:pPr>
      <w:proofErr w:type="spellStart"/>
      <w:r>
        <w:rPr>
          <w:rFonts w:asciiTheme="minorHAnsi" w:hAnsiTheme="minorHAnsi" w:cstheme="minorHAnsi"/>
          <w:b/>
          <w:u w:val="single"/>
        </w:rPr>
        <w:t>Moughataa</w:t>
      </w:r>
      <w:proofErr w:type="spellEnd"/>
      <w:r w:rsidR="00A27296" w:rsidRPr="008034A1">
        <w:rPr>
          <w:rFonts w:asciiTheme="minorHAnsi" w:hAnsiTheme="minorHAnsi" w:cstheme="minorHAnsi"/>
          <w:b/>
          <w:u w:val="single"/>
        </w:rPr>
        <w:t xml:space="preserve"> de </w:t>
      </w:r>
      <w:proofErr w:type="spellStart"/>
      <w:r w:rsidR="00A27296" w:rsidRPr="008034A1">
        <w:rPr>
          <w:rFonts w:asciiTheme="minorHAnsi" w:hAnsiTheme="minorHAnsi" w:cstheme="minorHAnsi"/>
          <w:b/>
          <w:u w:val="single"/>
        </w:rPr>
        <w:t>Tamchekett</w:t>
      </w:r>
      <w:proofErr w:type="spellEnd"/>
    </w:p>
    <w:p w:rsidR="00A27296" w:rsidRDefault="00A27296" w:rsidP="00A27296">
      <w:pPr>
        <w:rPr>
          <w:rFonts w:asciiTheme="minorHAnsi" w:hAnsiTheme="minorHAnsi" w:cstheme="minorHAnsi"/>
        </w:rPr>
      </w:pPr>
    </w:p>
    <w:p w:rsidR="00A27296" w:rsidRPr="00690066" w:rsidRDefault="00A27296" w:rsidP="00A27296">
      <w:pPr>
        <w:jc w:val="both"/>
        <w:rPr>
          <w:rFonts w:asciiTheme="minorHAnsi" w:hAnsiTheme="minorHAnsi" w:cstheme="minorHAnsi"/>
          <w:sz w:val="22"/>
          <w:szCs w:val="22"/>
        </w:rPr>
      </w:pPr>
      <w:r w:rsidRPr="00690066">
        <w:rPr>
          <w:rFonts w:asciiTheme="minorHAnsi" w:hAnsiTheme="minorHAnsi" w:cstheme="minorHAnsi"/>
          <w:sz w:val="22"/>
          <w:szCs w:val="22"/>
        </w:rPr>
        <w:t xml:space="preserve">Les communes de la </w:t>
      </w:r>
      <w:proofErr w:type="spellStart"/>
      <w:r w:rsidR="001246CD">
        <w:rPr>
          <w:rFonts w:asciiTheme="minorHAnsi" w:hAnsiTheme="minorHAnsi" w:cstheme="minorHAnsi"/>
          <w:sz w:val="22"/>
          <w:szCs w:val="22"/>
        </w:rPr>
        <w:t>Moughataa</w:t>
      </w:r>
      <w:proofErr w:type="spellEnd"/>
      <w:r w:rsidRPr="00690066">
        <w:rPr>
          <w:rFonts w:asciiTheme="minorHAnsi" w:hAnsiTheme="minorHAnsi" w:cstheme="minorHAnsi"/>
          <w:sz w:val="22"/>
          <w:szCs w:val="22"/>
        </w:rPr>
        <w:t xml:space="preserve"> de </w:t>
      </w:r>
      <w:proofErr w:type="spellStart"/>
      <w:r w:rsidRPr="00690066">
        <w:rPr>
          <w:rFonts w:asciiTheme="minorHAnsi" w:hAnsiTheme="minorHAnsi" w:cstheme="minorHAnsi"/>
          <w:sz w:val="22"/>
          <w:szCs w:val="22"/>
        </w:rPr>
        <w:t>Tameche</w:t>
      </w:r>
      <w:r w:rsidR="00E04DE8">
        <w:rPr>
          <w:rFonts w:asciiTheme="minorHAnsi" w:hAnsiTheme="minorHAnsi" w:cstheme="minorHAnsi"/>
          <w:sz w:val="22"/>
          <w:szCs w:val="22"/>
        </w:rPr>
        <w:t>kett</w:t>
      </w:r>
      <w:proofErr w:type="spellEnd"/>
      <w:r w:rsidR="00E04DE8">
        <w:rPr>
          <w:rFonts w:asciiTheme="minorHAnsi" w:hAnsiTheme="minorHAnsi" w:cstheme="minorHAnsi"/>
          <w:sz w:val="22"/>
          <w:szCs w:val="22"/>
        </w:rPr>
        <w:t xml:space="preserve"> ont bénéficié d’un FRD 2012 pour l’équipement de 30 165 660</w:t>
      </w:r>
      <w:r w:rsidRPr="00690066">
        <w:rPr>
          <w:rFonts w:asciiTheme="minorHAnsi" w:hAnsiTheme="minorHAnsi" w:cstheme="minorHAnsi"/>
          <w:sz w:val="22"/>
          <w:szCs w:val="22"/>
        </w:rPr>
        <w:t xml:space="preserve"> </w:t>
      </w:r>
      <w:r w:rsidR="00E04DE8">
        <w:rPr>
          <w:rFonts w:asciiTheme="minorHAnsi" w:hAnsiTheme="minorHAnsi" w:cstheme="minorHAnsi"/>
          <w:sz w:val="22"/>
          <w:szCs w:val="22"/>
        </w:rPr>
        <w:t>MRO (+13,46 % par rapport à 2011). Elles ont engagé 36 188 961</w:t>
      </w:r>
      <w:r w:rsidRPr="00690066">
        <w:rPr>
          <w:rFonts w:asciiTheme="minorHAnsi" w:hAnsiTheme="minorHAnsi" w:cstheme="minorHAnsi"/>
          <w:sz w:val="22"/>
          <w:szCs w:val="22"/>
        </w:rPr>
        <w:t xml:space="preserve"> MRO pour la réalisation de </w:t>
      </w:r>
      <w:r w:rsidR="00E04DE8">
        <w:rPr>
          <w:rFonts w:asciiTheme="minorHAnsi" w:hAnsiTheme="minorHAnsi" w:cstheme="minorHAnsi"/>
          <w:b/>
          <w:sz w:val="22"/>
          <w:szCs w:val="22"/>
        </w:rPr>
        <w:t>109</w:t>
      </w:r>
      <w:r w:rsidRPr="00544D5A">
        <w:rPr>
          <w:rFonts w:asciiTheme="minorHAnsi" w:hAnsiTheme="minorHAnsi" w:cstheme="minorHAnsi"/>
          <w:b/>
          <w:sz w:val="22"/>
          <w:szCs w:val="22"/>
        </w:rPr>
        <w:t xml:space="preserve"> projets</w:t>
      </w:r>
      <w:r w:rsidRPr="00690066">
        <w:rPr>
          <w:rFonts w:asciiTheme="minorHAnsi" w:hAnsiTheme="minorHAnsi" w:cstheme="minorHAnsi"/>
          <w:sz w:val="22"/>
          <w:szCs w:val="22"/>
        </w:rPr>
        <w:t xml:space="preserve">, soit </w:t>
      </w:r>
      <w:r w:rsidR="00E04DE8">
        <w:rPr>
          <w:rFonts w:asciiTheme="minorHAnsi" w:hAnsiTheme="minorHAnsi" w:cstheme="minorHAnsi"/>
          <w:b/>
          <w:sz w:val="22"/>
          <w:szCs w:val="22"/>
        </w:rPr>
        <w:t>un taux d’absorption de 119,97</w:t>
      </w:r>
      <w:r w:rsidRPr="00690066">
        <w:rPr>
          <w:rFonts w:asciiTheme="minorHAnsi" w:hAnsiTheme="minorHAnsi" w:cstheme="minorHAnsi"/>
          <w:b/>
          <w:sz w:val="22"/>
          <w:szCs w:val="22"/>
        </w:rPr>
        <w:t xml:space="preserve"> %.</w:t>
      </w:r>
    </w:p>
    <w:p w:rsidR="00A27296" w:rsidRDefault="00A27296" w:rsidP="00A27296">
      <w:pPr>
        <w:jc w:val="both"/>
        <w:rPr>
          <w:rFonts w:asciiTheme="minorHAnsi" w:hAnsiTheme="minorHAnsi" w:cstheme="minorHAnsi"/>
        </w:rPr>
      </w:pPr>
    </w:p>
    <w:p w:rsidR="00A27296" w:rsidRDefault="000A2F19" w:rsidP="00A27296">
      <w:pPr>
        <w:jc w:val="both"/>
        <w:rPr>
          <w:rFonts w:asciiTheme="minorHAnsi" w:hAnsiTheme="minorHAnsi" w:cstheme="minorHAnsi"/>
        </w:rPr>
      </w:pPr>
      <w:r w:rsidRPr="000A2F19">
        <w:rPr>
          <w:noProof/>
        </w:rPr>
        <w:drawing>
          <wp:inline distT="0" distB="0" distL="0" distR="0">
            <wp:extent cx="3267075" cy="4076700"/>
            <wp:effectExtent l="19050" t="0" r="9525" b="0"/>
            <wp:docPr id="331"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cstate="print"/>
                    <a:stretch>
                      <a:fillRect/>
                    </a:stretch>
                  </pic:blipFill>
                  <pic:spPr>
                    <a:xfrm>
                      <a:off x="0" y="0"/>
                      <a:ext cx="3267075" cy="4076700"/>
                    </a:xfrm>
                    <a:prstGeom prst="rect">
                      <a:avLst/>
                    </a:prstGeom>
                  </pic:spPr>
                </pic:pic>
              </a:graphicData>
            </a:graphic>
          </wp:inline>
        </w:drawing>
      </w:r>
      <w:r w:rsidR="00D4494E" w:rsidRPr="00D4494E">
        <w:rPr>
          <w:rFonts w:asciiTheme="minorHAnsi" w:hAnsiTheme="minorHAnsi" w:cstheme="minorHAnsi"/>
          <w:noProof/>
        </w:rPr>
        <w:drawing>
          <wp:inline distT="0" distB="0" distL="0" distR="0">
            <wp:extent cx="3314700" cy="4076700"/>
            <wp:effectExtent l="19050" t="0" r="0" b="0"/>
            <wp:docPr id="555"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cstate="print"/>
                    <a:stretch>
                      <a:fillRect/>
                    </a:stretch>
                  </pic:blipFill>
                  <pic:spPr>
                    <a:xfrm>
                      <a:off x="0" y="0"/>
                      <a:ext cx="3314286" cy="4076191"/>
                    </a:xfrm>
                    <a:prstGeom prst="rect">
                      <a:avLst/>
                    </a:prstGeom>
                  </pic:spPr>
                </pic:pic>
              </a:graphicData>
            </a:graphic>
          </wp:inline>
        </w:drawing>
      </w:r>
    </w:p>
    <w:p w:rsidR="00127F9E" w:rsidRDefault="00127F9E" w:rsidP="00A27296">
      <w:pPr>
        <w:jc w:val="both"/>
        <w:rPr>
          <w:rFonts w:asciiTheme="minorHAnsi" w:hAnsiTheme="minorHAnsi" w:cstheme="minorHAnsi"/>
        </w:rPr>
      </w:pPr>
      <w:r w:rsidRPr="00127F9E">
        <w:rPr>
          <w:noProof/>
        </w:rPr>
        <w:drawing>
          <wp:inline distT="0" distB="0" distL="0" distR="0">
            <wp:extent cx="6645910" cy="1538488"/>
            <wp:effectExtent l="19050" t="0" r="2540" b="0"/>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7" cstate="print"/>
                    <a:srcRect/>
                    <a:stretch>
                      <a:fillRect/>
                    </a:stretch>
                  </pic:blipFill>
                  <pic:spPr bwMode="auto">
                    <a:xfrm>
                      <a:off x="0" y="0"/>
                      <a:ext cx="6645910" cy="1538488"/>
                    </a:xfrm>
                    <a:prstGeom prst="rect">
                      <a:avLst/>
                    </a:prstGeom>
                    <a:noFill/>
                    <a:ln w="9525">
                      <a:noFill/>
                      <a:miter lim="800000"/>
                      <a:headEnd/>
                      <a:tailEnd/>
                    </a:ln>
                  </pic:spPr>
                </pic:pic>
              </a:graphicData>
            </a:graphic>
          </wp:inline>
        </w:drawing>
      </w:r>
    </w:p>
    <w:p w:rsidR="00127F9E" w:rsidRPr="00690066" w:rsidRDefault="00127F9E" w:rsidP="00127F9E">
      <w:pPr>
        <w:jc w:val="both"/>
        <w:rPr>
          <w:rFonts w:asciiTheme="minorHAnsi" w:hAnsiTheme="minorHAnsi" w:cstheme="minorHAnsi"/>
          <w:sz w:val="22"/>
          <w:szCs w:val="22"/>
        </w:rPr>
      </w:pPr>
      <w:r w:rsidRPr="00690066">
        <w:rPr>
          <w:rFonts w:asciiTheme="minorHAnsi" w:hAnsiTheme="minorHAnsi" w:cstheme="minorHAnsi"/>
          <w:sz w:val="22"/>
          <w:szCs w:val="22"/>
        </w:rPr>
        <w:t>C</w:t>
      </w:r>
      <w:r>
        <w:rPr>
          <w:rFonts w:asciiTheme="minorHAnsi" w:hAnsiTheme="minorHAnsi" w:cstheme="minorHAnsi"/>
          <w:sz w:val="22"/>
          <w:szCs w:val="22"/>
        </w:rPr>
        <w:t>e taux d’absorption très élevé</w:t>
      </w:r>
      <w:r w:rsidR="00D138DF">
        <w:rPr>
          <w:rFonts w:asciiTheme="minorHAnsi" w:hAnsiTheme="minorHAnsi" w:cstheme="minorHAnsi"/>
          <w:sz w:val="22"/>
          <w:szCs w:val="22"/>
        </w:rPr>
        <w:t xml:space="preserve"> (en particulier pour la Commune de </w:t>
      </w:r>
      <w:proofErr w:type="spellStart"/>
      <w:r w:rsidR="00D138DF">
        <w:rPr>
          <w:rFonts w:asciiTheme="minorHAnsi" w:hAnsiTheme="minorHAnsi" w:cstheme="minorHAnsi"/>
          <w:sz w:val="22"/>
          <w:szCs w:val="22"/>
        </w:rPr>
        <w:t>Tamchekett</w:t>
      </w:r>
      <w:proofErr w:type="spellEnd"/>
      <w:r w:rsidR="00D138DF">
        <w:rPr>
          <w:rFonts w:asciiTheme="minorHAnsi" w:hAnsiTheme="minorHAnsi" w:cstheme="minorHAnsi"/>
          <w:sz w:val="22"/>
          <w:szCs w:val="22"/>
        </w:rPr>
        <w:t xml:space="preserve"> et ses 151,60%)</w:t>
      </w:r>
      <w:r>
        <w:rPr>
          <w:rFonts w:asciiTheme="minorHAnsi" w:hAnsiTheme="minorHAnsi" w:cstheme="minorHAnsi"/>
          <w:sz w:val="22"/>
          <w:szCs w:val="22"/>
        </w:rPr>
        <w:t>, comme ce fut le cas pour 2011 avec plus de 112%, dénote une capacité peu commune à absorber les reliquats</w:t>
      </w:r>
      <w:r w:rsidRPr="00690066">
        <w:rPr>
          <w:rFonts w:asciiTheme="minorHAnsi" w:hAnsiTheme="minorHAnsi" w:cstheme="minorHAnsi"/>
          <w:sz w:val="22"/>
          <w:szCs w:val="22"/>
        </w:rPr>
        <w:t>.</w:t>
      </w:r>
    </w:p>
    <w:p w:rsidR="00127F9E" w:rsidRDefault="00127F9E" w:rsidP="00A27296">
      <w:pPr>
        <w:jc w:val="both"/>
        <w:rPr>
          <w:rFonts w:asciiTheme="minorHAnsi" w:hAnsiTheme="minorHAnsi" w:cstheme="minorHAnsi"/>
        </w:rPr>
      </w:pPr>
    </w:p>
    <w:p w:rsidR="00127F9E" w:rsidRDefault="00127F9E" w:rsidP="00127F9E">
      <w:pPr>
        <w:jc w:val="both"/>
        <w:rPr>
          <w:rFonts w:asciiTheme="minorHAnsi" w:hAnsiTheme="minorHAnsi" w:cstheme="minorHAnsi"/>
          <w:sz w:val="22"/>
          <w:szCs w:val="22"/>
        </w:rPr>
      </w:pPr>
      <w:r w:rsidRPr="00690066">
        <w:rPr>
          <w:rFonts w:asciiTheme="minorHAnsi" w:hAnsiTheme="minorHAnsi" w:cstheme="minorHAnsi"/>
          <w:sz w:val="22"/>
          <w:szCs w:val="22"/>
        </w:rPr>
        <w:t>Le montant moyen de l’investissement par projet pour l</w:t>
      </w:r>
      <w:r>
        <w:rPr>
          <w:rFonts w:asciiTheme="minorHAnsi" w:hAnsiTheme="minorHAnsi" w:cstheme="minorHAnsi"/>
          <w:sz w:val="22"/>
          <w:szCs w:val="22"/>
        </w:rPr>
        <w:t xml:space="preserve">a </w:t>
      </w:r>
      <w:proofErr w:type="spellStart"/>
      <w:r w:rsidR="001246CD">
        <w:rPr>
          <w:rFonts w:asciiTheme="minorHAnsi" w:hAnsiTheme="minorHAnsi" w:cstheme="minorHAnsi"/>
          <w:sz w:val="22"/>
          <w:szCs w:val="22"/>
        </w:rPr>
        <w:t>Moughataa</w:t>
      </w:r>
      <w:proofErr w:type="spellEnd"/>
      <w:r>
        <w:rPr>
          <w:rFonts w:asciiTheme="minorHAnsi" w:hAnsiTheme="minorHAnsi" w:cstheme="minorHAnsi"/>
          <w:sz w:val="22"/>
          <w:szCs w:val="22"/>
        </w:rPr>
        <w:t xml:space="preserve"> est en légère baisse, passant de 367 994 MRO en 2011 à 332 009 MRO en 2012, avec pour explication l’augmentation du nombre de projets : 81 en 2011 et 109 en 2012.</w:t>
      </w:r>
      <w:r w:rsidRPr="00690066">
        <w:rPr>
          <w:rFonts w:asciiTheme="minorHAnsi" w:hAnsiTheme="minorHAnsi" w:cstheme="minorHAnsi"/>
          <w:sz w:val="22"/>
          <w:szCs w:val="22"/>
        </w:rPr>
        <w:t xml:space="preserve"> </w:t>
      </w:r>
    </w:p>
    <w:p w:rsidR="00127F9E" w:rsidRDefault="00127F9E" w:rsidP="00A27296">
      <w:pPr>
        <w:jc w:val="both"/>
        <w:rPr>
          <w:rFonts w:asciiTheme="minorHAnsi" w:hAnsiTheme="minorHAnsi" w:cstheme="minorHAnsi"/>
        </w:rPr>
      </w:pPr>
    </w:p>
    <w:p w:rsidR="00A27296" w:rsidRDefault="00D4494E" w:rsidP="00A27296">
      <w:pPr>
        <w:jc w:val="both"/>
        <w:rPr>
          <w:rFonts w:asciiTheme="minorHAnsi" w:hAnsiTheme="minorHAnsi" w:cstheme="minorHAnsi"/>
        </w:rPr>
      </w:pPr>
      <w:r w:rsidRPr="00D4494E">
        <w:rPr>
          <w:rFonts w:asciiTheme="minorHAnsi" w:hAnsiTheme="minorHAnsi" w:cstheme="minorHAnsi"/>
          <w:noProof/>
        </w:rPr>
        <w:drawing>
          <wp:inline distT="0" distB="0" distL="0" distR="0">
            <wp:extent cx="6610350" cy="2362200"/>
            <wp:effectExtent l="19050" t="0" r="0" b="0"/>
            <wp:docPr id="556"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cstate="print"/>
                    <a:stretch>
                      <a:fillRect/>
                    </a:stretch>
                  </pic:blipFill>
                  <pic:spPr>
                    <a:xfrm>
                      <a:off x="0" y="0"/>
                      <a:ext cx="6609524" cy="2361905"/>
                    </a:xfrm>
                    <a:prstGeom prst="rect">
                      <a:avLst/>
                    </a:prstGeom>
                  </pic:spPr>
                </pic:pic>
              </a:graphicData>
            </a:graphic>
          </wp:inline>
        </w:drawing>
      </w:r>
    </w:p>
    <w:p w:rsidR="00A27296" w:rsidRDefault="006271B0" w:rsidP="00A27296">
      <w:pPr>
        <w:jc w:val="both"/>
        <w:rPr>
          <w:rFonts w:asciiTheme="minorHAnsi" w:hAnsiTheme="minorHAnsi" w:cstheme="minorHAnsi"/>
        </w:rPr>
      </w:pPr>
      <w:r w:rsidRPr="006271B0">
        <w:rPr>
          <w:noProof/>
        </w:rPr>
        <w:drawing>
          <wp:inline distT="0" distB="0" distL="0" distR="0">
            <wp:extent cx="6610349" cy="2762250"/>
            <wp:effectExtent l="19050" t="0" r="1" b="0"/>
            <wp:docPr id="131"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cstate="print"/>
                    <a:stretch>
                      <a:fillRect/>
                    </a:stretch>
                  </pic:blipFill>
                  <pic:spPr>
                    <a:xfrm>
                      <a:off x="0" y="0"/>
                      <a:ext cx="6613212" cy="2763446"/>
                    </a:xfrm>
                    <a:prstGeom prst="rect">
                      <a:avLst/>
                    </a:prstGeom>
                  </pic:spPr>
                </pic:pic>
              </a:graphicData>
            </a:graphic>
          </wp:inline>
        </w:drawing>
      </w:r>
    </w:p>
    <w:p w:rsidR="00A27296" w:rsidRPr="00690066" w:rsidRDefault="00A27296" w:rsidP="00A27296">
      <w:pPr>
        <w:jc w:val="both"/>
        <w:rPr>
          <w:rFonts w:asciiTheme="minorHAnsi" w:hAnsiTheme="minorHAnsi" w:cstheme="minorHAnsi"/>
          <w:sz w:val="22"/>
          <w:szCs w:val="22"/>
        </w:rPr>
      </w:pPr>
    </w:p>
    <w:p w:rsidR="003A4CAB" w:rsidRDefault="004439D3" w:rsidP="00A27296">
      <w:pPr>
        <w:jc w:val="both"/>
        <w:rPr>
          <w:rFonts w:asciiTheme="minorHAnsi" w:hAnsiTheme="minorHAnsi" w:cstheme="minorHAnsi"/>
          <w:sz w:val="22"/>
          <w:szCs w:val="22"/>
        </w:rPr>
      </w:pPr>
      <w:r>
        <w:rPr>
          <w:rFonts w:asciiTheme="minorHAnsi" w:hAnsiTheme="minorHAnsi" w:cstheme="minorHAnsi"/>
          <w:sz w:val="22"/>
          <w:szCs w:val="22"/>
        </w:rPr>
        <w:t>L’explication concernant la parcellisation de l’investissement a encore la même origine : les 34 projets d’hydraulique, avec une moyenne de 324 000 MRO en moyenne, tirent vers le bas le montant moyen par projet. 30,43% des engagements, soit 11 011 700 MRO, ont donc été engagés pour cette priorité n°1.</w:t>
      </w:r>
    </w:p>
    <w:p w:rsidR="004439D3" w:rsidRDefault="004439D3" w:rsidP="00A27296">
      <w:pPr>
        <w:jc w:val="both"/>
        <w:rPr>
          <w:rFonts w:asciiTheme="minorHAnsi" w:hAnsiTheme="minorHAnsi" w:cstheme="minorHAnsi"/>
          <w:sz w:val="22"/>
          <w:szCs w:val="22"/>
        </w:rPr>
      </w:pPr>
      <w:r>
        <w:rPr>
          <w:rFonts w:asciiTheme="minorHAnsi" w:hAnsiTheme="minorHAnsi" w:cstheme="minorHAnsi"/>
          <w:sz w:val="22"/>
          <w:szCs w:val="22"/>
        </w:rPr>
        <w:t>Les 15 projets relatifs à l’éducation, deuxième priorité, représentent 16,71% des engagements 2012.</w:t>
      </w:r>
    </w:p>
    <w:p w:rsidR="004439D3" w:rsidRPr="00690066" w:rsidRDefault="004439D3" w:rsidP="00A27296">
      <w:pPr>
        <w:jc w:val="both"/>
        <w:rPr>
          <w:rFonts w:asciiTheme="minorHAnsi" w:hAnsiTheme="minorHAnsi" w:cstheme="minorHAnsi"/>
          <w:sz w:val="22"/>
          <w:szCs w:val="22"/>
        </w:rPr>
      </w:pPr>
      <w:r>
        <w:rPr>
          <w:rFonts w:asciiTheme="minorHAnsi" w:hAnsiTheme="minorHAnsi" w:cstheme="minorHAnsi"/>
          <w:sz w:val="22"/>
          <w:szCs w:val="22"/>
        </w:rPr>
        <w:t xml:space="preserve">Enfin, en troisième position, le secteur de l’Agriculture bénéficie de 12,64% des engagements effectués par les communes de la </w:t>
      </w:r>
      <w:proofErr w:type="spellStart"/>
      <w:r w:rsidR="001246CD">
        <w:rPr>
          <w:rFonts w:asciiTheme="minorHAnsi" w:hAnsiTheme="minorHAnsi" w:cstheme="minorHAnsi"/>
          <w:sz w:val="22"/>
          <w:szCs w:val="22"/>
        </w:rPr>
        <w:t>Moughataa</w:t>
      </w:r>
      <w:proofErr w:type="spellEnd"/>
      <w:r>
        <w:rPr>
          <w:rFonts w:asciiTheme="minorHAnsi" w:hAnsiTheme="minorHAnsi" w:cstheme="minorHAnsi"/>
          <w:sz w:val="22"/>
          <w:szCs w:val="22"/>
        </w:rPr>
        <w:t xml:space="preserve"> de </w:t>
      </w:r>
      <w:proofErr w:type="spellStart"/>
      <w:r>
        <w:rPr>
          <w:rFonts w:asciiTheme="minorHAnsi" w:hAnsiTheme="minorHAnsi" w:cstheme="minorHAnsi"/>
          <w:sz w:val="22"/>
          <w:szCs w:val="22"/>
        </w:rPr>
        <w:t>Tamchekett</w:t>
      </w:r>
      <w:proofErr w:type="spellEnd"/>
      <w:r>
        <w:rPr>
          <w:rFonts w:asciiTheme="minorHAnsi" w:hAnsiTheme="minorHAnsi" w:cstheme="minorHAnsi"/>
          <w:sz w:val="22"/>
          <w:szCs w:val="22"/>
        </w:rPr>
        <w:t xml:space="preserve"> au titre de l’exercice 2012.</w:t>
      </w:r>
    </w:p>
    <w:p w:rsidR="00A27296" w:rsidRDefault="00A27296" w:rsidP="00A27296">
      <w:pPr>
        <w:jc w:val="center"/>
        <w:rPr>
          <w:rFonts w:asciiTheme="minorHAnsi" w:hAnsiTheme="minorHAnsi" w:cstheme="minorHAnsi"/>
          <w:b/>
          <w:u w:val="single"/>
        </w:rPr>
      </w:pPr>
    </w:p>
    <w:p w:rsidR="006271B0" w:rsidRDefault="006271B0" w:rsidP="00A27296">
      <w:pPr>
        <w:jc w:val="center"/>
        <w:rPr>
          <w:rFonts w:asciiTheme="minorHAnsi" w:hAnsiTheme="minorHAnsi" w:cstheme="minorHAnsi"/>
          <w:b/>
          <w:u w:val="single"/>
        </w:rPr>
      </w:pPr>
    </w:p>
    <w:p w:rsidR="00A27296" w:rsidRPr="008034A1" w:rsidRDefault="001246CD" w:rsidP="00A27296">
      <w:pPr>
        <w:jc w:val="center"/>
        <w:rPr>
          <w:rFonts w:asciiTheme="minorHAnsi" w:hAnsiTheme="minorHAnsi" w:cstheme="minorHAnsi"/>
          <w:u w:val="single"/>
        </w:rPr>
      </w:pPr>
      <w:proofErr w:type="spellStart"/>
      <w:r>
        <w:rPr>
          <w:rFonts w:asciiTheme="minorHAnsi" w:hAnsiTheme="minorHAnsi" w:cstheme="minorHAnsi"/>
          <w:b/>
          <w:u w:val="single"/>
        </w:rPr>
        <w:t>Moughataa</w:t>
      </w:r>
      <w:proofErr w:type="spellEnd"/>
      <w:r w:rsidR="00A27296" w:rsidRPr="008034A1">
        <w:rPr>
          <w:rFonts w:asciiTheme="minorHAnsi" w:hAnsiTheme="minorHAnsi" w:cstheme="minorHAnsi"/>
          <w:b/>
          <w:u w:val="single"/>
        </w:rPr>
        <w:t xml:space="preserve"> de </w:t>
      </w:r>
      <w:proofErr w:type="spellStart"/>
      <w:r w:rsidR="00A27296" w:rsidRPr="008034A1">
        <w:rPr>
          <w:rFonts w:asciiTheme="minorHAnsi" w:hAnsiTheme="minorHAnsi" w:cstheme="minorHAnsi"/>
          <w:b/>
          <w:u w:val="single"/>
        </w:rPr>
        <w:t>Tintane</w:t>
      </w:r>
      <w:proofErr w:type="spellEnd"/>
    </w:p>
    <w:p w:rsidR="00A27296" w:rsidRDefault="00A27296" w:rsidP="00A27296">
      <w:pPr>
        <w:jc w:val="both"/>
        <w:rPr>
          <w:rFonts w:asciiTheme="minorHAnsi" w:hAnsiTheme="minorHAnsi" w:cstheme="minorHAnsi"/>
        </w:rPr>
      </w:pPr>
    </w:p>
    <w:p w:rsidR="00A27296" w:rsidRPr="00544D5A" w:rsidRDefault="00A27296" w:rsidP="00A27296">
      <w:pPr>
        <w:jc w:val="both"/>
        <w:rPr>
          <w:rFonts w:asciiTheme="minorHAnsi" w:hAnsiTheme="minorHAnsi" w:cstheme="minorHAnsi"/>
          <w:b/>
          <w:sz w:val="22"/>
          <w:szCs w:val="22"/>
        </w:rPr>
      </w:pPr>
      <w:r w:rsidRPr="00690066">
        <w:rPr>
          <w:rFonts w:asciiTheme="minorHAnsi" w:hAnsiTheme="minorHAnsi" w:cstheme="minorHAnsi"/>
          <w:sz w:val="22"/>
          <w:szCs w:val="22"/>
        </w:rPr>
        <w:t xml:space="preserve">Les communes de la </w:t>
      </w:r>
      <w:proofErr w:type="spellStart"/>
      <w:r w:rsidR="001246CD">
        <w:rPr>
          <w:rFonts w:asciiTheme="minorHAnsi" w:hAnsiTheme="minorHAnsi" w:cstheme="minorHAnsi"/>
          <w:sz w:val="22"/>
          <w:szCs w:val="22"/>
        </w:rPr>
        <w:t>Moughataa</w:t>
      </w:r>
      <w:proofErr w:type="spellEnd"/>
      <w:r w:rsidRPr="00690066">
        <w:rPr>
          <w:rFonts w:asciiTheme="minorHAnsi" w:hAnsiTheme="minorHAnsi" w:cstheme="minorHAnsi"/>
          <w:sz w:val="22"/>
          <w:szCs w:val="22"/>
        </w:rPr>
        <w:t xml:space="preserve"> de </w:t>
      </w:r>
      <w:proofErr w:type="spellStart"/>
      <w:r w:rsidRPr="00690066">
        <w:rPr>
          <w:rFonts w:asciiTheme="minorHAnsi" w:hAnsiTheme="minorHAnsi" w:cstheme="minorHAnsi"/>
          <w:sz w:val="22"/>
          <w:szCs w:val="22"/>
        </w:rPr>
        <w:t>Tintane</w:t>
      </w:r>
      <w:proofErr w:type="spellEnd"/>
      <w:r w:rsidRPr="00690066">
        <w:rPr>
          <w:rFonts w:asciiTheme="minorHAnsi" w:hAnsiTheme="minorHAnsi" w:cstheme="minorHAnsi"/>
          <w:sz w:val="22"/>
          <w:szCs w:val="22"/>
        </w:rPr>
        <w:t xml:space="preserve"> on</w:t>
      </w:r>
      <w:r w:rsidR="004A1741">
        <w:rPr>
          <w:rFonts w:asciiTheme="minorHAnsi" w:hAnsiTheme="minorHAnsi" w:cstheme="minorHAnsi"/>
          <w:sz w:val="22"/>
          <w:szCs w:val="22"/>
        </w:rPr>
        <w:t>t bénéficié d’un FRD équipement de 62 742 996 MRO pour l’année 2012. Soit une augmentation de 16,24 %. Elles ont engagé 55 220 130</w:t>
      </w:r>
      <w:r w:rsidRPr="00690066">
        <w:rPr>
          <w:rFonts w:asciiTheme="minorHAnsi" w:hAnsiTheme="minorHAnsi" w:cstheme="minorHAnsi"/>
          <w:sz w:val="22"/>
          <w:szCs w:val="22"/>
        </w:rPr>
        <w:t xml:space="preserve"> MRO pour un total de </w:t>
      </w:r>
      <w:r w:rsidR="004A1741">
        <w:rPr>
          <w:rFonts w:asciiTheme="minorHAnsi" w:hAnsiTheme="minorHAnsi" w:cstheme="minorHAnsi"/>
          <w:b/>
          <w:sz w:val="22"/>
          <w:szCs w:val="22"/>
        </w:rPr>
        <w:t>85</w:t>
      </w:r>
      <w:r w:rsidRPr="00544D5A">
        <w:rPr>
          <w:rFonts w:asciiTheme="minorHAnsi" w:hAnsiTheme="minorHAnsi" w:cstheme="minorHAnsi"/>
          <w:b/>
          <w:sz w:val="22"/>
          <w:szCs w:val="22"/>
        </w:rPr>
        <w:t xml:space="preserve"> projets</w:t>
      </w:r>
      <w:r w:rsidRPr="00690066">
        <w:rPr>
          <w:rFonts w:asciiTheme="minorHAnsi" w:hAnsiTheme="minorHAnsi" w:cstheme="minorHAnsi"/>
          <w:sz w:val="22"/>
          <w:szCs w:val="22"/>
        </w:rPr>
        <w:t xml:space="preserve">, soit un </w:t>
      </w:r>
      <w:r w:rsidR="004A1741">
        <w:rPr>
          <w:rFonts w:asciiTheme="minorHAnsi" w:hAnsiTheme="minorHAnsi" w:cstheme="minorHAnsi"/>
          <w:b/>
          <w:sz w:val="22"/>
          <w:szCs w:val="22"/>
        </w:rPr>
        <w:t>taux d’absorption de 88,01</w:t>
      </w:r>
      <w:r w:rsidRPr="00544D5A">
        <w:rPr>
          <w:rFonts w:asciiTheme="minorHAnsi" w:hAnsiTheme="minorHAnsi" w:cstheme="minorHAnsi"/>
          <w:b/>
          <w:sz w:val="22"/>
          <w:szCs w:val="22"/>
        </w:rPr>
        <w:t>%.</w:t>
      </w:r>
    </w:p>
    <w:p w:rsidR="00D7455D" w:rsidRPr="00690066" w:rsidRDefault="006271B0" w:rsidP="00D7455D">
      <w:pPr>
        <w:jc w:val="both"/>
        <w:rPr>
          <w:rFonts w:asciiTheme="minorHAnsi" w:hAnsiTheme="minorHAnsi" w:cstheme="minorHAnsi"/>
          <w:sz w:val="22"/>
          <w:szCs w:val="22"/>
        </w:rPr>
      </w:pPr>
      <w:r>
        <w:rPr>
          <w:rFonts w:asciiTheme="minorHAnsi" w:hAnsiTheme="minorHAnsi" w:cstheme="minorHAnsi"/>
          <w:sz w:val="22"/>
          <w:szCs w:val="22"/>
        </w:rPr>
        <w:t>Bien que meilleur par rapport à</w:t>
      </w:r>
      <w:r w:rsidR="00D7455D">
        <w:rPr>
          <w:rFonts w:asciiTheme="minorHAnsi" w:hAnsiTheme="minorHAnsi" w:cstheme="minorHAnsi"/>
          <w:sz w:val="22"/>
          <w:szCs w:val="22"/>
        </w:rPr>
        <w:t xml:space="preserve"> celui de 2010 (75,44%), ce taux d’absorption est en baisse par rapport à celui de l’année dernière (99,17%) mais ne devrait pas inquiéter outre mesure compte tenu de l’augmentation de 16,24% des crédits alloués.</w:t>
      </w:r>
      <w:r w:rsidR="00D7455D" w:rsidRPr="00690066">
        <w:rPr>
          <w:rFonts w:asciiTheme="minorHAnsi" w:hAnsiTheme="minorHAnsi" w:cstheme="minorHAnsi"/>
          <w:sz w:val="22"/>
          <w:szCs w:val="22"/>
        </w:rPr>
        <w:t xml:space="preserve"> </w:t>
      </w:r>
      <w:r w:rsidR="00D7455D">
        <w:rPr>
          <w:rFonts w:asciiTheme="minorHAnsi" w:hAnsiTheme="minorHAnsi" w:cstheme="minorHAnsi"/>
          <w:sz w:val="22"/>
          <w:szCs w:val="22"/>
        </w:rPr>
        <w:t xml:space="preserve">Un effort devra toutefois être entrepris puisque ce taux </w:t>
      </w:r>
      <w:r w:rsidR="00D7455D" w:rsidRPr="00690066">
        <w:rPr>
          <w:rFonts w:asciiTheme="minorHAnsi" w:hAnsiTheme="minorHAnsi" w:cstheme="minorHAnsi"/>
          <w:sz w:val="22"/>
          <w:szCs w:val="22"/>
        </w:rPr>
        <w:t xml:space="preserve">reste néanmoins inférieur aux taux national et de la </w:t>
      </w:r>
      <w:r w:rsidR="001246CD">
        <w:rPr>
          <w:rFonts w:asciiTheme="minorHAnsi" w:hAnsiTheme="minorHAnsi" w:cstheme="minorHAnsi"/>
          <w:sz w:val="22"/>
          <w:szCs w:val="22"/>
        </w:rPr>
        <w:t>Wilaya</w:t>
      </w:r>
      <w:r w:rsidR="00D7455D" w:rsidRPr="00690066">
        <w:rPr>
          <w:rFonts w:asciiTheme="minorHAnsi" w:hAnsiTheme="minorHAnsi" w:cstheme="minorHAnsi"/>
          <w:sz w:val="22"/>
          <w:szCs w:val="22"/>
        </w:rPr>
        <w:t xml:space="preserve"> </w:t>
      </w:r>
      <w:r w:rsidR="00D7455D">
        <w:rPr>
          <w:rFonts w:asciiTheme="minorHAnsi" w:hAnsiTheme="minorHAnsi" w:cstheme="minorHAnsi"/>
          <w:sz w:val="22"/>
          <w:szCs w:val="22"/>
        </w:rPr>
        <w:t>et, le cas échéant, une discussion avec les communes pourra être entamée pour aplanir les difficultés récurrentes constatées en matière d’engagement.</w:t>
      </w:r>
    </w:p>
    <w:p w:rsidR="00D7455D" w:rsidRDefault="00001DBC" w:rsidP="00D7455D">
      <w:pPr>
        <w:jc w:val="both"/>
        <w:rPr>
          <w:rFonts w:asciiTheme="minorHAnsi" w:hAnsiTheme="minorHAnsi" w:cstheme="minorHAnsi"/>
          <w:sz w:val="22"/>
          <w:szCs w:val="22"/>
        </w:rPr>
      </w:pPr>
      <w:r>
        <w:rPr>
          <w:rFonts w:asciiTheme="minorHAnsi" w:hAnsiTheme="minorHAnsi" w:cstheme="minorHAnsi"/>
          <w:sz w:val="22"/>
          <w:szCs w:val="22"/>
        </w:rPr>
        <w:t xml:space="preserve">La commune de </w:t>
      </w:r>
      <w:proofErr w:type="spellStart"/>
      <w:r>
        <w:rPr>
          <w:rFonts w:asciiTheme="minorHAnsi" w:hAnsiTheme="minorHAnsi" w:cstheme="minorHAnsi"/>
          <w:sz w:val="22"/>
          <w:szCs w:val="22"/>
        </w:rPr>
        <w:t>Le</w:t>
      </w:r>
      <w:r w:rsidR="00D7455D">
        <w:rPr>
          <w:rFonts w:asciiTheme="minorHAnsi" w:hAnsiTheme="minorHAnsi" w:cstheme="minorHAnsi"/>
          <w:sz w:val="22"/>
          <w:szCs w:val="22"/>
        </w:rPr>
        <w:t>hreijatt</w:t>
      </w:r>
      <w:proofErr w:type="spellEnd"/>
      <w:r w:rsidR="00D7455D">
        <w:rPr>
          <w:rFonts w:asciiTheme="minorHAnsi" w:hAnsiTheme="minorHAnsi" w:cstheme="minorHAnsi"/>
          <w:sz w:val="22"/>
          <w:szCs w:val="22"/>
        </w:rPr>
        <w:t xml:space="preserve"> ne connaît toutefois pas ce problème dans la masure où elle se distingue par un taux véritablement exceptionnel à plus de 120%.</w:t>
      </w:r>
    </w:p>
    <w:p w:rsidR="00A27296" w:rsidRPr="00690066" w:rsidRDefault="00A27296" w:rsidP="00A27296">
      <w:pPr>
        <w:jc w:val="both"/>
        <w:rPr>
          <w:rFonts w:asciiTheme="minorHAnsi" w:hAnsiTheme="minorHAnsi" w:cstheme="minorHAnsi"/>
          <w:sz w:val="22"/>
          <w:szCs w:val="22"/>
        </w:rPr>
      </w:pPr>
    </w:p>
    <w:p w:rsidR="00A27296" w:rsidRDefault="006415D8" w:rsidP="00A27296">
      <w:pPr>
        <w:jc w:val="both"/>
        <w:rPr>
          <w:rFonts w:asciiTheme="minorHAnsi" w:hAnsiTheme="minorHAnsi" w:cstheme="minorHAnsi"/>
          <w:sz w:val="22"/>
          <w:szCs w:val="22"/>
        </w:rPr>
      </w:pPr>
      <w:r w:rsidRPr="006415D8">
        <w:rPr>
          <w:noProof/>
        </w:rPr>
        <w:drawing>
          <wp:inline distT="0" distB="0" distL="0" distR="0">
            <wp:extent cx="3295650" cy="4105275"/>
            <wp:effectExtent l="19050" t="0" r="0" b="0"/>
            <wp:docPr id="332"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cstate="print"/>
                    <a:stretch>
                      <a:fillRect/>
                    </a:stretch>
                  </pic:blipFill>
                  <pic:spPr>
                    <a:xfrm>
                      <a:off x="0" y="0"/>
                      <a:ext cx="3295650" cy="4105275"/>
                    </a:xfrm>
                    <a:prstGeom prst="rect">
                      <a:avLst/>
                    </a:prstGeom>
                  </pic:spPr>
                </pic:pic>
              </a:graphicData>
            </a:graphic>
          </wp:inline>
        </w:drawing>
      </w:r>
      <w:r w:rsidR="00D4494E" w:rsidRPr="00D4494E">
        <w:rPr>
          <w:rFonts w:asciiTheme="minorHAnsi" w:hAnsiTheme="minorHAnsi" w:cstheme="minorHAnsi"/>
          <w:noProof/>
          <w:sz w:val="22"/>
          <w:szCs w:val="22"/>
        </w:rPr>
        <w:drawing>
          <wp:inline distT="0" distB="0" distL="0" distR="0">
            <wp:extent cx="3257550" cy="4105275"/>
            <wp:effectExtent l="19050" t="0" r="0" b="0"/>
            <wp:docPr id="553"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cstate="print"/>
                    <a:stretch>
                      <a:fillRect/>
                    </a:stretch>
                  </pic:blipFill>
                  <pic:spPr>
                    <a:xfrm>
                      <a:off x="0" y="0"/>
                      <a:ext cx="3257550" cy="4105275"/>
                    </a:xfrm>
                    <a:prstGeom prst="rect">
                      <a:avLst/>
                    </a:prstGeom>
                  </pic:spPr>
                </pic:pic>
              </a:graphicData>
            </a:graphic>
          </wp:inline>
        </w:drawing>
      </w:r>
    </w:p>
    <w:p w:rsidR="00D7455D" w:rsidRDefault="00D7455D" w:rsidP="00A27296">
      <w:pPr>
        <w:jc w:val="both"/>
        <w:rPr>
          <w:rFonts w:asciiTheme="minorHAnsi" w:hAnsiTheme="minorHAnsi" w:cstheme="minorHAnsi"/>
          <w:sz w:val="22"/>
          <w:szCs w:val="22"/>
        </w:rPr>
      </w:pPr>
      <w:r w:rsidRPr="00D7455D">
        <w:rPr>
          <w:noProof/>
        </w:rPr>
        <w:drawing>
          <wp:inline distT="0" distB="0" distL="0" distR="0">
            <wp:extent cx="6572250" cy="2400300"/>
            <wp:effectExtent l="19050" t="0" r="0" b="0"/>
            <wp:docPr id="73"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cstate="print"/>
                    <a:stretch>
                      <a:fillRect/>
                    </a:stretch>
                  </pic:blipFill>
                  <pic:spPr>
                    <a:xfrm>
                      <a:off x="0" y="0"/>
                      <a:ext cx="6572250" cy="2400300"/>
                    </a:xfrm>
                    <a:prstGeom prst="rect">
                      <a:avLst/>
                    </a:prstGeom>
                  </pic:spPr>
                </pic:pic>
              </a:graphicData>
            </a:graphic>
          </wp:inline>
        </w:drawing>
      </w:r>
    </w:p>
    <w:p w:rsidR="00D7455D" w:rsidRDefault="00D7455D" w:rsidP="00A27296">
      <w:pPr>
        <w:jc w:val="both"/>
        <w:rPr>
          <w:rFonts w:asciiTheme="minorHAnsi" w:hAnsiTheme="minorHAnsi" w:cstheme="minorHAnsi"/>
          <w:sz w:val="22"/>
          <w:szCs w:val="22"/>
        </w:rPr>
      </w:pPr>
    </w:p>
    <w:p w:rsidR="00D7455D" w:rsidRDefault="00D7455D" w:rsidP="00D7455D">
      <w:pPr>
        <w:jc w:val="both"/>
        <w:rPr>
          <w:rFonts w:asciiTheme="minorHAnsi" w:hAnsiTheme="minorHAnsi" w:cstheme="minorHAnsi"/>
          <w:sz w:val="22"/>
          <w:szCs w:val="22"/>
        </w:rPr>
      </w:pPr>
      <w:r>
        <w:rPr>
          <w:rFonts w:asciiTheme="minorHAnsi" w:hAnsiTheme="minorHAnsi" w:cstheme="minorHAnsi"/>
          <w:sz w:val="22"/>
          <w:szCs w:val="22"/>
        </w:rPr>
        <w:t>L</w:t>
      </w:r>
      <w:r w:rsidRPr="00690066">
        <w:rPr>
          <w:rFonts w:asciiTheme="minorHAnsi" w:hAnsiTheme="minorHAnsi" w:cstheme="minorHAnsi"/>
          <w:sz w:val="22"/>
          <w:szCs w:val="22"/>
        </w:rPr>
        <w:t xml:space="preserve">e montant moyen de l’investissement par projet pour la </w:t>
      </w:r>
      <w:proofErr w:type="spellStart"/>
      <w:r w:rsidR="001246CD">
        <w:rPr>
          <w:rFonts w:asciiTheme="minorHAnsi" w:hAnsiTheme="minorHAnsi" w:cstheme="minorHAnsi"/>
          <w:sz w:val="22"/>
          <w:szCs w:val="22"/>
        </w:rPr>
        <w:t>Moughataa</w:t>
      </w:r>
      <w:proofErr w:type="spellEnd"/>
      <w:r>
        <w:rPr>
          <w:rFonts w:asciiTheme="minorHAnsi" w:hAnsiTheme="minorHAnsi" w:cstheme="minorHAnsi"/>
          <w:sz w:val="22"/>
          <w:szCs w:val="22"/>
        </w:rPr>
        <w:t xml:space="preserve"> est en progression, passant de 446 097 MRO en 2011 à 649 649 en 2012, du fait de la diminution des projets engagés (120 en 2011 contre seulement 85 en 2012).</w:t>
      </w:r>
    </w:p>
    <w:p w:rsidR="00D7455D" w:rsidRPr="00690066" w:rsidRDefault="00D7455D" w:rsidP="00A27296">
      <w:pPr>
        <w:jc w:val="both"/>
        <w:rPr>
          <w:rFonts w:asciiTheme="minorHAnsi" w:hAnsiTheme="minorHAnsi" w:cstheme="minorHAnsi"/>
          <w:sz w:val="22"/>
          <w:szCs w:val="22"/>
        </w:rPr>
      </w:pPr>
    </w:p>
    <w:p w:rsidR="00A27296" w:rsidRPr="00690066" w:rsidRDefault="00D4494E" w:rsidP="00A27296">
      <w:pPr>
        <w:jc w:val="both"/>
        <w:rPr>
          <w:rFonts w:asciiTheme="minorHAnsi" w:hAnsiTheme="minorHAnsi" w:cstheme="minorHAnsi"/>
          <w:sz w:val="22"/>
          <w:szCs w:val="22"/>
        </w:rPr>
      </w:pPr>
      <w:r w:rsidRPr="00D4494E">
        <w:rPr>
          <w:rFonts w:asciiTheme="minorHAnsi" w:hAnsiTheme="minorHAnsi" w:cstheme="minorHAnsi"/>
          <w:noProof/>
          <w:sz w:val="22"/>
          <w:szCs w:val="22"/>
        </w:rPr>
        <w:drawing>
          <wp:inline distT="0" distB="0" distL="0" distR="0">
            <wp:extent cx="6610350" cy="2724150"/>
            <wp:effectExtent l="19050" t="0" r="0" b="0"/>
            <wp:docPr id="554"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cstate="print"/>
                    <a:stretch>
                      <a:fillRect/>
                    </a:stretch>
                  </pic:blipFill>
                  <pic:spPr>
                    <a:xfrm>
                      <a:off x="0" y="0"/>
                      <a:ext cx="6609524" cy="2723810"/>
                    </a:xfrm>
                    <a:prstGeom prst="rect">
                      <a:avLst/>
                    </a:prstGeom>
                  </pic:spPr>
                </pic:pic>
              </a:graphicData>
            </a:graphic>
          </wp:inline>
        </w:drawing>
      </w:r>
    </w:p>
    <w:p w:rsidR="00A27296" w:rsidRDefault="006271B0" w:rsidP="00A27296">
      <w:pPr>
        <w:jc w:val="both"/>
        <w:rPr>
          <w:rFonts w:asciiTheme="minorHAnsi" w:hAnsiTheme="minorHAnsi" w:cstheme="minorHAnsi"/>
          <w:sz w:val="22"/>
          <w:szCs w:val="22"/>
        </w:rPr>
      </w:pPr>
      <w:r w:rsidRPr="006271B0">
        <w:rPr>
          <w:noProof/>
          <w:szCs w:val="22"/>
        </w:rPr>
        <w:drawing>
          <wp:inline distT="0" distB="0" distL="0" distR="0">
            <wp:extent cx="6642445" cy="3143250"/>
            <wp:effectExtent l="19050" t="0" r="6005" b="0"/>
            <wp:docPr id="132" name="Imag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84" cstate="print"/>
                    <a:srcRect/>
                    <a:stretch>
                      <a:fillRect/>
                    </a:stretch>
                  </pic:blipFill>
                  <pic:spPr bwMode="auto">
                    <a:xfrm>
                      <a:off x="0" y="0"/>
                      <a:ext cx="6645910" cy="3144889"/>
                    </a:xfrm>
                    <a:prstGeom prst="rect">
                      <a:avLst/>
                    </a:prstGeom>
                    <a:noFill/>
                    <a:ln w="9525">
                      <a:noFill/>
                      <a:miter lim="800000"/>
                      <a:headEnd/>
                      <a:tailEnd/>
                    </a:ln>
                  </pic:spPr>
                </pic:pic>
              </a:graphicData>
            </a:graphic>
          </wp:inline>
        </w:drawing>
      </w:r>
    </w:p>
    <w:p w:rsidR="00D7455D" w:rsidRPr="00690066" w:rsidRDefault="00D7455D" w:rsidP="00A27296">
      <w:pPr>
        <w:jc w:val="both"/>
        <w:rPr>
          <w:rFonts w:asciiTheme="minorHAnsi" w:hAnsiTheme="minorHAnsi" w:cstheme="minorHAnsi"/>
          <w:sz w:val="22"/>
          <w:szCs w:val="22"/>
        </w:rPr>
      </w:pPr>
    </w:p>
    <w:p w:rsidR="00A27296" w:rsidRDefault="004A1741" w:rsidP="00A27296">
      <w:pPr>
        <w:jc w:val="both"/>
        <w:rPr>
          <w:rFonts w:asciiTheme="minorHAnsi" w:hAnsiTheme="minorHAnsi" w:cstheme="minorHAnsi"/>
          <w:sz w:val="22"/>
          <w:szCs w:val="22"/>
        </w:rPr>
      </w:pPr>
      <w:r>
        <w:rPr>
          <w:rFonts w:asciiTheme="minorHAnsi" w:hAnsiTheme="minorHAnsi" w:cstheme="minorHAnsi"/>
          <w:sz w:val="22"/>
          <w:szCs w:val="22"/>
        </w:rPr>
        <w:t>En termes de priorité d’investissement, arrive en première place le secteur des équipements de mairie</w:t>
      </w:r>
      <w:r w:rsidR="006F59EC">
        <w:rPr>
          <w:rFonts w:asciiTheme="minorHAnsi" w:hAnsiTheme="minorHAnsi" w:cstheme="minorHAnsi"/>
          <w:sz w:val="22"/>
          <w:szCs w:val="22"/>
        </w:rPr>
        <w:t xml:space="preserve"> avec 13 projets à hauteur de 13 367 300 MRO, soit 24,21% des e</w:t>
      </w:r>
      <w:r w:rsidR="00D7455D">
        <w:rPr>
          <w:rFonts w:asciiTheme="minorHAnsi" w:hAnsiTheme="minorHAnsi" w:cstheme="minorHAnsi"/>
          <w:sz w:val="22"/>
          <w:szCs w:val="22"/>
        </w:rPr>
        <w:t>n</w:t>
      </w:r>
      <w:r w:rsidR="006F59EC">
        <w:rPr>
          <w:rFonts w:asciiTheme="minorHAnsi" w:hAnsiTheme="minorHAnsi" w:cstheme="minorHAnsi"/>
          <w:sz w:val="22"/>
          <w:szCs w:val="22"/>
        </w:rPr>
        <w:t>gagements.</w:t>
      </w:r>
    </w:p>
    <w:p w:rsidR="006F59EC" w:rsidRPr="00690066" w:rsidRDefault="006F59EC" w:rsidP="00A27296">
      <w:pPr>
        <w:jc w:val="both"/>
        <w:rPr>
          <w:rFonts w:asciiTheme="minorHAnsi" w:hAnsiTheme="minorHAnsi" w:cstheme="minorHAnsi"/>
          <w:sz w:val="22"/>
          <w:szCs w:val="22"/>
        </w:rPr>
      </w:pPr>
      <w:r>
        <w:rPr>
          <w:rFonts w:asciiTheme="minorHAnsi" w:hAnsiTheme="minorHAnsi" w:cstheme="minorHAnsi"/>
          <w:sz w:val="22"/>
          <w:szCs w:val="22"/>
        </w:rPr>
        <w:t>Suivent les secteurs de l’hydraulique (19 projets pour 12 421 000 MRO) à hauteur de 22,49% des engagements et de l’éducation (19 projets pour 12 056 870 MRO) à hauteur de 21,83% des engagements.</w:t>
      </w:r>
    </w:p>
    <w:p w:rsidR="00A27296" w:rsidRDefault="00A27296" w:rsidP="00A27296">
      <w:pPr>
        <w:jc w:val="both"/>
        <w:rPr>
          <w:rFonts w:asciiTheme="minorHAnsi" w:hAnsiTheme="minorHAnsi" w:cstheme="minorHAnsi"/>
          <w:sz w:val="22"/>
          <w:szCs w:val="22"/>
        </w:rPr>
      </w:pPr>
    </w:p>
    <w:p w:rsidR="00733A35" w:rsidRDefault="00733A35" w:rsidP="00733A35">
      <w:pPr>
        <w:spacing w:after="200" w:line="276" w:lineRule="auto"/>
        <w:rPr>
          <w:rFonts w:asciiTheme="minorHAnsi" w:hAnsiTheme="minorHAnsi" w:cstheme="minorHAnsi"/>
          <w:sz w:val="22"/>
          <w:szCs w:val="22"/>
        </w:rPr>
      </w:pPr>
      <w:r>
        <w:rPr>
          <w:rFonts w:asciiTheme="minorHAnsi" w:hAnsiTheme="minorHAnsi" w:cstheme="minorHAnsi"/>
          <w:sz w:val="22"/>
          <w:szCs w:val="22"/>
        </w:rPr>
        <w:br w:type="page"/>
      </w:r>
    </w:p>
    <w:p w:rsidR="00733A35" w:rsidRPr="007D7D09" w:rsidRDefault="001246CD" w:rsidP="00733A3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2D050"/>
        <w:ind w:left="360"/>
        <w:rPr>
          <w:rFonts w:asciiTheme="minorHAnsi" w:hAnsiTheme="minorHAnsi" w:cstheme="minorHAnsi"/>
          <w:b/>
          <w:smallCaps/>
          <w:sz w:val="28"/>
          <w:szCs w:val="28"/>
        </w:rPr>
      </w:pPr>
      <w:r>
        <w:rPr>
          <w:rFonts w:asciiTheme="minorHAnsi" w:hAnsiTheme="minorHAnsi" w:cstheme="minorHAnsi"/>
          <w:b/>
          <w:smallCaps/>
          <w:sz w:val="28"/>
          <w:szCs w:val="28"/>
        </w:rPr>
        <w:t>Wilaya</w:t>
      </w:r>
      <w:r w:rsidR="00733A35">
        <w:rPr>
          <w:rFonts w:asciiTheme="minorHAnsi" w:hAnsiTheme="minorHAnsi" w:cstheme="minorHAnsi"/>
          <w:b/>
          <w:smallCaps/>
          <w:sz w:val="28"/>
          <w:szCs w:val="28"/>
        </w:rPr>
        <w:t xml:space="preserve"> de l’</w:t>
      </w:r>
      <w:proofErr w:type="spellStart"/>
      <w:r w:rsidR="00733A35">
        <w:rPr>
          <w:rFonts w:asciiTheme="minorHAnsi" w:hAnsiTheme="minorHAnsi" w:cstheme="minorHAnsi"/>
          <w:b/>
          <w:smallCaps/>
          <w:sz w:val="28"/>
          <w:szCs w:val="28"/>
        </w:rPr>
        <w:t>Assaba</w:t>
      </w:r>
      <w:proofErr w:type="spellEnd"/>
    </w:p>
    <w:p w:rsidR="00733A35" w:rsidRDefault="00733A35" w:rsidP="00733A35">
      <w:pPr>
        <w:jc w:val="both"/>
        <w:rPr>
          <w:rFonts w:asciiTheme="minorHAnsi" w:hAnsiTheme="minorHAnsi" w:cstheme="minorHAnsi"/>
          <w:sz w:val="22"/>
          <w:szCs w:val="22"/>
        </w:rPr>
      </w:pPr>
    </w:p>
    <w:p w:rsidR="00733A35" w:rsidRDefault="00654AA3" w:rsidP="00733A35">
      <w:pPr>
        <w:jc w:val="both"/>
        <w:rPr>
          <w:rFonts w:asciiTheme="minorHAnsi" w:hAnsiTheme="minorHAnsi" w:cstheme="minorHAnsi"/>
          <w:sz w:val="22"/>
          <w:szCs w:val="22"/>
        </w:rPr>
      </w:pPr>
      <w:r w:rsidRPr="00654AA3">
        <w:rPr>
          <w:noProof/>
        </w:rPr>
        <w:drawing>
          <wp:inline distT="0" distB="0" distL="0" distR="0">
            <wp:extent cx="6696075" cy="3324225"/>
            <wp:effectExtent l="19050" t="0" r="9525" b="0"/>
            <wp:docPr id="252"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cstate="print"/>
                    <a:stretch>
                      <a:fillRect/>
                    </a:stretch>
                  </pic:blipFill>
                  <pic:spPr>
                    <a:xfrm>
                      <a:off x="0" y="0"/>
                      <a:ext cx="6696075" cy="3324225"/>
                    </a:xfrm>
                    <a:prstGeom prst="rect">
                      <a:avLst/>
                    </a:prstGeom>
                  </pic:spPr>
                </pic:pic>
              </a:graphicData>
            </a:graphic>
          </wp:inline>
        </w:drawing>
      </w:r>
    </w:p>
    <w:p w:rsidR="00733A35" w:rsidRDefault="00733A35" w:rsidP="00733A35">
      <w:pPr>
        <w:jc w:val="both"/>
        <w:rPr>
          <w:rFonts w:asciiTheme="minorHAnsi" w:hAnsiTheme="minorHAnsi" w:cstheme="minorHAnsi"/>
        </w:rPr>
      </w:pPr>
    </w:p>
    <w:p w:rsidR="00733A35" w:rsidRDefault="00733A35" w:rsidP="00733A35">
      <w:pPr>
        <w:jc w:val="both"/>
        <w:rPr>
          <w:rFonts w:asciiTheme="minorHAnsi" w:hAnsiTheme="minorHAnsi" w:cstheme="minorHAnsi"/>
        </w:rPr>
      </w:pPr>
    </w:p>
    <w:p w:rsidR="00D23A59" w:rsidRDefault="00733A35" w:rsidP="00D23A59">
      <w:pPr>
        <w:jc w:val="both"/>
        <w:rPr>
          <w:rFonts w:asciiTheme="minorHAnsi" w:hAnsiTheme="minorHAnsi" w:cstheme="minorHAnsi"/>
          <w:sz w:val="22"/>
          <w:szCs w:val="22"/>
        </w:rPr>
      </w:pPr>
      <w:r w:rsidRPr="0013330A">
        <w:rPr>
          <w:rFonts w:asciiTheme="minorHAnsi" w:hAnsiTheme="minorHAnsi" w:cstheme="minorHAnsi"/>
          <w:sz w:val="22"/>
          <w:szCs w:val="22"/>
        </w:rPr>
        <w:t xml:space="preserve">La </w:t>
      </w:r>
      <w:r w:rsidR="001246CD">
        <w:rPr>
          <w:rFonts w:asciiTheme="minorHAnsi" w:hAnsiTheme="minorHAnsi" w:cstheme="minorHAnsi"/>
          <w:sz w:val="22"/>
          <w:szCs w:val="22"/>
        </w:rPr>
        <w:t>Wilaya</w:t>
      </w:r>
      <w:r w:rsidRPr="0013330A">
        <w:rPr>
          <w:rFonts w:asciiTheme="minorHAnsi" w:hAnsiTheme="minorHAnsi" w:cstheme="minorHAnsi"/>
          <w:sz w:val="22"/>
          <w:szCs w:val="22"/>
        </w:rPr>
        <w:t xml:space="preserve"> de l’</w:t>
      </w:r>
      <w:proofErr w:type="spellStart"/>
      <w:r w:rsidRPr="0013330A">
        <w:rPr>
          <w:rFonts w:asciiTheme="minorHAnsi" w:hAnsiTheme="minorHAnsi" w:cstheme="minorHAnsi"/>
          <w:sz w:val="22"/>
          <w:szCs w:val="22"/>
        </w:rPr>
        <w:t>Assaba</w:t>
      </w:r>
      <w:proofErr w:type="spellEnd"/>
      <w:r w:rsidRPr="0013330A">
        <w:rPr>
          <w:rFonts w:asciiTheme="minorHAnsi" w:hAnsiTheme="minorHAnsi" w:cstheme="minorHAnsi"/>
          <w:sz w:val="22"/>
          <w:szCs w:val="22"/>
        </w:rPr>
        <w:t xml:space="preserve"> </w:t>
      </w:r>
      <w:r w:rsidR="00A64022">
        <w:rPr>
          <w:rFonts w:asciiTheme="minorHAnsi" w:hAnsiTheme="minorHAnsi" w:cstheme="minorHAnsi"/>
          <w:sz w:val="22"/>
          <w:szCs w:val="22"/>
        </w:rPr>
        <w:t>a bénéficié pour l’exercice 2012</w:t>
      </w:r>
      <w:r w:rsidRPr="0013330A">
        <w:rPr>
          <w:rFonts w:asciiTheme="minorHAnsi" w:hAnsiTheme="minorHAnsi" w:cstheme="minorHAnsi"/>
          <w:sz w:val="22"/>
          <w:szCs w:val="22"/>
        </w:rPr>
        <w:t xml:space="preserve"> d’un FRD équipement de </w:t>
      </w:r>
      <w:r w:rsidR="00A64022">
        <w:rPr>
          <w:rFonts w:asciiTheme="minorHAnsi" w:hAnsiTheme="minorHAnsi" w:cstheme="minorHAnsi"/>
          <w:b/>
          <w:sz w:val="22"/>
          <w:szCs w:val="22"/>
        </w:rPr>
        <w:t>235 812 627</w:t>
      </w:r>
      <w:r w:rsidRPr="0013330A">
        <w:rPr>
          <w:rFonts w:asciiTheme="minorHAnsi" w:hAnsiTheme="minorHAnsi" w:cstheme="minorHAnsi"/>
          <w:b/>
          <w:sz w:val="22"/>
          <w:szCs w:val="22"/>
        </w:rPr>
        <w:t xml:space="preserve"> </w:t>
      </w:r>
      <w:proofErr w:type="gramStart"/>
      <w:r w:rsidR="004871EA">
        <w:rPr>
          <w:rFonts w:asciiTheme="minorHAnsi" w:hAnsiTheme="minorHAnsi" w:cstheme="minorHAnsi"/>
          <w:b/>
          <w:sz w:val="22"/>
          <w:szCs w:val="22"/>
        </w:rPr>
        <w:t>ouguiya</w:t>
      </w:r>
      <w:proofErr w:type="gramEnd"/>
      <w:r w:rsidRPr="0013330A">
        <w:rPr>
          <w:rFonts w:asciiTheme="minorHAnsi" w:hAnsiTheme="minorHAnsi" w:cstheme="minorHAnsi"/>
          <w:sz w:val="22"/>
          <w:szCs w:val="22"/>
        </w:rPr>
        <w:t xml:space="preserve">, soit une hausse de </w:t>
      </w:r>
      <w:r w:rsidR="00A64022">
        <w:rPr>
          <w:rFonts w:asciiTheme="minorHAnsi" w:hAnsiTheme="minorHAnsi" w:cstheme="minorHAnsi"/>
          <w:b/>
          <w:sz w:val="22"/>
          <w:szCs w:val="22"/>
        </w:rPr>
        <w:t>16,05</w:t>
      </w:r>
      <w:r w:rsidRPr="0013330A">
        <w:rPr>
          <w:rFonts w:asciiTheme="minorHAnsi" w:hAnsiTheme="minorHAnsi" w:cstheme="minorHAnsi"/>
          <w:b/>
          <w:sz w:val="22"/>
          <w:szCs w:val="22"/>
        </w:rPr>
        <w:t xml:space="preserve"> %.</w:t>
      </w:r>
      <w:r w:rsidR="00A64022">
        <w:rPr>
          <w:rFonts w:asciiTheme="minorHAnsi" w:hAnsiTheme="minorHAnsi" w:cstheme="minorHAnsi"/>
          <w:sz w:val="22"/>
          <w:szCs w:val="22"/>
        </w:rPr>
        <w:t xml:space="preserve"> </w:t>
      </w:r>
      <w:r w:rsidR="00125A22" w:rsidRPr="009123E8">
        <w:rPr>
          <w:rFonts w:asciiTheme="minorHAnsi" w:hAnsiTheme="minorHAnsi" w:cstheme="minorHAnsi"/>
          <w:sz w:val="22"/>
          <w:szCs w:val="22"/>
        </w:rPr>
        <w:t xml:space="preserve">La </w:t>
      </w:r>
      <w:proofErr w:type="spellStart"/>
      <w:r w:rsidR="001246CD">
        <w:rPr>
          <w:rFonts w:asciiTheme="minorHAnsi" w:hAnsiTheme="minorHAnsi" w:cstheme="minorHAnsi"/>
          <w:sz w:val="22"/>
          <w:szCs w:val="22"/>
        </w:rPr>
        <w:t>Moughataa</w:t>
      </w:r>
      <w:proofErr w:type="spellEnd"/>
      <w:r w:rsidR="00125A22" w:rsidRPr="009123E8">
        <w:rPr>
          <w:rFonts w:asciiTheme="minorHAnsi" w:hAnsiTheme="minorHAnsi" w:cstheme="minorHAnsi"/>
          <w:sz w:val="22"/>
          <w:szCs w:val="22"/>
        </w:rPr>
        <w:t xml:space="preserve"> de </w:t>
      </w:r>
      <w:proofErr w:type="spellStart"/>
      <w:r w:rsidR="00125A22" w:rsidRPr="009123E8">
        <w:rPr>
          <w:rFonts w:asciiTheme="minorHAnsi" w:hAnsiTheme="minorHAnsi" w:cstheme="minorHAnsi"/>
          <w:sz w:val="22"/>
          <w:szCs w:val="22"/>
        </w:rPr>
        <w:t>Boumdeïd</w:t>
      </w:r>
      <w:proofErr w:type="spellEnd"/>
      <w:r w:rsidR="00125A22" w:rsidRPr="009123E8">
        <w:rPr>
          <w:rFonts w:asciiTheme="minorHAnsi" w:hAnsiTheme="minorHAnsi" w:cstheme="minorHAnsi"/>
          <w:sz w:val="22"/>
          <w:szCs w:val="22"/>
        </w:rPr>
        <w:t xml:space="preserve"> avec seulement 3,47% d’augmentation de ses crédits FRD, soit plus de 13 points d’écart avec la moyenne nationale, a subi des corrections en ce qui concerne l’attribution</w:t>
      </w:r>
      <w:r w:rsidR="00D40A7D" w:rsidRPr="009123E8">
        <w:rPr>
          <w:rFonts w:asciiTheme="minorHAnsi" w:hAnsiTheme="minorHAnsi" w:cstheme="minorHAnsi"/>
          <w:sz w:val="22"/>
          <w:szCs w:val="22"/>
        </w:rPr>
        <w:t xml:space="preserve"> de sa part pour l’exercice 2012</w:t>
      </w:r>
      <w:r w:rsidR="00D23A59" w:rsidRPr="009123E8">
        <w:rPr>
          <w:rFonts w:asciiTheme="minorHAnsi" w:hAnsiTheme="minorHAnsi" w:cstheme="minorHAnsi"/>
          <w:sz w:val="22"/>
          <w:szCs w:val="22"/>
        </w:rPr>
        <w:t>. La</w:t>
      </w:r>
      <w:r w:rsidR="00D23A59" w:rsidRPr="00D23A59">
        <w:rPr>
          <w:rFonts w:asciiTheme="minorHAnsi" w:hAnsiTheme="minorHAnsi" w:cstheme="minorHAnsi"/>
          <w:sz w:val="22"/>
          <w:szCs w:val="22"/>
        </w:rPr>
        <w:t xml:space="preserve"> </w:t>
      </w:r>
      <w:proofErr w:type="spellStart"/>
      <w:r w:rsidR="001246CD">
        <w:rPr>
          <w:rFonts w:asciiTheme="minorHAnsi" w:hAnsiTheme="minorHAnsi" w:cstheme="minorHAnsi"/>
          <w:sz w:val="22"/>
          <w:szCs w:val="22"/>
        </w:rPr>
        <w:t>Moughataa</w:t>
      </w:r>
      <w:proofErr w:type="spellEnd"/>
      <w:r w:rsidR="009123E8">
        <w:rPr>
          <w:rFonts w:asciiTheme="minorHAnsi" w:hAnsiTheme="minorHAnsi" w:cstheme="minorHAnsi"/>
          <w:sz w:val="22"/>
          <w:szCs w:val="22"/>
        </w:rPr>
        <w:t xml:space="preserve"> avait en effet vu bondir de 39,78</w:t>
      </w:r>
      <w:r w:rsidR="00D23A59" w:rsidRPr="00D23A59">
        <w:rPr>
          <w:rFonts w:asciiTheme="minorHAnsi" w:hAnsiTheme="minorHAnsi" w:cstheme="minorHAnsi"/>
          <w:sz w:val="22"/>
          <w:szCs w:val="22"/>
        </w:rPr>
        <w:t>% son attribution de FRD en 2011.</w:t>
      </w:r>
    </w:p>
    <w:p w:rsidR="00733A35" w:rsidRPr="0013330A" w:rsidRDefault="00A64022" w:rsidP="00733A35">
      <w:pPr>
        <w:jc w:val="both"/>
        <w:rPr>
          <w:rFonts w:asciiTheme="minorHAnsi" w:hAnsiTheme="minorHAnsi" w:cstheme="minorHAnsi"/>
          <w:sz w:val="22"/>
          <w:szCs w:val="22"/>
        </w:rPr>
      </w:pPr>
      <w:r>
        <w:rPr>
          <w:rFonts w:asciiTheme="minorHAnsi" w:hAnsiTheme="minorHAnsi" w:cstheme="minorHAnsi"/>
          <w:sz w:val="22"/>
          <w:szCs w:val="22"/>
        </w:rPr>
        <w:t xml:space="preserve">227 263 509 </w:t>
      </w:r>
      <w:proofErr w:type="gramStart"/>
      <w:r w:rsidR="004871EA">
        <w:rPr>
          <w:rFonts w:asciiTheme="minorHAnsi" w:hAnsiTheme="minorHAnsi" w:cstheme="minorHAnsi"/>
          <w:sz w:val="22"/>
          <w:szCs w:val="22"/>
        </w:rPr>
        <w:t>ouguiya</w:t>
      </w:r>
      <w:proofErr w:type="gramEnd"/>
      <w:r>
        <w:rPr>
          <w:rFonts w:asciiTheme="minorHAnsi" w:hAnsiTheme="minorHAnsi" w:cstheme="minorHAnsi"/>
          <w:sz w:val="22"/>
          <w:szCs w:val="22"/>
        </w:rPr>
        <w:t xml:space="preserve"> ont été engagés en 2012</w:t>
      </w:r>
      <w:r w:rsidR="00733A35" w:rsidRPr="0013330A">
        <w:rPr>
          <w:rFonts w:asciiTheme="minorHAnsi" w:hAnsiTheme="minorHAnsi" w:cstheme="minorHAnsi"/>
          <w:sz w:val="22"/>
          <w:szCs w:val="22"/>
        </w:rPr>
        <w:t xml:space="preserve">, soit un </w:t>
      </w:r>
      <w:r>
        <w:rPr>
          <w:rFonts w:asciiTheme="minorHAnsi" w:hAnsiTheme="minorHAnsi" w:cstheme="minorHAnsi"/>
          <w:b/>
          <w:sz w:val="22"/>
          <w:szCs w:val="22"/>
        </w:rPr>
        <w:t>taux d’absorption de 96,37</w:t>
      </w:r>
      <w:r w:rsidR="00733A35" w:rsidRPr="0013330A">
        <w:rPr>
          <w:rFonts w:asciiTheme="minorHAnsi" w:hAnsiTheme="minorHAnsi" w:cstheme="minorHAnsi"/>
          <w:b/>
          <w:sz w:val="22"/>
          <w:szCs w:val="22"/>
        </w:rPr>
        <w:t xml:space="preserve"> %</w:t>
      </w:r>
      <w:r w:rsidR="00733A35" w:rsidRPr="0013330A">
        <w:rPr>
          <w:rFonts w:asciiTheme="minorHAnsi" w:hAnsiTheme="minorHAnsi" w:cstheme="minorHAnsi"/>
          <w:sz w:val="22"/>
          <w:szCs w:val="22"/>
        </w:rPr>
        <w:t xml:space="preserve">. </w:t>
      </w:r>
    </w:p>
    <w:p w:rsidR="00733A35" w:rsidRPr="0013330A" w:rsidRDefault="00733A35" w:rsidP="00733A35">
      <w:pPr>
        <w:jc w:val="both"/>
        <w:rPr>
          <w:rFonts w:asciiTheme="minorHAnsi" w:hAnsiTheme="minorHAnsi" w:cstheme="minorHAnsi"/>
          <w:sz w:val="22"/>
          <w:szCs w:val="22"/>
        </w:rPr>
      </w:pPr>
    </w:p>
    <w:p w:rsidR="00733A35" w:rsidRDefault="00733A35" w:rsidP="00733A35">
      <w:pPr>
        <w:jc w:val="both"/>
        <w:rPr>
          <w:rFonts w:asciiTheme="minorHAnsi" w:hAnsiTheme="minorHAnsi" w:cstheme="minorHAnsi"/>
          <w:sz w:val="22"/>
          <w:szCs w:val="22"/>
        </w:rPr>
      </w:pPr>
    </w:p>
    <w:p w:rsidR="00733A35" w:rsidRDefault="00733A35" w:rsidP="00733A35">
      <w:pPr>
        <w:jc w:val="both"/>
        <w:rPr>
          <w:rFonts w:asciiTheme="minorHAnsi" w:hAnsiTheme="minorHAnsi" w:cstheme="minorHAnsi"/>
          <w:sz w:val="22"/>
          <w:szCs w:val="22"/>
        </w:rPr>
      </w:pPr>
      <w:r w:rsidRPr="009F033B">
        <w:rPr>
          <w:noProof/>
          <w:szCs w:val="22"/>
        </w:rPr>
        <w:drawing>
          <wp:inline distT="0" distB="0" distL="0" distR="0">
            <wp:extent cx="6645910" cy="2980263"/>
            <wp:effectExtent l="19050" t="0" r="2540" b="0"/>
            <wp:docPr id="162"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6" cstate="print"/>
                    <a:srcRect/>
                    <a:stretch>
                      <a:fillRect/>
                    </a:stretch>
                  </pic:blipFill>
                  <pic:spPr bwMode="auto">
                    <a:xfrm>
                      <a:off x="0" y="0"/>
                      <a:ext cx="6645910" cy="2980263"/>
                    </a:xfrm>
                    <a:prstGeom prst="rect">
                      <a:avLst/>
                    </a:prstGeom>
                    <a:noFill/>
                    <a:ln w="9525">
                      <a:noFill/>
                      <a:miter lim="800000"/>
                      <a:headEnd/>
                      <a:tailEnd/>
                    </a:ln>
                  </pic:spPr>
                </pic:pic>
              </a:graphicData>
            </a:graphic>
          </wp:inline>
        </w:drawing>
      </w:r>
    </w:p>
    <w:p w:rsidR="00733A35" w:rsidRDefault="00733A35" w:rsidP="00733A35">
      <w:pPr>
        <w:jc w:val="both"/>
        <w:rPr>
          <w:rFonts w:asciiTheme="minorHAnsi" w:hAnsiTheme="minorHAnsi" w:cstheme="minorHAnsi"/>
          <w:sz w:val="22"/>
          <w:szCs w:val="22"/>
        </w:rPr>
      </w:pPr>
    </w:p>
    <w:p w:rsidR="00733A35" w:rsidRDefault="00733A35" w:rsidP="00733A35">
      <w:pPr>
        <w:jc w:val="both"/>
        <w:rPr>
          <w:rFonts w:asciiTheme="minorHAnsi" w:hAnsiTheme="minorHAnsi" w:cstheme="minorHAnsi"/>
          <w:sz w:val="22"/>
          <w:szCs w:val="22"/>
        </w:rPr>
      </w:pPr>
    </w:p>
    <w:p w:rsidR="00733A35" w:rsidRPr="0013330A" w:rsidRDefault="00733A35" w:rsidP="00733A35">
      <w:pPr>
        <w:jc w:val="both"/>
        <w:rPr>
          <w:rFonts w:asciiTheme="minorHAnsi" w:hAnsiTheme="minorHAnsi" w:cstheme="minorHAnsi"/>
          <w:sz w:val="22"/>
          <w:szCs w:val="22"/>
        </w:rPr>
      </w:pPr>
      <w:r w:rsidRPr="0013330A">
        <w:rPr>
          <w:rFonts w:asciiTheme="minorHAnsi" w:hAnsiTheme="minorHAnsi" w:cstheme="minorHAnsi"/>
          <w:sz w:val="22"/>
          <w:szCs w:val="22"/>
        </w:rPr>
        <w:t xml:space="preserve">Il s’agit </w:t>
      </w:r>
      <w:r w:rsidR="00A64022">
        <w:rPr>
          <w:rFonts w:asciiTheme="minorHAnsi" w:hAnsiTheme="minorHAnsi" w:cstheme="minorHAnsi"/>
          <w:sz w:val="22"/>
          <w:szCs w:val="22"/>
        </w:rPr>
        <w:t xml:space="preserve">d’un taux satisfaisant, comparé à la performance au niveau national (plus de 5 points d’écart). Il est certes </w:t>
      </w:r>
      <w:r w:rsidRPr="0013330A">
        <w:rPr>
          <w:rFonts w:asciiTheme="minorHAnsi" w:hAnsiTheme="minorHAnsi" w:cstheme="minorHAnsi"/>
          <w:sz w:val="22"/>
          <w:szCs w:val="22"/>
        </w:rPr>
        <w:t xml:space="preserve">en régression </w:t>
      </w:r>
      <w:r w:rsidR="00A64022">
        <w:rPr>
          <w:rFonts w:asciiTheme="minorHAnsi" w:hAnsiTheme="minorHAnsi" w:cstheme="minorHAnsi"/>
          <w:sz w:val="22"/>
          <w:szCs w:val="22"/>
        </w:rPr>
        <w:t>par rapport à 2011 (102,16%) mais il faut relativiser ce constat par les 16,05% d’augmentation des crédits au titre de la réforme de 2012.</w:t>
      </w:r>
      <w:r w:rsidR="00A64022" w:rsidRPr="0013330A">
        <w:rPr>
          <w:rFonts w:asciiTheme="minorHAnsi" w:hAnsiTheme="minorHAnsi" w:cstheme="minorHAnsi"/>
          <w:sz w:val="22"/>
          <w:szCs w:val="22"/>
        </w:rPr>
        <w:t xml:space="preserve"> </w:t>
      </w:r>
    </w:p>
    <w:p w:rsidR="00733A35" w:rsidRDefault="00733A35" w:rsidP="00733A35">
      <w:pPr>
        <w:jc w:val="both"/>
        <w:rPr>
          <w:rFonts w:asciiTheme="minorHAnsi" w:hAnsiTheme="minorHAnsi" w:cstheme="minorHAnsi"/>
          <w:sz w:val="22"/>
          <w:szCs w:val="22"/>
        </w:rPr>
      </w:pPr>
      <w:r w:rsidRPr="0013330A">
        <w:rPr>
          <w:rFonts w:asciiTheme="minorHAnsi" w:hAnsiTheme="minorHAnsi" w:cstheme="minorHAnsi"/>
          <w:sz w:val="22"/>
          <w:szCs w:val="22"/>
        </w:rPr>
        <w:t xml:space="preserve">Ces engagements financiers 2011 correspondent à </w:t>
      </w:r>
      <w:r w:rsidR="00A64022" w:rsidRPr="00DA3EA4">
        <w:rPr>
          <w:rFonts w:asciiTheme="minorHAnsi" w:hAnsiTheme="minorHAnsi" w:cstheme="minorHAnsi"/>
          <w:b/>
          <w:sz w:val="22"/>
          <w:szCs w:val="22"/>
        </w:rPr>
        <w:t>181</w:t>
      </w:r>
      <w:r w:rsidRPr="00DA3EA4">
        <w:rPr>
          <w:rFonts w:asciiTheme="minorHAnsi" w:hAnsiTheme="minorHAnsi" w:cstheme="minorHAnsi"/>
          <w:b/>
          <w:sz w:val="22"/>
          <w:szCs w:val="22"/>
        </w:rPr>
        <w:t xml:space="preserve"> </w:t>
      </w:r>
      <w:r w:rsidRPr="0013330A">
        <w:rPr>
          <w:rFonts w:asciiTheme="minorHAnsi" w:hAnsiTheme="minorHAnsi" w:cstheme="minorHAnsi"/>
          <w:b/>
          <w:sz w:val="22"/>
          <w:szCs w:val="22"/>
        </w:rPr>
        <w:t>projets</w:t>
      </w:r>
      <w:r w:rsidR="00DA3EA4">
        <w:rPr>
          <w:rFonts w:asciiTheme="minorHAnsi" w:hAnsiTheme="minorHAnsi" w:cstheme="minorHAnsi"/>
          <w:sz w:val="22"/>
          <w:szCs w:val="22"/>
        </w:rPr>
        <w:t>, soit 4 projets de plus qu’en 2011 qui comptabilisait 177 projets.</w:t>
      </w:r>
    </w:p>
    <w:p w:rsidR="00733A35" w:rsidRDefault="00733A35" w:rsidP="00733A35">
      <w:pPr>
        <w:jc w:val="both"/>
        <w:rPr>
          <w:rFonts w:asciiTheme="minorHAnsi" w:hAnsiTheme="minorHAnsi" w:cstheme="minorHAnsi"/>
          <w:sz w:val="22"/>
          <w:szCs w:val="22"/>
        </w:rPr>
      </w:pPr>
    </w:p>
    <w:p w:rsidR="00733A35" w:rsidRDefault="00733A35" w:rsidP="00733A35">
      <w:pPr>
        <w:jc w:val="both"/>
        <w:rPr>
          <w:rFonts w:asciiTheme="minorHAnsi" w:hAnsiTheme="minorHAnsi" w:cstheme="minorHAnsi"/>
          <w:sz w:val="22"/>
          <w:szCs w:val="22"/>
        </w:rPr>
      </w:pPr>
      <w:r w:rsidRPr="00685610">
        <w:rPr>
          <w:noProof/>
          <w:szCs w:val="22"/>
        </w:rPr>
        <w:drawing>
          <wp:inline distT="0" distB="0" distL="0" distR="0">
            <wp:extent cx="6645910" cy="2514600"/>
            <wp:effectExtent l="19050" t="0" r="2540" b="0"/>
            <wp:docPr id="16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7" cstate="print"/>
                    <a:srcRect/>
                    <a:stretch>
                      <a:fillRect/>
                    </a:stretch>
                  </pic:blipFill>
                  <pic:spPr bwMode="auto">
                    <a:xfrm>
                      <a:off x="0" y="0"/>
                      <a:ext cx="6645910" cy="2514600"/>
                    </a:xfrm>
                    <a:prstGeom prst="rect">
                      <a:avLst/>
                    </a:prstGeom>
                    <a:noFill/>
                    <a:ln w="9525">
                      <a:noFill/>
                      <a:miter lim="800000"/>
                      <a:headEnd/>
                      <a:tailEnd/>
                    </a:ln>
                  </pic:spPr>
                </pic:pic>
              </a:graphicData>
            </a:graphic>
          </wp:inline>
        </w:drawing>
      </w:r>
    </w:p>
    <w:p w:rsidR="00733A35" w:rsidRDefault="00733A35" w:rsidP="00733A35">
      <w:pPr>
        <w:jc w:val="both"/>
        <w:rPr>
          <w:rFonts w:asciiTheme="minorHAnsi" w:hAnsiTheme="minorHAnsi" w:cstheme="minorHAnsi"/>
          <w:sz w:val="22"/>
          <w:szCs w:val="22"/>
        </w:rPr>
      </w:pPr>
    </w:p>
    <w:p w:rsidR="00733A35" w:rsidRDefault="00733A35" w:rsidP="00733A35">
      <w:pPr>
        <w:jc w:val="both"/>
        <w:rPr>
          <w:rFonts w:asciiTheme="minorHAnsi" w:hAnsiTheme="minorHAnsi" w:cstheme="minorHAnsi"/>
          <w:sz w:val="22"/>
          <w:szCs w:val="22"/>
        </w:rPr>
      </w:pPr>
      <w:r w:rsidRPr="0013330A">
        <w:rPr>
          <w:rFonts w:asciiTheme="minorHAnsi" w:hAnsiTheme="minorHAnsi" w:cstheme="minorHAnsi"/>
          <w:sz w:val="22"/>
          <w:szCs w:val="22"/>
        </w:rPr>
        <w:t xml:space="preserve">Cette hausse limitée du nombre de projets cumulée à l’accroissement du montant FRD donne </w:t>
      </w:r>
      <w:r w:rsidRPr="0013330A">
        <w:rPr>
          <w:rFonts w:asciiTheme="minorHAnsi" w:hAnsiTheme="minorHAnsi" w:cstheme="minorHAnsi"/>
          <w:b/>
          <w:sz w:val="22"/>
          <w:szCs w:val="22"/>
        </w:rPr>
        <w:t>un montant moyen de l’investissement par projet</w:t>
      </w:r>
      <w:r w:rsidR="00DA3EA4">
        <w:rPr>
          <w:rFonts w:asciiTheme="minorHAnsi" w:hAnsiTheme="minorHAnsi" w:cstheme="minorHAnsi"/>
          <w:sz w:val="22"/>
          <w:szCs w:val="22"/>
        </w:rPr>
        <w:t xml:space="preserve"> </w:t>
      </w:r>
      <w:r w:rsidRPr="0013330A">
        <w:rPr>
          <w:rFonts w:asciiTheme="minorHAnsi" w:hAnsiTheme="minorHAnsi" w:cstheme="minorHAnsi"/>
          <w:sz w:val="22"/>
          <w:szCs w:val="22"/>
        </w:rPr>
        <w:t>asse</w:t>
      </w:r>
      <w:r w:rsidR="00DA3EA4">
        <w:rPr>
          <w:rFonts w:asciiTheme="minorHAnsi" w:hAnsiTheme="minorHAnsi" w:cstheme="minorHAnsi"/>
          <w:sz w:val="22"/>
          <w:szCs w:val="22"/>
        </w:rPr>
        <w:t xml:space="preserve">z comparable au niveau national et en progression : 1 255 599 MRO en 2012 contre 1 035 754 MRO en 2011. </w:t>
      </w:r>
      <w:r w:rsidRPr="0013330A">
        <w:rPr>
          <w:rFonts w:asciiTheme="minorHAnsi" w:hAnsiTheme="minorHAnsi" w:cstheme="minorHAnsi"/>
          <w:sz w:val="22"/>
          <w:szCs w:val="22"/>
        </w:rPr>
        <w:t>Ce montant traduit une parcellisation d</w:t>
      </w:r>
      <w:r w:rsidR="00DA3EA4">
        <w:rPr>
          <w:rFonts w:asciiTheme="minorHAnsi" w:hAnsiTheme="minorHAnsi" w:cstheme="minorHAnsi"/>
          <w:sz w:val="22"/>
          <w:szCs w:val="22"/>
        </w:rPr>
        <w:t>e l’investissement de niveau moyen.</w:t>
      </w:r>
    </w:p>
    <w:p w:rsidR="00733A35" w:rsidRPr="0013330A" w:rsidRDefault="00733A35" w:rsidP="00733A35">
      <w:pPr>
        <w:jc w:val="both"/>
        <w:rPr>
          <w:rFonts w:asciiTheme="minorHAnsi" w:hAnsiTheme="minorHAnsi" w:cstheme="minorHAnsi"/>
          <w:sz w:val="22"/>
          <w:szCs w:val="22"/>
        </w:rPr>
      </w:pPr>
    </w:p>
    <w:p w:rsidR="00733A35" w:rsidRPr="0013330A" w:rsidRDefault="00733A35" w:rsidP="00733A35">
      <w:pPr>
        <w:jc w:val="both"/>
        <w:rPr>
          <w:rFonts w:asciiTheme="minorHAnsi" w:hAnsiTheme="minorHAnsi" w:cstheme="minorHAnsi"/>
          <w:sz w:val="22"/>
          <w:szCs w:val="22"/>
        </w:rPr>
      </w:pPr>
      <w:r w:rsidRPr="0013330A">
        <w:rPr>
          <w:rFonts w:asciiTheme="minorHAnsi" w:hAnsiTheme="minorHAnsi" w:cstheme="minorHAnsi"/>
          <w:b/>
          <w:sz w:val="22"/>
          <w:szCs w:val="22"/>
        </w:rPr>
        <w:t>En termes de priorités d’investissement</w:t>
      </w:r>
      <w:r w:rsidRPr="0013330A">
        <w:rPr>
          <w:rFonts w:asciiTheme="minorHAnsi" w:hAnsiTheme="minorHAnsi" w:cstheme="minorHAnsi"/>
          <w:sz w:val="22"/>
          <w:szCs w:val="22"/>
        </w:rPr>
        <w:t xml:space="preserve">, la </w:t>
      </w:r>
      <w:r w:rsidR="001246CD">
        <w:rPr>
          <w:rFonts w:asciiTheme="minorHAnsi" w:hAnsiTheme="minorHAnsi" w:cstheme="minorHAnsi"/>
          <w:sz w:val="22"/>
          <w:szCs w:val="22"/>
        </w:rPr>
        <w:t>Wilaya</w:t>
      </w:r>
      <w:r w:rsidRPr="0013330A">
        <w:rPr>
          <w:rFonts w:asciiTheme="minorHAnsi" w:hAnsiTheme="minorHAnsi" w:cstheme="minorHAnsi"/>
          <w:sz w:val="22"/>
          <w:szCs w:val="22"/>
        </w:rPr>
        <w:t xml:space="preserve"> de l’</w:t>
      </w:r>
      <w:proofErr w:type="spellStart"/>
      <w:r w:rsidRPr="0013330A">
        <w:rPr>
          <w:rFonts w:asciiTheme="minorHAnsi" w:hAnsiTheme="minorHAnsi" w:cstheme="minorHAnsi"/>
          <w:sz w:val="22"/>
          <w:szCs w:val="22"/>
        </w:rPr>
        <w:t>Assa</w:t>
      </w:r>
      <w:r w:rsidR="00A83EF6">
        <w:rPr>
          <w:rFonts w:asciiTheme="minorHAnsi" w:hAnsiTheme="minorHAnsi" w:cstheme="minorHAnsi"/>
          <w:sz w:val="22"/>
          <w:szCs w:val="22"/>
        </w:rPr>
        <w:t>ba</w:t>
      </w:r>
      <w:proofErr w:type="spellEnd"/>
      <w:r w:rsidR="00A83EF6">
        <w:rPr>
          <w:rFonts w:asciiTheme="minorHAnsi" w:hAnsiTheme="minorHAnsi" w:cstheme="minorHAnsi"/>
          <w:sz w:val="22"/>
          <w:szCs w:val="22"/>
        </w:rPr>
        <w:t xml:space="preserve"> </w:t>
      </w:r>
      <w:r w:rsidRPr="0013330A">
        <w:rPr>
          <w:rFonts w:asciiTheme="minorHAnsi" w:hAnsiTheme="minorHAnsi" w:cstheme="minorHAnsi"/>
          <w:sz w:val="22"/>
          <w:szCs w:val="22"/>
        </w:rPr>
        <w:t>consacre la part la plus importante de ses engagements a</w:t>
      </w:r>
      <w:r w:rsidR="00DA3EA4">
        <w:rPr>
          <w:rFonts w:asciiTheme="minorHAnsi" w:hAnsiTheme="minorHAnsi" w:cstheme="minorHAnsi"/>
          <w:sz w:val="22"/>
          <w:szCs w:val="22"/>
        </w:rPr>
        <w:t>ux secteurs de l’hydraulique</w:t>
      </w:r>
      <w:r w:rsidR="00A83EF6">
        <w:rPr>
          <w:rFonts w:asciiTheme="minorHAnsi" w:hAnsiTheme="minorHAnsi" w:cstheme="minorHAnsi"/>
          <w:sz w:val="22"/>
          <w:szCs w:val="22"/>
        </w:rPr>
        <w:t>,</w:t>
      </w:r>
      <w:r w:rsidR="00DA3EA4">
        <w:rPr>
          <w:rFonts w:asciiTheme="minorHAnsi" w:hAnsiTheme="minorHAnsi" w:cstheme="minorHAnsi"/>
          <w:sz w:val="22"/>
          <w:szCs w:val="22"/>
        </w:rPr>
        <w:t xml:space="preserve"> en première position (</w:t>
      </w:r>
      <w:r w:rsidRPr="0013330A">
        <w:rPr>
          <w:rFonts w:asciiTheme="minorHAnsi" w:hAnsiTheme="minorHAnsi" w:cstheme="minorHAnsi"/>
          <w:sz w:val="22"/>
          <w:szCs w:val="22"/>
        </w:rPr>
        <w:t>23</w:t>
      </w:r>
      <w:r w:rsidR="00DA3EA4">
        <w:rPr>
          <w:rFonts w:asciiTheme="minorHAnsi" w:hAnsiTheme="minorHAnsi" w:cstheme="minorHAnsi"/>
          <w:sz w:val="22"/>
          <w:szCs w:val="22"/>
        </w:rPr>
        <w:t>,97</w:t>
      </w:r>
      <w:r w:rsidRPr="0013330A">
        <w:rPr>
          <w:rFonts w:asciiTheme="minorHAnsi" w:hAnsiTheme="minorHAnsi" w:cstheme="minorHAnsi"/>
          <w:sz w:val="22"/>
          <w:szCs w:val="22"/>
        </w:rPr>
        <w:t>% du montant FRD</w:t>
      </w:r>
      <w:r w:rsidR="00DA3EA4">
        <w:rPr>
          <w:rFonts w:asciiTheme="minorHAnsi" w:hAnsiTheme="minorHAnsi" w:cstheme="minorHAnsi"/>
          <w:sz w:val="22"/>
          <w:szCs w:val="22"/>
        </w:rPr>
        <w:t xml:space="preserve"> engagé pour 54 469 358 MRO avec 62 projets) et de l’éducation</w:t>
      </w:r>
      <w:r w:rsidR="00A83EF6">
        <w:rPr>
          <w:rFonts w:asciiTheme="minorHAnsi" w:hAnsiTheme="minorHAnsi" w:cstheme="minorHAnsi"/>
          <w:sz w:val="22"/>
          <w:szCs w:val="22"/>
        </w:rPr>
        <w:t>,</w:t>
      </w:r>
      <w:r w:rsidR="00DA3EA4">
        <w:rPr>
          <w:rFonts w:asciiTheme="minorHAnsi" w:hAnsiTheme="minorHAnsi" w:cstheme="minorHAnsi"/>
          <w:sz w:val="22"/>
          <w:szCs w:val="22"/>
        </w:rPr>
        <w:t xml:space="preserve"> en deuxième position (17,47</w:t>
      </w:r>
      <w:r w:rsidRPr="0013330A">
        <w:rPr>
          <w:rFonts w:asciiTheme="minorHAnsi" w:hAnsiTheme="minorHAnsi" w:cstheme="minorHAnsi"/>
          <w:sz w:val="22"/>
          <w:szCs w:val="22"/>
        </w:rPr>
        <w:t>%</w:t>
      </w:r>
      <w:r w:rsidR="00DA3EA4">
        <w:rPr>
          <w:rFonts w:asciiTheme="minorHAnsi" w:hAnsiTheme="minorHAnsi" w:cstheme="minorHAnsi"/>
          <w:sz w:val="22"/>
          <w:szCs w:val="22"/>
        </w:rPr>
        <w:t xml:space="preserve"> pour 22 projets à hauteur de 39 700 998 MRO</w:t>
      </w:r>
      <w:r w:rsidRPr="0013330A">
        <w:rPr>
          <w:rFonts w:asciiTheme="minorHAnsi" w:hAnsiTheme="minorHAnsi" w:cstheme="minorHAnsi"/>
          <w:sz w:val="22"/>
          <w:szCs w:val="22"/>
        </w:rPr>
        <w:t xml:space="preserve">). </w:t>
      </w:r>
    </w:p>
    <w:p w:rsidR="00733A35" w:rsidRDefault="00733A35" w:rsidP="00733A35">
      <w:pPr>
        <w:jc w:val="both"/>
        <w:rPr>
          <w:rFonts w:asciiTheme="minorHAnsi" w:hAnsiTheme="minorHAnsi" w:cstheme="minorHAnsi"/>
        </w:rPr>
      </w:pPr>
      <w:r w:rsidRPr="00A43115">
        <w:rPr>
          <w:noProof/>
        </w:rPr>
        <w:drawing>
          <wp:inline distT="0" distB="0" distL="0" distR="0">
            <wp:extent cx="6534150" cy="2847975"/>
            <wp:effectExtent l="19050" t="0" r="0" b="0"/>
            <wp:docPr id="165"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cstate="print"/>
                    <a:stretch>
                      <a:fillRect/>
                    </a:stretch>
                  </pic:blipFill>
                  <pic:spPr>
                    <a:xfrm>
                      <a:off x="0" y="0"/>
                      <a:ext cx="6533334" cy="2847619"/>
                    </a:xfrm>
                    <a:prstGeom prst="rect">
                      <a:avLst/>
                    </a:prstGeom>
                  </pic:spPr>
                </pic:pic>
              </a:graphicData>
            </a:graphic>
          </wp:inline>
        </w:drawing>
      </w:r>
    </w:p>
    <w:p w:rsidR="00733A35" w:rsidRDefault="00DA3EA4" w:rsidP="00733A35">
      <w:pPr>
        <w:jc w:val="both"/>
        <w:rPr>
          <w:rFonts w:asciiTheme="minorHAnsi" w:hAnsiTheme="minorHAnsi" w:cstheme="minorHAnsi"/>
        </w:rPr>
      </w:pPr>
      <w:r>
        <w:rPr>
          <w:rFonts w:asciiTheme="minorHAnsi" w:hAnsiTheme="minorHAnsi" w:cstheme="minorHAnsi"/>
        </w:rPr>
        <w:t>En troisième position se trouve le secteur des bâtiments communaux avec 26 projets à hauteur de 36 331 813 MRO, soit 15,99% des engagements.</w:t>
      </w:r>
    </w:p>
    <w:p w:rsidR="00DA3EA4" w:rsidRDefault="00DA3EA4" w:rsidP="00DA3EA4">
      <w:pPr>
        <w:jc w:val="both"/>
        <w:rPr>
          <w:rFonts w:asciiTheme="minorHAnsi" w:hAnsiTheme="minorHAnsi" w:cstheme="minorHAnsi"/>
        </w:rPr>
      </w:pPr>
    </w:p>
    <w:p w:rsidR="00DA3EA4" w:rsidRDefault="00DA3EA4" w:rsidP="00DA3EA4">
      <w:pPr>
        <w:jc w:val="both"/>
        <w:rPr>
          <w:rFonts w:asciiTheme="minorHAnsi" w:hAnsiTheme="minorHAnsi" w:cstheme="minorHAnsi"/>
        </w:rPr>
      </w:pPr>
    </w:p>
    <w:p w:rsidR="00733A35" w:rsidRPr="00DA3EA4" w:rsidRDefault="00733A35" w:rsidP="00DA3EA4">
      <w:pPr>
        <w:jc w:val="both"/>
        <w:rPr>
          <w:rFonts w:asciiTheme="minorHAnsi" w:hAnsiTheme="minorHAnsi" w:cstheme="minorHAnsi"/>
          <w:b/>
          <w:sz w:val="22"/>
          <w:szCs w:val="22"/>
          <w:u w:val="single"/>
        </w:rPr>
      </w:pPr>
      <w:r w:rsidRPr="00DA3EA4">
        <w:rPr>
          <w:rFonts w:asciiTheme="minorHAnsi" w:hAnsiTheme="minorHAnsi" w:cstheme="minorHAnsi"/>
          <w:b/>
          <w:sz w:val="22"/>
          <w:szCs w:val="22"/>
          <w:u w:val="single"/>
        </w:rPr>
        <w:t xml:space="preserve">Analyse des données par </w:t>
      </w:r>
      <w:proofErr w:type="spellStart"/>
      <w:r w:rsidR="001246CD">
        <w:rPr>
          <w:rFonts w:asciiTheme="minorHAnsi" w:hAnsiTheme="minorHAnsi" w:cstheme="minorHAnsi"/>
          <w:b/>
          <w:sz w:val="22"/>
          <w:szCs w:val="22"/>
          <w:u w:val="single"/>
        </w:rPr>
        <w:t>Moughataa</w:t>
      </w:r>
      <w:proofErr w:type="spellEnd"/>
    </w:p>
    <w:p w:rsidR="00DA3EA4" w:rsidRPr="001A2B50" w:rsidRDefault="00DA3EA4" w:rsidP="001A2B50">
      <w:pPr>
        <w:jc w:val="both"/>
        <w:rPr>
          <w:rFonts w:asciiTheme="minorHAnsi" w:hAnsiTheme="minorHAnsi" w:cstheme="minorHAnsi"/>
          <w:b/>
          <w:sz w:val="22"/>
          <w:szCs w:val="22"/>
        </w:rPr>
      </w:pPr>
    </w:p>
    <w:p w:rsidR="00733A35" w:rsidRDefault="001246CD" w:rsidP="001A2B50">
      <w:pPr>
        <w:jc w:val="center"/>
        <w:rPr>
          <w:rFonts w:asciiTheme="minorHAnsi" w:hAnsiTheme="minorHAnsi" w:cstheme="minorHAnsi"/>
          <w:sz w:val="22"/>
          <w:szCs w:val="22"/>
          <w:u w:val="single"/>
        </w:rPr>
      </w:pPr>
      <w:proofErr w:type="spellStart"/>
      <w:r>
        <w:rPr>
          <w:rFonts w:asciiTheme="minorHAnsi" w:hAnsiTheme="minorHAnsi" w:cstheme="minorHAnsi"/>
          <w:b/>
          <w:sz w:val="22"/>
          <w:szCs w:val="22"/>
          <w:u w:val="single"/>
        </w:rPr>
        <w:t>Moughataa</w:t>
      </w:r>
      <w:proofErr w:type="spellEnd"/>
      <w:r w:rsidR="00733A35" w:rsidRPr="0013330A">
        <w:rPr>
          <w:rFonts w:asciiTheme="minorHAnsi" w:hAnsiTheme="minorHAnsi" w:cstheme="minorHAnsi"/>
          <w:b/>
          <w:sz w:val="22"/>
          <w:szCs w:val="22"/>
          <w:u w:val="single"/>
        </w:rPr>
        <w:t xml:space="preserve"> de Kiffa</w:t>
      </w:r>
    </w:p>
    <w:p w:rsidR="001A2B50" w:rsidRPr="001A2B50" w:rsidRDefault="001A2B50" w:rsidP="001A2B50">
      <w:pPr>
        <w:jc w:val="center"/>
        <w:rPr>
          <w:rFonts w:asciiTheme="minorHAnsi" w:hAnsiTheme="minorHAnsi" w:cstheme="minorHAnsi"/>
          <w:sz w:val="22"/>
          <w:szCs w:val="22"/>
          <w:u w:val="single"/>
        </w:rPr>
      </w:pPr>
    </w:p>
    <w:p w:rsidR="00733A35" w:rsidRPr="0013330A" w:rsidRDefault="00733A35" w:rsidP="00733A35">
      <w:pPr>
        <w:jc w:val="both"/>
        <w:rPr>
          <w:rFonts w:asciiTheme="minorHAnsi" w:hAnsiTheme="minorHAnsi" w:cstheme="minorHAnsi"/>
          <w:sz w:val="22"/>
          <w:szCs w:val="22"/>
        </w:rPr>
      </w:pPr>
      <w:r w:rsidRPr="0013330A">
        <w:rPr>
          <w:rFonts w:asciiTheme="minorHAnsi" w:hAnsiTheme="minorHAnsi" w:cstheme="minorHAnsi"/>
          <w:sz w:val="22"/>
          <w:szCs w:val="22"/>
        </w:rPr>
        <w:t xml:space="preserve">Les communes de la </w:t>
      </w:r>
      <w:proofErr w:type="spellStart"/>
      <w:r w:rsidR="001246CD">
        <w:rPr>
          <w:rFonts w:asciiTheme="minorHAnsi" w:hAnsiTheme="minorHAnsi" w:cstheme="minorHAnsi"/>
          <w:sz w:val="22"/>
          <w:szCs w:val="22"/>
        </w:rPr>
        <w:t>Moughataa</w:t>
      </w:r>
      <w:proofErr w:type="spellEnd"/>
      <w:r w:rsidRPr="0013330A">
        <w:rPr>
          <w:rFonts w:asciiTheme="minorHAnsi" w:hAnsiTheme="minorHAnsi" w:cstheme="minorHAnsi"/>
          <w:sz w:val="22"/>
          <w:szCs w:val="22"/>
        </w:rPr>
        <w:t xml:space="preserve"> de K</w:t>
      </w:r>
      <w:r w:rsidR="00DA3EA4">
        <w:rPr>
          <w:rFonts w:asciiTheme="minorHAnsi" w:hAnsiTheme="minorHAnsi" w:cstheme="minorHAnsi"/>
          <w:sz w:val="22"/>
          <w:szCs w:val="22"/>
        </w:rPr>
        <w:t>iffa ont bénéficié d’un FRD 2012 pour l’équipement de 66 757 588 MRO (+16,18 % par rapport à 2011).  Elles ont engagé 64 425 734</w:t>
      </w:r>
      <w:r w:rsidRPr="0013330A">
        <w:rPr>
          <w:rFonts w:asciiTheme="minorHAnsi" w:hAnsiTheme="minorHAnsi" w:cstheme="minorHAnsi"/>
          <w:sz w:val="22"/>
          <w:szCs w:val="22"/>
        </w:rPr>
        <w:t xml:space="preserve"> MRO pour la réalisation de </w:t>
      </w:r>
      <w:r w:rsidR="00DA3EA4">
        <w:rPr>
          <w:rFonts w:asciiTheme="minorHAnsi" w:hAnsiTheme="minorHAnsi" w:cstheme="minorHAnsi"/>
          <w:b/>
          <w:sz w:val="22"/>
          <w:szCs w:val="22"/>
        </w:rPr>
        <w:t>50</w:t>
      </w:r>
      <w:r w:rsidRPr="00C762B7">
        <w:rPr>
          <w:rFonts w:asciiTheme="minorHAnsi" w:hAnsiTheme="minorHAnsi" w:cstheme="minorHAnsi"/>
          <w:b/>
          <w:sz w:val="22"/>
          <w:szCs w:val="22"/>
        </w:rPr>
        <w:t xml:space="preserve"> projets</w:t>
      </w:r>
      <w:r w:rsidRPr="0013330A">
        <w:rPr>
          <w:rFonts w:asciiTheme="minorHAnsi" w:hAnsiTheme="minorHAnsi" w:cstheme="minorHAnsi"/>
          <w:sz w:val="22"/>
          <w:szCs w:val="22"/>
        </w:rPr>
        <w:t xml:space="preserve">, soit un </w:t>
      </w:r>
      <w:r w:rsidR="00DA3EA4">
        <w:rPr>
          <w:rFonts w:asciiTheme="minorHAnsi" w:hAnsiTheme="minorHAnsi" w:cstheme="minorHAnsi"/>
          <w:b/>
          <w:sz w:val="22"/>
          <w:szCs w:val="22"/>
        </w:rPr>
        <w:t>taux d’absorption de 96,51</w:t>
      </w:r>
      <w:r w:rsidRPr="0013330A">
        <w:rPr>
          <w:rFonts w:asciiTheme="minorHAnsi" w:hAnsiTheme="minorHAnsi" w:cstheme="minorHAnsi"/>
          <w:b/>
          <w:sz w:val="22"/>
          <w:szCs w:val="22"/>
        </w:rPr>
        <w:t xml:space="preserve"> %.</w:t>
      </w:r>
    </w:p>
    <w:p w:rsidR="00733A35" w:rsidRPr="0013330A" w:rsidRDefault="00733A35" w:rsidP="00733A35">
      <w:pPr>
        <w:jc w:val="both"/>
        <w:rPr>
          <w:rFonts w:asciiTheme="minorHAnsi" w:hAnsiTheme="minorHAnsi" w:cstheme="minorHAnsi"/>
          <w:sz w:val="22"/>
          <w:szCs w:val="22"/>
        </w:rPr>
      </w:pPr>
    </w:p>
    <w:p w:rsidR="00733A35" w:rsidRDefault="00733A35" w:rsidP="00733A35">
      <w:pPr>
        <w:jc w:val="both"/>
        <w:rPr>
          <w:rFonts w:asciiTheme="minorHAnsi" w:hAnsiTheme="minorHAnsi" w:cstheme="minorHAnsi"/>
          <w:sz w:val="22"/>
          <w:szCs w:val="22"/>
        </w:rPr>
      </w:pPr>
      <w:r w:rsidRPr="003D5741">
        <w:rPr>
          <w:noProof/>
        </w:rPr>
        <w:drawing>
          <wp:inline distT="0" distB="0" distL="0" distR="0">
            <wp:extent cx="3276600" cy="4714875"/>
            <wp:effectExtent l="19050" t="0" r="0" b="0"/>
            <wp:docPr id="166"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cstate="print"/>
                    <a:stretch>
                      <a:fillRect/>
                    </a:stretch>
                  </pic:blipFill>
                  <pic:spPr>
                    <a:xfrm>
                      <a:off x="0" y="0"/>
                      <a:ext cx="3276600" cy="4714875"/>
                    </a:xfrm>
                    <a:prstGeom prst="rect">
                      <a:avLst/>
                    </a:prstGeom>
                  </pic:spPr>
                </pic:pic>
              </a:graphicData>
            </a:graphic>
          </wp:inline>
        </w:drawing>
      </w:r>
      <w:r w:rsidRPr="0058589E">
        <w:rPr>
          <w:rFonts w:asciiTheme="minorHAnsi" w:hAnsiTheme="minorHAnsi" w:cstheme="minorHAnsi"/>
          <w:noProof/>
          <w:sz w:val="22"/>
          <w:szCs w:val="22"/>
        </w:rPr>
        <w:drawing>
          <wp:inline distT="0" distB="0" distL="0" distR="0">
            <wp:extent cx="3257549" cy="4714875"/>
            <wp:effectExtent l="19050" t="0" r="1" b="0"/>
            <wp:docPr id="167"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cstate="print"/>
                    <a:stretch>
                      <a:fillRect/>
                    </a:stretch>
                  </pic:blipFill>
                  <pic:spPr>
                    <a:xfrm>
                      <a:off x="0" y="0"/>
                      <a:ext cx="3257143" cy="4714287"/>
                    </a:xfrm>
                    <a:prstGeom prst="rect">
                      <a:avLst/>
                    </a:prstGeom>
                  </pic:spPr>
                </pic:pic>
              </a:graphicData>
            </a:graphic>
          </wp:inline>
        </w:drawing>
      </w:r>
    </w:p>
    <w:p w:rsidR="00D7455D" w:rsidRDefault="00D7455D" w:rsidP="00733A35">
      <w:pPr>
        <w:jc w:val="both"/>
        <w:rPr>
          <w:rFonts w:asciiTheme="minorHAnsi" w:hAnsiTheme="minorHAnsi" w:cstheme="minorHAnsi"/>
          <w:sz w:val="22"/>
          <w:szCs w:val="22"/>
        </w:rPr>
      </w:pPr>
      <w:r w:rsidRPr="00D7455D">
        <w:rPr>
          <w:noProof/>
          <w:szCs w:val="22"/>
        </w:rPr>
        <w:drawing>
          <wp:inline distT="0" distB="0" distL="0" distR="0">
            <wp:extent cx="6629400" cy="2800350"/>
            <wp:effectExtent l="19050" t="0" r="0" b="0"/>
            <wp:docPr id="75"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91" cstate="print"/>
                    <a:srcRect/>
                    <a:stretch>
                      <a:fillRect/>
                    </a:stretch>
                  </pic:blipFill>
                  <pic:spPr bwMode="auto">
                    <a:xfrm>
                      <a:off x="0" y="0"/>
                      <a:ext cx="6645910" cy="2807324"/>
                    </a:xfrm>
                    <a:prstGeom prst="rect">
                      <a:avLst/>
                    </a:prstGeom>
                    <a:noFill/>
                    <a:ln w="9525">
                      <a:noFill/>
                      <a:miter lim="800000"/>
                      <a:headEnd/>
                      <a:tailEnd/>
                    </a:ln>
                  </pic:spPr>
                </pic:pic>
              </a:graphicData>
            </a:graphic>
          </wp:inline>
        </w:drawing>
      </w:r>
    </w:p>
    <w:p w:rsidR="00D7455D" w:rsidRDefault="00D7455D" w:rsidP="00D7455D">
      <w:pPr>
        <w:jc w:val="both"/>
        <w:rPr>
          <w:rFonts w:asciiTheme="minorHAnsi" w:hAnsiTheme="minorHAnsi" w:cstheme="minorHAnsi"/>
          <w:sz w:val="22"/>
          <w:szCs w:val="22"/>
        </w:rPr>
      </w:pPr>
    </w:p>
    <w:p w:rsidR="00D7455D" w:rsidRPr="0013330A" w:rsidRDefault="00D7455D" w:rsidP="00D7455D">
      <w:pPr>
        <w:jc w:val="both"/>
        <w:rPr>
          <w:rFonts w:asciiTheme="minorHAnsi" w:hAnsiTheme="minorHAnsi" w:cstheme="minorHAnsi"/>
          <w:sz w:val="22"/>
          <w:szCs w:val="22"/>
        </w:rPr>
      </w:pPr>
      <w:r w:rsidRPr="0013330A">
        <w:rPr>
          <w:rFonts w:asciiTheme="minorHAnsi" w:hAnsiTheme="minorHAnsi" w:cstheme="minorHAnsi"/>
          <w:sz w:val="22"/>
          <w:szCs w:val="22"/>
        </w:rPr>
        <w:t xml:space="preserve">Le taux d’absorption de la </w:t>
      </w:r>
      <w:proofErr w:type="spellStart"/>
      <w:r w:rsidR="001246CD">
        <w:rPr>
          <w:rFonts w:asciiTheme="minorHAnsi" w:hAnsiTheme="minorHAnsi" w:cstheme="minorHAnsi"/>
          <w:sz w:val="22"/>
          <w:szCs w:val="22"/>
        </w:rPr>
        <w:t>Moughataa</w:t>
      </w:r>
      <w:proofErr w:type="spellEnd"/>
      <w:r w:rsidRPr="0013330A">
        <w:rPr>
          <w:rFonts w:asciiTheme="minorHAnsi" w:hAnsiTheme="minorHAnsi" w:cstheme="minorHAnsi"/>
          <w:sz w:val="22"/>
          <w:szCs w:val="22"/>
        </w:rPr>
        <w:t xml:space="preserve"> de Kiffa </w:t>
      </w:r>
      <w:r>
        <w:rPr>
          <w:rFonts w:asciiTheme="minorHAnsi" w:hAnsiTheme="minorHAnsi" w:cstheme="minorHAnsi"/>
          <w:sz w:val="22"/>
          <w:szCs w:val="22"/>
        </w:rPr>
        <w:t xml:space="preserve">est satisfaisant et se trouve dans la moyenne de la </w:t>
      </w:r>
      <w:r w:rsidR="001246CD">
        <w:rPr>
          <w:rFonts w:asciiTheme="minorHAnsi" w:hAnsiTheme="minorHAnsi" w:cstheme="minorHAnsi"/>
          <w:sz w:val="22"/>
          <w:szCs w:val="22"/>
        </w:rPr>
        <w:t>Wilaya</w:t>
      </w:r>
      <w:r>
        <w:rPr>
          <w:rFonts w:asciiTheme="minorHAnsi" w:hAnsiTheme="minorHAnsi" w:cstheme="minorHAnsi"/>
          <w:sz w:val="22"/>
          <w:szCs w:val="22"/>
        </w:rPr>
        <w:t>, soit légèrement supérieure à la moyenne nationale (écart de près de 3 points).</w:t>
      </w:r>
      <w:r w:rsidRPr="0013330A">
        <w:rPr>
          <w:rFonts w:asciiTheme="minorHAnsi" w:hAnsiTheme="minorHAnsi" w:cstheme="minorHAnsi"/>
          <w:sz w:val="22"/>
          <w:szCs w:val="22"/>
        </w:rPr>
        <w:t xml:space="preserve"> </w:t>
      </w:r>
    </w:p>
    <w:p w:rsidR="00D7455D" w:rsidRPr="0013330A" w:rsidRDefault="00D7455D" w:rsidP="00D7455D">
      <w:pPr>
        <w:jc w:val="both"/>
        <w:rPr>
          <w:rFonts w:asciiTheme="minorHAnsi" w:hAnsiTheme="minorHAnsi" w:cstheme="minorHAnsi"/>
          <w:sz w:val="22"/>
          <w:szCs w:val="22"/>
        </w:rPr>
      </w:pPr>
    </w:p>
    <w:p w:rsidR="00D7455D" w:rsidRDefault="00D7455D" w:rsidP="00D7455D">
      <w:pPr>
        <w:jc w:val="both"/>
        <w:rPr>
          <w:rFonts w:asciiTheme="minorHAnsi" w:hAnsiTheme="minorHAnsi" w:cstheme="minorHAnsi"/>
          <w:sz w:val="22"/>
          <w:szCs w:val="22"/>
        </w:rPr>
      </w:pPr>
      <w:r w:rsidRPr="0013330A">
        <w:rPr>
          <w:rFonts w:asciiTheme="minorHAnsi" w:hAnsiTheme="minorHAnsi" w:cstheme="minorHAnsi"/>
          <w:sz w:val="22"/>
          <w:szCs w:val="22"/>
        </w:rPr>
        <w:t xml:space="preserve">Le montant </w:t>
      </w:r>
      <w:r>
        <w:rPr>
          <w:rFonts w:asciiTheme="minorHAnsi" w:hAnsiTheme="minorHAnsi" w:cstheme="minorHAnsi"/>
          <w:sz w:val="22"/>
          <w:szCs w:val="22"/>
        </w:rPr>
        <w:t>moyen de l’</w:t>
      </w:r>
      <w:r w:rsidRPr="0013330A">
        <w:rPr>
          <w:rFonts w:asciiTheme="minorHAnsi" w:hAnsiTheme="minorHAnsi" w:cstheme="minorHAnsi"/>
          <w:sz w:val="22"/>
          <w:szCs w:val="22"/>
        </w:rPr>
        <w:t xml:space="preserve">investissement </w:t>
      </w:r>
      <w:r>
        <w:rPr>
          <w:rFonts w:asciiTheme="minorHAnsi" w:hAnsiTheme="minorHAnsi" w:cstheme="minorHAnsi"/>
          <w:sz w:val="22"/>
          <w:szCs w:val="22"/>
        </w:rPr>
        <w:t>par projet est satisfaisant</w:t>
      </w:r>
      <w:r w:rsidRPr="0013330A">
        <w:rPr>
          <w:rFonts w:asciiTheme="minorHAnsi" w:hAnsiTheme="minorHAnsi" w:cstheme="minorHAnsi"/>
          <w:sz w:val="22"/>
          <w:szCs w:val="22"/>
        </w:rPr>
        <w:t>, pratiquement similaire au montant relevé aux niveaux régional et n</w:t>
      </w:r>
      <w:r>
        <w:rPr>
          <w:rFonts w:asciiTheme="minorHAnsi" w:hAnsiTheme="minorHAnsi" w:cstheme="minorHAnsi"/>
          <w:sz w:val="22"/>
          <w:szCs w:val="22"/>
        </w:rPr>
        <w:t>ational. Il est en augmentation</w:t>
      </w:r>
      <w:r w:rsidRPr="0013330A">
        <w:rPr>
          <w:rFonts w:asciiTheme="minorHAnsi" w:hAnsiTheme="minorHAnsi" w:cstheme="minorHAnsi"/>
          <w:sz w:val="22"/>
          <w:szCs w:val="22"/>
        </w:rPr>
        <w:t xml:space="preserve"> par rapport à celui relevé pour l’exercice précédent</w:t>
      </w:r>
      <w:r>
        <w:rPr>
          <w:rFonts w:asciiTheme="minorHAnsi" w:hAnsiTheme="minorHAnsi" w:cstheme="minorHAnsi"/>
          <w:sz w:val="22"/>
          <w:szCs w:val="22"/>
        </w:rPr>
        <w:t>, compte tenu de la stagnation du nombre de projets maintenu à 50 et de l’augmentation du volume des crédits : 1 085 585 MRO en 2011 et 1 288 515 MRO en 2012.</w:t>
      </w:r>
    </w:p>
    <w:p w:rsidR="00D7455D" w:rsidRPr="0013330A" w:rsidRDefault="00D7455D" w:rsidP="00733A35">
      <w:pPr>
        <w:jc w:val="both"/>
        <w:rPr>
          <w:rFonts w:asciiTheme="minorHAnsi" w:hAnsiTheme="minorHAnsi" w:cstheme="minorHAnsi"/>
          <w:sz w:val="22"/>
          <w:szCs w:val="22"/>
        </w:rPr>
      </w:pPr>
    </w:p>
    <w:p w:rsidR="00733A35" w:rsidRPr="0013330A" w:rsidRDefault="00733A35" w:rsidP="00733A35">
      <w:pPr>
        <w:jc w:val="both"/>
        <w:rPr>
          <w:rFonts w:asciiTheme="minorHAnsi" w:hAnsiTheme="minorHAnsi" w:cstheme="minorHAnsi"/>
          <w:sz w:val="22"/>
          <w:szCs w:val="22"/>
        </w:rPr>
      </w:pPr>
      <w:r w:rsidRPr="003E081E">
        <w:rPr>
          <w:rFonts w:asciiTheme="minorHAnsi" w:hAnsiTheme="minorHAnsi" w:cstheme="minorHAnsi"/>
          <w:noProof/>
          <w:sz w:val="22"/>
          <w:szCs w:val="22"/>
        </w:rPr>
        <w:drawing>
          <wp:inline distT="0" distB="0" distL="0" distR="0">
            <wp:extent cx="6645910" cy="3333750"/>
            <wp:effectExtent l="19050" t="0" r="2540" b="0"/>
            <wp:docPr id="168"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cstate="print"/>
                    <a:stretch>
                      <a:fillRect/>
                    </a:stretch>
                  </pic:blipFill>
                  <pic:spPr>
                    <a:xfrm>
                      <a:off x="0" y="0"/>
                      <a:ext cx="6645081" cy="3333334"/>
                    </a:xfrm>
                    <a:prstGeom prst="rect">
                      <a:avLst/>
                    </a:prstGeom>
                  </pic:spPr>
                </pic:pic>
              </a:graphicData>
            </a:graphic>
          </wp:inline>
        </w:drawing>
      </w:r>
    </w:p>
    <w:p w:rsidR="00733A35" w:rsidRPr="0013330A" w:rsidRDefault="00733A35" w:rsidP="00733A35">
      <w:pPr>
        <w:jc w:val="both"/>
        <w:rPr>
          <w:rFonts w:asciiTheme="minorHAnsi" w:hAnsiTheme="minorHAnsi" w:cstheme="minorHAnsi"/>
          <w:b/>
          <w:sz w:val="22"/>
          <w:szCs w:val="22"/>
        </w:rPr>
      </w:pPr>
    </w:p>
    <w:p w:rsidR="00733A35" w:rsidRDefault="00FD379F" w:rsidP="00733A35">
      <w:pPr>
        <w:jc w:val="both"/>
        <w:rPr>
          <w:rFonts w:asciiTheme="minorHAnsi" w:hAnsiTheme="minorHAnsi" w:cstheme="minorHAnsi"/>
          <w:sz w:val="22"/>
          <w:szCs w:val="22"/>
        </w:rPr>
      </w:pPr>
      <w:r w:rsidRPr="00FD379F">
        <w:rPr>
          <w:noProof/>
          <w:szCs w:val="22"/>
        </w:rPr>
        <w:drawing>
          <wp:inline distT="0" distB="0" distL="0" distR="0">
            <wp:extent cx="6645910" cy="2952750"/>
            <wp:effectExtent l="19050" t="0" r="2540" b="0"/>
            <wp:docPr id="134" name="Imag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93" cstate="print"/>
                    <a:srcRect/>
                    <a:stretch>
                      <a:fillRect/>
                    </a:stretch>
                  </pic:blipFill>
                  <pic:spPr bwMode="auto">
                    <a:xfrm>
                      <a:off x="0" y="0"/>
                      <a:ext cx="6645910" cy="2952750"/>
                    </a:xfrm>
                    <a:prstGeom prst="rect">
                      <a:avLst/>
                    </a:prstGeom>
                    <a:noFill/>
                    <a:ln w="9525">
                      <a:noFill/>
                      <a:miter lim="800000"/>
                      <a:headEnd/>
                      <a:tailEnd/>
                    </a:ln>
                  </pic:spPr>
                </pic:pic>
              </a:graphicData>
            </a:graphic>
          </wp:inline>
        </w:drawing>
      </w:r>
    </w:p>
    <w:p w:rsidR="00FD379F" w:rsidRDefault="00FD379F" w:rsidP="00733A35">
      <w:pPr>
        <w:jc w:val="both"/>
        <w:rPr>
          <w:rFonts w:asciiTheme="minorHAnsi" w:hAnsiTheme="minorHAnsi" w:cstheme="minorHAnsi"/>
          <w:sz w:val="22"/>
          <w:szCs w:val="22"/>
        </w:rPr>
      </w:pPr>
    </w:p>
    <w:p w:rsidR="001A2B50" w:rsidRDefault="001A2B50" w:rsidP="00733A35">
      <w:pPr>
        <w:jc w:val="both"/>
        <w:rPr>
          <w:rFonts w:asciiTheme="minorHAnsi" w:hAnsiTheme="minorHAnsi" w:cstheme="minorHAnsi"/>
          <w:sz w:val="22"/>
          <w:szCs w:val="22"/>
        </w:rPr>
      </w:pPr>
      <w:r>
        <w:rPr>
          <w:rFonts w:asciiTheme="minorHAnsi" w:hAnsiTheme="minorHAnsi" w:cstheme="minorHAnsi"/>
          <w:sz w:val="22"/>
          <w:szCs w:val="22"/>
        </w:rPr>
        <w:t xml:space="preserve">La répartition est la suivante en </w:t>
      </w:r>
      <w:r w:rsidR="00EC56A0">
        <w:rPr>
          <w:rFonts w:asciiTheme="minorHAnsi" w:hAnsiTheme="minorHAnsi" w:cstheme="minorHAnsi"/>
          <w:sz w:val="22"/>
          <w:szCs w:val="22"/>
        </w:rPr>
        <w:t>termes de priorités d’investiss</w:t>
      </w:r>
      <w:r>
        <w:rPr>
          <w:rFonts w:asciiTheme="minorHAnsi" w:hAnsiTheme="minorHAnsi" w:cstheme="minorHAnsi"/>
          <w:sz w:val="22"/>
          <w:szCs w:val="22"/>
        </w:rPr>
        <w:t>ement :</w:t>
      </w:r>
    </w:p>
    <w:p w:rsidR="001A2B50" w:rsidRDefault="001A2B50" w:rsidP="002F04D1">
      <w:pPr>
        <w:pStyle w:val="Paragraphedeliste"/>
        <w:numPr>
          <w:ilvl w:val="0"/>
          <w:numId w:val="11"/>
        </w:numPr>
        <w:jc w:val="both"/>
        <w:rPr>
          <w:rFonts w:asciiTheme="minorHAnsi" w:hAnsiTheme="minorHAnsi" w:cstheme="minorHAnsi"/>
          <w:sz w:val="22"/>
          <w:szCs w:val="22"/>
        </w:rPr>
      </w:pPr>
      <w:r>
        <w:rPr>
          <w:rFonts w:asciiTheme="minorHAnsi" w:hAnsiTheme="minorHAnsi" w:cstheme="minorHAnsi"/>
          <w:sz w:val="22"/>
          <w:szCs w:val="22"/>
        </w:rPr>
        <w:t>En première position le secteur des bâtiments communaux (comme au niveau national) à hauteur de 17,69% des engagements pour 9 projets se chiffrant à 11 397 100 MRO.</w:t>
      </w:r>
    </w:p>
    <w:p w:rsidR="001A2B50" w:rsidRDefault="001A2B50" w:rsidP="002F04D1">
      <w:pPr>
        <w:pStyle w:val="Paragraphedeliste"/>
        <w:numPr>
          <w:ilvl w:val="0"/>
          <w:numId w:val="11"/>
        </w:numPr>
        <w:jc w:val="both"/>
        <w:rPr>
          <w:rFonts w:asciiTheme="minorHAnsi" w:hAnsiTheme="minorHAnsi" w:cstheme="minorHAnsi"/>
          <w:sz w:val="22"/>
          <w:szCs w:val="22"/>
        </w:rPr>
      </w:pPr>
      <w:r>
        <w:rPr>
          <w:rFonts w:asciiTheme="minorHAnsi" w:hAnsiTheme="minorHAnsi" w:cstheme="minorHAnsi"/>
          <w:sz w:val="22"/>
          <w:szCs w:val="22"/>
        </w:rPr>
        <w:t>En deuxième position, le secteur de l’équipement des mairies, pour 15,34% avec 5 projets à hauteur de 9 884 133 MRO</w:t>
      </w:r>
      <w:r w:rsidR="00CD76D7">
        <w:rPr>
          <w:rFonts w:asciiTheme="minorHAnsi" w:hAnsiTheme="minorHAnsi" w:cstheme="minorHAnsi"/>
          <w:sz w:val="22"/>
          <w:szCs w:val="22"/>
        </w:rPr>
        <w:t>.</w:t>
      </w:r>
    </w:p>
    <w:p w:rsidR="00CD76D7" w:rsidRPr="001A2B50" w:rsidRDefault="00CD76D7" w:rsidP="002F04D1">
      <w:pPr>
        <w:pStyle w:val="Paragraphedeliste"/>
        <w:numPr>
          <w:ilvl w:val="0"/>
          <w:numId w:val="11"/>
        </w:numPr>
        <w:jc w:val="both"/>
        <w:rPr>
          <w:rFonts w:asciiTheme="minorHAnsi" w:hAnsiTheme="minorHAnsi" w:cstheme="minorHAnsi"/>
          <w:sz w:val="22"/>
          <w:szCs w:val="22"/>
        </w:rPr>
      </w:pPr>
      <w:r>
        <w:rPr>
          <w:rFonts w:asciiTheme="minorHAnsi" w:hAnsiTheme="minorHAnsi" w:cstheme="minorHAnsi"/>
          <w:sz w:val="22"/>
          <w:szCs w:val="22"/>
        </w:rPr>
        <w:t>En troisième position, celui de l’Agriculture (14,41% pour 4 projets à hauteur de 9 285 800 MRO).</w:t>
      </w:r>
    </w:p>
    <w:p w:rsidR="00733A35" w:rsidRDefault="00733A35" w:rsidP="00733A35">
      <w:pPr>
        <w:jc w:val="both"/>
        <w:rPr>
          <w:rFonts w:asciiTheme="minorHAnsi" w:hAnsiTheme="minorHAnsi" w:cstheme="minorHAnsi"/>
          <w:sz w:val="22"/>
          <w:szCs w:val="22"/>
        </w:rPr>
      </w:pPr>
    </w:p>
    <w:p w:rsidR="00EC56A0" w:rsidRPr="0013330A" w:rsidRDefault="00EC56A0" w:rsidP="00733A35">
      <w:pPr>
        <w:jc w:val="both"/>
        <w:rPr>
          <w:rFonts w:asciiTheme="minorHAnsi" w:hAnsiTheme="minorHAnsi" w:cstheme="minorHAnsi"/>
          <w:sz w:val="22"/>
          <w:szCs w:val="22"/>
        </w:rPr>
      </w:pPr>
    </w:p>
    <w:p w:rsidR="00733A35" w:rsidRPr="0013330A" w:rsidRDefault="001246CD" w:rsidP="00733A35">
      <w:pPr>
        <w:jc w:val="center"/>
        <w:rPr>
          <w:rFonts w:asciiTheme="minorHAnsi" w:hAnsiTheme="minorHAnsi" w:cstheme="minorHAnsi"/>
          <w:sz w:val="22"/>
          <w:szCs w:val="22"/>
          <w:u w:val="single"/>
        </w:rPr>
      </w:pPr>
      <w:proofErr w:type="spellStart"/>
      <w:r>
        <w:rPr>
          <w:rFonts w:asciiTheme="minorHAnsi" w:hAnsiTheme="minorHAnsi" w:cstheme="minorHAnsi"/>
          <w:b/>
          <w:sz w:val="22"/>
          <w:szCs w:val="22"/>
          <w:u w:val="single"/>
        </w:rPr>
        <w:t>Moughataa</w:t>
      </w:r>
      <w:proofErr w:type="spellEnd"/>
      <w:r w:rsidR="00733A35" w:rsidRPr="0013330A">
        <w:rPr>
          <w:rFonts w:asciiTheme="minorHAnsi" w:hAnsiTheme="minorHAnsi" w:cstheme="minorHAnsi"/>
          <w:b/>
          <w:sz w:val="22"/>
          <w:szCs w:val="22"/>
          <w:u w:val="single"/>
        </w:rPr>
        <w:t xml:space="preserve"> de </w:t>
      </w:r>
      <w:proofErr w:type="spellStart"/>
      <w:r w:rsidR="00733A35" w:rsidRPr="0013330A">
        <w:rPr>
          <w:rFonts w:asciiTheme="minorHAnsi" w:hAnsiTheme="minorHAnsi" w:cstheme="minorHAnsi"/>
          <w:b/>
          <w:sz w:val="22"/>
          <w:szCs w:val="22"/>
          <w:u w:val="single"/>
        </w:rPr>
        <w:t>Barkéol</w:t>
      </w:r>
      <w:proofErr w:type="spellEnd"/>
    </w:p>
    <w:p w:rsidR="00733A35" w:rsidRPr="0013330A" w:rsidRDefault="00733A35" w:rsidP="00733A35">
      <w:pPr>
        <w:jc w:val="both"/>
        <w:rPr>
          <w:rFonts w:asciiTheme="minorHAnsi" w:hAnsiTheme="minorHAnsi" w:cstheme="minorHAnsi"/>
          <w:sz w:val="22"/>
          <w:szCs w:val="22"/>
        </w:rPr>
      </w:pPr>
    </w:p>
    <w:p w:rsidR="00733A35" w:rsidRPr="0013330A" w:rsidRDefault="00733A35" w:rsidP="00733A35">
      <w:pPr>
        <w:jc w:val="both"/>
        <w:rPr>
          <w:rFonts w:asciiTheme="minorHAnsi" w:hAnsiTheme="minorHAnsi" w:cstheme="minorHAnsi"/>
          <w:sz w:val="22"/>
          <w:szCs w:val="22"/>
        </w:rPr>
      </w:pPr>
      <w:r w:rsidRPr="0013330A">
        <w:rPr>
          <w:rFonts w:asciiTheme="minorHAnsi" w:hAnsiTheme="minorHAnsi" w:cstheme="minorHAnsi"/>
          <w:sz w:val="22"/>
          <w:szCs w:val="22"/>
        </w:rPr>
        <w:t xml:space="preserve">Les communes de la </w:t>
      </w:r>
      <w:proofErr w:type="spellStart"/>
      <w:r w:rsidR="001246CD">
        <w:rPr>
          <w:rFonts w:asciiTheme="minorHAnsi" w:hAnsiTheme="minorHAnsi" w:cstheme="minorHAnsi"/>
          <w:sz w:val="22"/>
          <w:szCs w:val="22"/>
        </w:rPr>
        <w:t>Moughataa</w:t>
      </w:r>
      <w:proofErr w:type="spellEnd"/>
      <w:r w:rsidRPr="0013330A">
        <w:rPr>
          <w:rFonts w:asciiTheme="minorHAnsi" w:hAnsiTheme="minorHAnsi" w:cstheme="minorHAnsi"/>
          <w:sz w:val="22"/>
          <w:szCs w:val="22"/>
        </w:rPr>
        <w:t xml:space="preserve"> de </w:t>
      </w:r>
      <w:proofErr w:type="spellStart"/>
      <w:r w:rsidRPr="0013330A">
        <w:rPr>
          <w:rFonts w:asciiTheme="minorHAnsi" w:hAnsiTheme="minorHAnsi" w:cstheme="minorHAnsi"/>
          <w:sz w:val="22"/>
          <w:szCs w:val="22"/>
        </w:rPr>
        <w:t>Bar</w:t>
      </w:r>
      <w:r w:rsidR="00CD76D7">
        <w:rPr>
          <w:rFonts w:asciiTheme="minorHAnsi" w:hAnsiTheme="minorHAnsi" w:cstheme="minorHAnsi"/>
          <w:sz w:val="22"/>
          <w:szCs w:val="22"/>
        </w:rPr>
        <w:t>kéol</w:t>
      </w:r>
      <w:proofErr w:type="spellEnd"/>
      <w:r w:rsidR="00CD76D7">
        <w:rPr>
          <w:rFonts w:asciiTheme="minorHAnsi" w:hAnsiTheme="minorHAnsi" w:cstheme="minorHAnsi"/>
          <w:sz w:val="22"/>
          <w:szCs w:val="22"/>
        </w:rPr>
        <w:t xml:space="preserve"> ont bénéficié d’un FRD 2012 pour l’équipement de </w:t>
      </w:r>
      <w:r w:rsidR="00B239B6">
        <w:rPr>
          <w:rFonts w:asciiTheme="minorHAnsi" w:hAnsiTheme="minorHAnsi" w:cstheme="minorHAnsi"/>
          <w:sz w:val="22"/>
          <w:szCs w:val="22"/>
        </w:rPr>
        <w:t>68 561 883 MRO (+16,67 % par rapport à 2011).  Elles ont engagé 52 409 435</w:t>
      </w:r>
      <w:r w:rsidRPr="0013330A">
        <w:rPr>
          <w:rFonts w:asciiTheme="minorHAnsi" w:hAnsiTheme="minorHAnsi" w:cstheme="minorHAnsi"/>
          <w:sz w:val="22"/>
          <w:szCs w:val="22"/>
        </w:rPr>
        <w:t xml:space="preserve"> MRO pour la réalisation de </w:t>
      </w:r>
      <w:r w:rsidR="00B239B6">
        <w:rPr>
          <w:rFonts w:asciiTheme="minorHAnsi" w:hAnsiTheme="minorHAnsi" w:cstheme="minorHAnsi"/>
          <w:b/>
          <w:sz w:val="22"/>
          <w:szCs w:val="22"/>
        </w:rPr>
        <w:t>24</w:t>
      </w:r>
      <w:r w:rsidRPr="004F5430">
        <w:rPr>
          <w:rFonts w:asciiTheme="minorHAnsi" w:hAnsiTheme="minorHAnsi" w:cstheme="minorHAnsi"/>
          <w:b/>
          <w:sz w:val="22"/>
          <w:szCs w:val="22"/>
        </w:rPr>
        <w:t xml:space="preserve"> projets</w:t>
      </w:r>
      <w:r w:rsidRPr="0013330A">
        <w:rPr>
          <w:rFonts w:asciiTheme="minorHAnsi" w:hAnsiTheme="minorHAnsi" w:cstheme="minorHAnsi"/>
          <w:sz w:val="22"/>
          <w:szCs w:val="22"/>
        </w:rPr>
        <w:t xml:space="preserve">, soit un </w:t>
      </w:r>
      <w:r w:rsidR="00B239B6">
        <w:rPr>
          <w:rFonts w:asciiTheme="minorHAnsi" w:hAnsiTheme="minorHAnsi" w:cstheme="minorHAnsi"/>
          <w:b/>
          <w:sz w:val="22"/>
          <w:szCs w:val="22"/>
        </w:rPr>
        <w:t>taux d’absorption de 76,44</w:t>
      </w:r>
      <w:r w:rsidRPr="0013330A">
        <w:rPr>
          <w:rFonts w:asciiTheme="minorHAnsi" w:hAnsiTheme="minorHAnsi" w:cstheme="minorHAnsi"/>
          <w:b/>
          <w:sz w:val="22"/>
          <w:szCs w:val="22"/>
        </w:rPr>
        <w:t xml:space="preserve"> %.</w:t>
      </w:r>
    </w:p>
    <w:p w:rsidR="00733A35" w:rsidRPr="0013330A" w:rsidRDefault="00733A35" w:rsidP="00733A35">
      <w:pPr>
        <w:jc w:val="both"/>
        <w:rPr>
          <w:rFonts w:asciiTheme="minorHAnsi" w:hAnsiTheme="minorHAnsi" w:cstheme="minorHAnsi"/>
          <w:sz w:val="22"/>
          <w:szCs w:val="22"/>
        </w:rPr>
      </w:pPr>
    </w:p>
    <w:p w:rsidR="00733A35" w:rsidRDefault="00733A35" w:rsidP="00733A35">
      <w:pPr>
        <w:jc w:val="both"/>
        <w:rPr>
          <w:rFonts w:asciiTheme="minorHAnsi" w:hAnsiTheme="minorHAnsi" w:cstheme="minorHAnsi"/>
          <w:sz w:val="22"/>
          <w:szCs w:val="22"/>
        </w:rPr>
      </w:pPr>
      <w:r w:rsidRPr="003D5741">
        <w:rPr>
          <w:noProof/>
        </w:rPr>
        <w:drawing>
          <wp:inline distT="0" distB="0" distL="0" distR="0">
            <wp:extent cx="3486150" cy="4438650"/>
            <wp:effectExtent l="19050" t="0" r="0" b="0"/>
            <wp:docPr id="169"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cstate="print"/>
                    <a:stretch>
                      <a:fillRect/>
                    </a:stretch>
                  </pic:blipFill>
                  <pic:spPr>
                    <a:xfrm>
                      <a:off x="0" y="0"/>
                      <a:ext cx="3485715" cy="4438096"/>
                    </a:xfrm>
                    <a:prstGeom prst="rect">
                      <a:avLst/>
                    </a:prstGeom>
                  </pic:spPr>
                </pic:pic>
              </a:graphicData>
            </a:graphic>
          </wp:inline>
        </w:drawing>
      </w:r>
      <w:r w:rsidRPr="0058589E">
        <w:rPr>
          <w:rFonts w:asciiTheme="minorHAnsi" w:hAnsiTheme="minorHAnsi" w:cstheme="minorHAnsi"/>
          <w:noProof/>
          <w:sz w:val="22"/>
          <w:szCs w:val="22"/>
        </w:rPr>
        <w:drawing>
          <wp:inline distT="0" distB="0" distL="0" distR="0">
            <wp:extent cx="3067050" cy="4438650"/>
            <wp:effectExtent l="19050" t="0" r="0" b="0"/>
            <wp:docPr id="170"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cstate="print"/>
                    <a:stretch>
                      <a:fillRect/>
                    </a:stretch>
                  </pic:blipFill>
                  <pic:spPr>
                    <a:xfrm>
                      <a:off x="0" y="0"/>
                      <a:ext cx="3067050" cy="4438650"/>
                    </a:xfrm>
                    <a:prstGeom prst="rect">
                      <a:avLst/>
                    </a:prstGeom>
                  </pic:spPr>
                </pic:pic>
              </a:graphicData>
            </a:graphic>
          </wp:inline>
        </w:drawing>
      </w:r>
    </w:p>
    <w:p w:rsidR="00EC56A0" w:rsidRDefault="00EC56A0" w:rsidP="00733A35">
      <w:pPr>
        <w:jc w:val="both"/>
        <w:rPr>
          <w:rFonts w:asciiTheme="minorHAnsi" w:hAnsiTheme="minorHAnsi" w:cstheme="minorHAnsi"/>
          <w:sz w:val="22"/>
          <w:szCs w:val="22"/>
        </w:rPr>
      </w:pPr>
      <w:r w:rsidRPr="00EC56A0">
        <w:rPr>
          <w:noProof/>
          <w:szCs w:val="22"/>
        </w:rPr>
        <w:drawing>
          <wp:inline distT="0" distB="0" distL="0" distR="0">
            <wp:extent cx="6645910" cy="2714625"/>
            <wp:effectExtent l="19050" t="0" r="2540" b="0"/>
            <wp:docPr id="79"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6" cstate="print"/>
                    <a:srcRect/>
                    <a:stretch>
                      <a:fillRect/>
                    </a:stretch>
                  </pic:blipFill>
                  <pic:spPr bwMode="auto">
                    <a:xfrm>
                      <a:off x="0" y="0"/>
                      <a:ext cx="6645910" cy="2714625"/>
                    </a:xfrm>
                    <a:prstGeom prst="rect">
                      <a:avLst/>
                    </a:prstGeom>
                    <a:noFill/>
                    <a:ln w="9525">
                      <a:noFill/>
                      <a:miter lim="800000"/>
                      <a:headEnd/>
                      <a:tailEnd/>
                    </a:ln>
                  </pic:spPr>
                </pic:pic>
              </a:graphicData>
            </a:graphic>
          </wp:inline>
        </w:drawing>
      </w:r>
    </w:p>
    <w:p w:rsidR="00EC56A0" w:rsidRDefault="00EC56A0" w:rsidP="00733A35">
      <w:pPr>
        <w:jc w:val="both"/>
        <w:rPr>
          <w:rFonts w:asciiTheme="minorHAnsi" w:hAnsiTheme="minorHAnsi" w:cstheme="minorHAnsi"/>
          <w:sz w:val="22"/>
          <w:szCs w:val="22"/>
        </w:rPr>
      </w:pPr>
    </w:p>
    <w:p w:rsidR="00EC56A0" w:rsidRDefault="00EC56A0" w:rsidP="00EC56A0">
      <w:pPr>
        <w:jc w:val="both"/>
        <w:rPr>
          <w:rFonts w:asciiTheme="minorHAnsi" w:hAnsiTheme="minorHAnsi" w:cstheme="minorHAnsi"/>
          <w:i/>
          <w:sz w:val="22"/>
          <w:szCs w:val="22"/>
        </w:rPr>
      </w:pPr>
      <w:r w:rsidRPr="0013330A">
        <w:rPr>
          <w:rFonts w:asciiTheme="minorHAnsi" w:hAnsiTheme="minorHAnsi" w:cstheme="minorHAnsi"/>
          <w:sz w:val="22"/>
          <w:szCs w:val="22"/>
        </w:rPr>
        <w:t xml:space="preserve">Le taux d’absorption de la </w:t>
      </w:r>
      <w:proofErr w:type="spellStart"/>
      <w:r w:rsidR="001246CD">
        <w:rPr>
          <w:rFonts w:asciiTheme="minorHAnsi" w:hAnsiTheme="minorHAnsi" w:cstheme="minorHAnsi"/>
          <w:sz w:val="22"/>
          <w:szCs w:val="22"/>
        </w:rPr>
        <w:t>Moughataa</w:t>
      </w:r>
      <w:proofErr w:type="spellEnd"/>
      <w:r w:rsidRPr="0013330A">
        <w:rPr>
          <w:rFonts w:asciiTheme="minorHAnsi" w:hAnsiTheme="minorHAnsi" w:cstheme="minorHAnsi"/>
          <w:sz w:val="22"/>
          <w:szCs w:val="22"/>
        </w:rPr>
        <w:t xml:space="preserve"> de </w:t>
      </w:r>
      <w:proofErr w:type="spellStart"/>
      <w:r w:rsidRPr="0013330A">
        <w:rPr>
          <w:rFonts w:asciiTheme="minorHAnsi" w:hAnsiTheme="minorHAnsi" w:cstheme="minorHAnsi"/>
          <w:sz w:val="22"/>
          <w:szCs w:val="22"/>
        </w:rPr>
        <w:t>Barkéol</w:t>
      </w:r>
      <w:proofErr w:type="spellEnd"/>
      <w:r w:rsidRPr="0013330A">
        <w:rPr>
          <w:rFonts w:asciiTheme="minorHAnsi" w:hAnsiTheme="minorHAnsi" w:cstheme="minorHAnsi"/>
          <w:sz w:val="22"/>
          <w:szCs w:val="22"/>
        </w:rPr>
        <w:t xml:space="preserve"> est en régression significative</w:t>
      </w:r>
      <w:r>
        <w:rPr>
          <w:rFonts w:asciiTheme="minorHAnsi" w:hAnsiTheme="minorHAnsi" w:cstheme="minorHAnsi"/>
          <w:sz w:val="22"/>
          <w:szCs w:val="22"/>
        </w:rPr>
        <w:t xml:space="preserve"> par rapport aux exercices précédents (en particulier 2010 où le taux était de 101,83%). Un examen plus approfondi avec les communes concernées devra être mené pour comprendre leurs difficultés particulières pour absorber les crédits alloués, au-delà de l’abondement des crédits à hauteur de 16,67%. Un premier élément d’explication serait que </w:t>
      </w:r>
      <w:r>
        <w:rPr>
          <w:rFonts w:asciiTheme="minorHAnsi" w:hAnsiTheme="minorHAnsi" w:cstheme="minorHAnsi"/>
          <w:i/>
          <w:sz w:val="22"/>
          <w:szCs w:val="22"/>
        </w:rPr>
        <w:t>l’absence de données pour la commune d’</w:t>
      </w:r>
      <w:r w:rsidRPr="0013330A">
        <w:rPr>
          <w:rFonts w:asciiTheme="minorHAnsi" w:hAnsiTheme="minorHAnsi" w:cstheme="minorHAnsi"/>
          <w:i/>
          <w:sz w:val="22"/>
          <w:szCs w:val="22"/>
        </w:rPr>
        <w:t xml:space="preserve">El </w:t>
      </w:r>
      <w:proofErr w:type="spellStart"/>
      <w:r w:rsidRPr="0013330A">
        <w:rPr>
          <w:rFonts w:asciiTheme="minorHAnsi" w:hAnsiTheme="minorHAnsi" w:cstheme="minorHAnsi"/>
          <w:i/>
          <w:sz w:val="22"/>
          <w:szCs w:val="22"/>
        </w:rPr>
        <w:t>Ghabra</w:t>
      </w:r>
      <w:proofErr w:type="spellEnd"/>
      <w:r>
        <w:rPr>
          <w:rFonts w:asciiTheme="minorHAnsi" w:hAnsiTheme="minorHAnsi" w:cstheme="minorHAnsi"/>
          <w:i/>
          <w:sz w:val="22"/>
          <w:szCs w:val="22"/>
        </w:rPr>
        <w:t>,</w:t>
      </w:r>
      <w:r w:rsidRPr="0013330A">
        <w:rPr>
          <w:rFonts w:asciiTheme="minorHAnsi" w:hAnsiTheme="minorHAnsi" w:cstheme="minorHAnsi"/>
          <w:i/>
          <w:sz w:val="22"/>
          <w:szCs w:val="22"/>
        </w:rPr>
        <w:t xml:space="preserve"> </w:t>
      </w:r>
      <w:r>
        <w:rPr>
          <w:rFonts w:asciiTheme="minorHAnsi" w:hAnsiTheme="minorHAnsi" w:cstheme="minorHAnsi"/>
          <w:i/>
          <w:sz w:val="22"/>
          <w:szCs w:val="22"/>
        </w:rPr>
        <w:t xml:space="preserve">qui n’a pas rendu de rapport, aurait pu influer sur le taux d’absorption de la </w:t>
      </w:r>
      <w:proofErr w:type="spellStart"/>
      <w:r w:rsidR="001246CD">
        <w:rPr>
          <w:rFonts w:asciiTheme="minorHAnsi" w:hAnsiTheme="minorHAnsi" w:cstheme="minorHAnsi"/>
          <w:i/>
          <w:sz w:val="22"/>
          <w:szCs w:val="22"/>
        </w:rPr>
        <w:t>Moughataa</w:t>
      </w:r>
      <w:proofErr w:type="spellEnd"/>
      <w:r>
        <w:rPr>
          <w:rFonts w:asciiTheme="minorHAnsi" w:hAnsiTheme="minorHAnsi" w:cstheme="minorHAnsi"/>
          <w:i/>
          <w:sz w:val="22"/>
          <w:szCs w:val="22"/>
        </w:rPr>
        <w:t xml:space="preserve"> à laquelle elle est rattachée.</w:t>
      </w:r>
    </w:p>
    <w:p w:rsidR="00EC56A0" w:rsidRPr="0013330A" w:rsidRDefault="00EC56A0" w:rsidP="00EC56A0">
      <w:pPr>
        <w:jc w:val="both"/>
        <w:rPr>
          <w:rFonts w:asciiTheme="minorHAnsi" w:hAnsiTheme="minorHAnsi" w:cstheme="minorHAnsi"/>
          <w:sz w:val="22"/>
          <w:szCs w:val="22"/>
        </w:rPr>
      </w:pPr>
    </w:p>
    <w:p w:rsidR="00EC56A0" w:rsidRPr="0013330A" w:rsidRDefault="00EC56A0" w:rsidP="00EC56A0">
      <w:pPr>
        <w:jc w:val="both"/>
        <w:rPr>
          <w:rFonts w:asciiTheme="minorHAnsi" w:hAnsiTheme="minorHAnsi" w:cstheme="minorHAnsi"/>
          <w:sz w:val="22"/>
          <w:szCs w:val="22"/>
        </w:rPr>
      </w:pPr>
      <w:r w:rsidRPr="0013330A">
        <w:rPr>
          <w:rFonts w:asciiTheme="minorHAnsi" w:hAnsiTheme="minorHAnsi" w:cstheme="minorHAnsi"/>
          <w:sz w:val="22"/>
          <w:szCs w:val="22"/>
        </w:rPr>
        <w:t>Le montan</w:t>
      </w:r>
      <w:r>
        <w:rPr>
          <w:rFonts w:asciiTheme="minorHAnsi" w:hAnsiTheme="minorHAnsi" w:cstheme="minorHAnsi"/>
          <w:sz w:val="22"/>
          <w:szCs w:val="22"/>
        </w:rPr>
        <w:t xml:space="preserve">t par projet de l’investissement a en revanche progressé de 1 199 664 MRO à 2 183 726 MRO en raison de la diminution du nombre de projets, passant de 39 à 24. Il devient ainsi fortement </w:t>
      </w:r>
      <w:r w:rsidRPr="0013330A">
        <w:rPr>
          <w:rFonts w:asciiTheme="minorHAnsi" w:hAnsiTheme="minorHAnsi" w:cstheme="minorHAnsi"/>
          <w:sz w:val="22"/>
          <w:szCs w:val="22"/>
        </w:rPr>
        <w:t xml:space="preserve">supérieur aux montants relevés aux niveaux régional et national. </w:t>
      </w:r>
    </w:p>
    <w:p w:rsidR="00EC56A0" w:rsidRDefault="00EC56A0" w:rsidP="00733A35">
      <w:pPr>
        <w:jc w:val="both"/>
        <w:rPr>
          <w:rFonts w:asciiTheme="minorHAnsi" w:hAnsiTheme="minorHAnsi" w:cstheme="minorHAnsi"/>
          <w:sz w:val="22"/>
          <w:szCs w:val="22"/>
        </w:rPr>
      </w:pPr>
    </w:p>
    <w:p w:rsidR="00EC56A0" w:rsidRPr="0013330A" w:rsidRDefault="00EC56A0" w:rsidP="00733A35">
      <w:pPr>
        <w:jc w:val="both"/>
        <w:rPr>
          <w:rFonts w:asciiTheme="minorHAnsi" w:hAnsiTheme="minorHAnsi" w:cstheme="minorHAnsi"/>
          <w:sz w:val="22"/>
          <w:szCs w:val="22"/>
        </w:rPr>
      </w:pPr>
    </w:p>
    <w:p w:rsidR="00733A35" w:rsidRPr="0013330A" w:rsidRDefault="00733A35" w:rsidP="00733A35">
      <w:pPr>
        <w:jc w:val="both"/>
        <w:rPr>
          <w:rFonts w:asciiTheme="minorHAnsi" w:hAnsiTheme="minorHAnsi" w:cstheme="minorHAnsi"/>
          <w:sz w:val="22"/>
          <w:szCs w:val="22"/>
        </w:rPr>
      </w:pPr>
      <w:r w:rsidRPr="003E081E">
        <w:rPr>
          <w:rFonts w:asciiTheme="minorHAnsi" w:hAnsiTheme="minorHAnsi" w:cstheme="minorHAnsi"/>
          <w:noProof/>
          <w:sz w:val="22"/>
          <w:szCs w:val="22"/>
        </w:rPr>
        <w:drawing>
          <wp:inline distT="0" distB="0" distL="0" distR="0">
            <wp:extent cx="6645910" cy="3014836"/>
            <wp:effectExtent l="19050" t="0" r="2540" b="0"/>
            <wp:docPr id="171"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cstate="print"/>
                    <a:stretch>
                      <a:fillRect/>
                    </a:stretch>
                  </pic:blipFill>
                  <pic:spPr>
                    <a:xfrm>
                      <a:off x="0" y="0"/>
                      <a:ext cx="6645910" cy="3014836"/>
                    </a:xfrm>
                    <a:prstGeom prst="rect">
                      <a:avLst/>
                    </a:prstGeom>
                  </pic:spPr>
                </pic:pic>
              </a:graphicData>
            </a:graphic>
          </wp:inline>
        </w:drawing>
      </w:r>
    </w:p>
    <w:p w:rsidR="00733A35" w:rsidRDefault="00160B32" w:rsidP="00733A35">
      <w:pPr>
        <w:jc w:val="both"/>
        <w:rPr>
          <w:rFonts w:asciiTheme="minorHAnsi" w:hAnsiTheme="minorHAnsi" w:cstheme="minorHAnsi"/>
          <w:sz w:val="22"/>
          <w:szCs w:val="22"/>
        </w:rPr>
      </w:pPr>
      <w:r w:rsidRPr="00160B32">
        <w:rPr>
          <w:noProof/>
        </w:rPr>
        <w:drawing>
          <wp:inline distT="0" distB="0" distL="0" distR="0">
            <wp:extent cx="6645910" cy="3343275"/>
            <wp:effectExtent l="19050" t="0" r="2540" b="0"/>
            <wp:docPr id="135"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cstate="print"/>
                    <a:stretch>
                      <a:fillRect/>
                    </a:stretch>
                  </pic:blipFill>
                  <pic:spPr>
                    <a:xfrm>
                      <a:off x="0" y="0"/>
                      <a:ext cx="6659404" cy="3350063"/>
                    </a:xfrm>
                    <a:prstGeom prst="rect">
                      <a:avLst/>
                    </a:prstGeom>
                  </pic:spPr>
                </pic:pic>
              </a:graphicData>
            </a:graphic>
          </wp:inline>
        </w:drawing>
      </w:r>
    </w:p>
    <w:p w:rsidR="00EC56A0" w:rsidRDefault="00EC56A0" w:rsidP="00733A35">
      <w:pPr>
        <w:jc w:val="both"/>
        <w:rPr>
          <w:rFonts w:asciiTheme="minorHAnsi" w:hAnsiTheme="minorHAnsi" w:cstheme="minorHAnsi"/>
          <w:i/>
          <w:sz w:val="22"/>
          <w:szCs w:val="22"/>
        </w:rPr>
      </w:pPr>
    </w:p>
    <w:p w:rsidR="00733A35" w:rsidRDefault="00A8714E" w:rsidP="00733A35">
      <w:pPr>
        <w:jc w:val="both"/>
        <w:rPr>
          <w:rFonts w:asciiTheme="minorHAnsi" w:hAnsiTheme="minorHAnsi" w:cstheme="minorHAnsi"/>
          <w:i/>
          <w:sz w:val="22"/>
          <w:szCs w:val="22"/>
        </w:rPr>
      </w:pPr>
      <w:r>
        <w:rPr>
          <w:rFonts w:asciiTheme="minorHAnsi" w:hAnsiTheme="minorHAnsi" w:cstheme="minorHAnsi"/>
          <w:i/>
          <w:sz w:val="22"/>
          <w:szCs w:val="22"/>
        </w:rPr>
        <w:t>En ce qui concerne les priorités d’investissement, le secteur de l’hydraulique arrive en première position avec 7 projets pour 12 269 000 MRO, soit 23,41% des engagements.</w:t>
      </w:r>
    </w:p>
    <w:p w:rsidR="00A8714E" w:rsidRDefault="00A8714E" w:rsidP="00733A35">
      <w:pPr>
        <w:jc w:val="both"/>
        <w:rPr>
          <w:rFonts w:asciiTheme="minorHAnsi" w:hAnsiTheme="minorHAnsi" w:cstheme="minorHAnsi"/>
          <w:i/>
          <w:sz w:val="22"/>
          <w:szCs w:val="22"/>
        </w:rPr>
      </w:pPr>
      <w:r>
        <w:rPr>
          <w:rFonts w:asciiTheme="minorHAnsi" w:hAnsiTheme="minorHAnsi" w:cstheme="minorHAnsi"/>
          <w:i/>
          <w:sz w:val="22"/>
          <w:szCs w:val="22"/>
        </w:rPr>
        <w:t>Ensuite, avec 17,33% des engagements, le secteur des bâtiments communaux et ses 3 projets à hauteur de 9 080 900 MRO. Les 8 868 700 MRO permettent au secteur de la santé d’arriver en troisième position avec un unique projet doté en conséquence (16,92% des engagements).</w:t>
      </w:r>
    </w:p>
    <w:p w:rsidR="00A8714E" w:rsidRDefault="00A8714E" w:rsidP="00733A35">
      <w:pPr>
        <w:jc w:val="both"/>
        <w:rPr>
          <w:rFonts w:asciiTheme="minorHAnsi" w:hAnsiTheme="minorHAnsi" w:cstheme="minorHAnsi"/>
          <w:i/>
          <w:sz w:val="22"/>
          <w:szCs w:val="22"/>
        </w:rPr>
      </w:pPr>
    </w:p>
    <w:p w:rsidR="00160B32" w:rsidRDefault="00160B32" w:rsidP="00733A35">
      <w:pPr>
        <w:jc w:val="both"/>
        <w:rPr>
          <w:rFonts w:asciiTheme="minorHAnsi" w:hAnsiTheme="minorHAnsi" w:cstheme="minorHAnsi"/>
          <w:i/>
          <w:sz w:val="22"/>
          <w:szCs w:val="22"/>
        </w:rPr>
      </w:pPr>
    </w:p>
    <w:p w:rsidR="00160B32" w:rsidRPr="00CD417D" w:rsidRDefault="00160B32" w:rsidP="00733A35">
      <w:pPr>
        <w:jc w:val="both"/>
        <w:rPr>
          <w:rFonts w:asciiTheme="minorHAnsi" w:hAnsiTheme="minorHAnsi" w:cstheme="minorHAnsi"/>
          <w:i/>
          <w:sz w:val="22"/>
          <w:szCs w:val="22"/>
        </w:rPr>
      </w:pPr>
    </w:p>
    <w:p w:rsidR="00733A35" w:rsidRPr="0013330A" w:rsidRDefault="001246CD" w:rsidP="00733A35">
      <w:pPr>
        <w:jc w:val="center"/>
        <w:rPr>
          <w:rFonts w:asciiTheme="minorHAnsi" w:hAnsiTheme="minorHAnsi" w:cstheme="minorHAnsi"/>
          <w:sz w:val="22"/>
          <w:szCs w:val="22"/>
          <w:u w:val="single"/>
        </w:rPr>
      </w:pPr>
      <w:proofErr w:type="spellStart"/>
      <w:r>
        <w:rPr>
          <w:rFonts w:asciiTheme="minorHAnsi" w:hAnsiTheme="minorHAnsi" w:cstheme="minorHAnsi"/>
          <w:b/>
          <w:sz w:val="22"/>
          <w:szCs w:val="22"/>
          <w:u w:val="single"/>
        </w:rPr>
        <w:t>Moughataa</w:t>
      </w:r>
      <w:proofErr w:type="spellEnd"/>
      <w:r w:rsidR="00160B32">
        <w:rPr>
          <w:rFonts w:asciiTheme="minorHAnsi" w:hAnsiTheme="minorHAnsi" w:cstheme="minorHAnsi"/>
          <w:b/>
          <w:sz w:val="22"/>
          <w:szCs w:val="22"/>
          <w:u w:val="single"/>
        </w:rPr>
        <w:t xml:space="preserve"> de </w:t>
      </w:r>
      <w:proofErr w:type="spellStart"/>
      <w:r w:rsidR="00160B32">
        <w:rPr>
          <w:rFonts w:asciiTheme="minorHAnsi" w:hAnsiTheme="minorHAnsi" w:cstheme="minorHAnsi"/>
          <w:b/>
          <w:sz w:val="22"/>
          <w:szCs w:val="22"/>
          <w:u w:val="single"/>
        </w:rPr>
        <w:t>Gue</w:t>
      </w:r>
      <w:r w:rsidR="00733A35" w:rsidRPr="0013330A">
        <w:rPr>
          <w:rFonts w:asciiTheme="minorHAnsi" w:hAnsiTheme="minorHAnsi" w:cstheme="minorHAnsi"/>
          <w:b/>
          <w:sz w:val="22"/>
          <w:szCs w:val="22"/>
          <w:u w:val="single"/>
        </w:rPr>
        <w:t>rrou</w:t>
      </w:r>
      <w:proofErr w:type="spellEnd"/>
    </w:p>
    <w:p w:rsidR="00733A35" w:rsidRPr="0013330A" w:rsidRDefault="00733A35" w:rsidP="00733A35">
      <w:pPr>
        <w:jc w:val="both"/>
        <w:rPr>
          <w:rFonts w:asciiTheme="minorHAnsi" w:hAnsiTheme="minorHAnsi" w:cstheme="minorHAnsi"/>
          <w:sz w:val="22"/>
          <w:szCs w:val="22"/>
        </w:rPr>
      </w:pPr>
    </w:p>
    <w:p w:rsidR="00733A35" w:rsidRPr="0013330A" w:rsidRDefault="00733A35" w:rsidP="00733A35">
      <w:pPr>
        <w:jc w:val="both"/>
        <w:rPr>
          <w:rFonts w:asciiTheme="minorHAnsi" w:hAnsiTheme="minorHAnsi" w:cstheme="minorHAnsi"/>
          <w:sz w:val="22"/>
          <w:szCs w:val="22"/>
        </w:rPr>
      </w:pPr>
      <w:r w:rsidRPr="0013330A">
        <w:rPr>
          <w:rFonts w:asciiTheme="minorHAnsi" w:hAnsiTheme="minorHAnsi" w:cstheme="minorHAnsi"/>
          <w:sz w:val="22"/>
          <w:szCs w:val="22"/>
        </w:rPr>
        <w:t xml:space="preserve">Les communes de la </w:t>
      </w:r>
      <w:proofErr w:type="spellStart"/>
      <w:r w:rsidR="001246CD">
        <w:rPr>
          <w:rFonts w:asciiTheme="minorHAnsi" w:hAnsiTheme="minorHAnsi" w:cstheme="minorHAnsi"/>
          <w:sz w:val="22"/>
          <w:szCs w:val="22"/>
        </w:rPr>
        <w:t>Moughataa</w:t>
      </w:r>
      <w:proofErr w:type="spellEnd"/>
      <w:r w:rsidRPr="0013330A">
        <w:rPr>
          <w:rFonts w:asciiTheme="minorHAnsi" w:hAnsiTheme="minorHAnsi" w:cstheme="minorHAnsi"/>
          <w:sz w:val="22"/>
          <w:szCs w:val="22"/>
        </w:rPr>
        <w:t xml:space="preserve"> de </w:t>
      </w:r>
      <w:proofErr w:type="spellStart"/>
      <w:r w:rsidR="00160B32">
        <w:rPr>
          <w:rFonts w:asciiTheme="minorHAnsi" w:hAnsiTheme="minorHAnsi" w:cstheme="minorHAnsi"/>
          <w:sz w:val="22"/>
          <w:szCs w:val="22"/>
        </w:rPr>
        <w:t>Gue</w:t>
      </w:r>
      <w:r w:rsidR="00A8714E">
        <w:rPr>
          <w:rFonts w:asciiTheme="minorHAnsi" w:hAnsiTheme="minorHAnsi" w:cstheme="minorHAnsi"/>
          <w:sz w:val="22"/>
          <w:szCs w:val="22"/>
        </w:rPr>
        <w:t>rrou</w:t>
      </w:r>
      <w:proofErr w:type="spellEnd"/>
      <w:r w:rsidR="00A8714E">
        <w:rPr>
          <w:rFonts w:asciiTheme="minorHAnsi" w:hAnsiTheme="minorHAnsi" w:cstheme="minorHAnsi"/>
          <w:sz w:val="22"/>
          <w:szCs w:val="22"/>
        </w:rPr>
        <w:t xml:space="preserve"> ont bénéficié d’un FRD 2012</w:t>
      </w:r>
      <w:r w:rsidRPr="0013330A">
        <w:rPr>
          <w:rFonts w:asciiTheme="minorHAnsi" w:hAnsiTheme="minorHAnsi" w:cstheme="minorHAnsi"/>
          <w:sz w:val="22"/>
          <w:szCs w:val="22"/>
        </w:rPr>
        <w:t xml:space="preserve"> </w:t>
      </w:r>
      <w:r w:rsidR="00A8714E">
        <w:rPr>
          <w:rFonts w:asciiTheme="minorHAnsi" w:hAnsiTheme="minorHAnsi" w:cstheme="minorHAnsi"/>
          <w:sz w:val="22"/>
          <w:szCs w:val="22"/>
        </w:rPr>
        <w:t>pour l’équipement de 29 671 462 MRO (+16,67 % par rapport à 2011). Elles ont engagé 33 025 966</w:t>
      </w:r>
      <w:r w:rsidRPr="0013330A">
        <w:rPr>
          <w:rFonts w:asciiTheme="minorHAnsi" w:hAnsiTheme="minorHAnsi" w:cstheme="minorHAnsi"/>
          <w:sz w:val="22"/>
          <w:szCs w:val="22"/>
        </w:rPr>
        <w:t xml:space="preserve"> MRO pour la réalisation de </w:t>
      </w:r>
      <w:r w:rsidR="00A8714E">
        <w:rPr>
          <w:rFonts w:asciiTheme="minorHAnsi" w:hAnsiTheme="minorHAnsi" w:cstheme="minorHAnsi"/>
          <w:b/>
          <w:sz w:val="22"/>
          <w:szCs w:val="22"/>
        </w:rPr>
        <w:t>26</w:t>
      </w:r>
      <w:r w:rsidRPr="004F5430">
        <w:rPr>
          <w:rFonts w:asciiTheme="minorHAnsi" w:hAnsiTheme="minorHAnsi" w:cstheme="minorHAnsi"/>
          <w:b/>
          <w:sz w:val="22"/>
          <w:szCs w:val="22"/>
        </w:rPr>
        <w:t xml:space="preserve"> projets</w:t>
      </w:r>
      <w:r w:rsidRPr="0013330A">
        <w:rPr>
          <w:rFonts w:asciiTheme="minorHAnsi" w:hAnsiTheme="minorHAnsi" w:cstheme="minorHAnsi"/>
          <w:sz w:val="22"/>
          <w:szCs w:val="22"/>
        </w:rPr>
        <w:t xml:space="preserve">, soit un </w:t>
      </w:r>
      <w:r w:rsidR="00A8714E">
        <w:rPr>
          <w:rFonts w:asciiTheme="minorHAnsi" w:hAnsiTheme="minorHAnsi" w:cstheme="minorHAnsi"/>
          <w:b/>
          <w:sz w:val="22"/>
          <w:szCs w:val="22"/>
        </w:rPr>
        <w:t>taux d’absorption de 111,31</w:t>
      </w:r>
      <w:r w:rsidRPr="0013330A">
        <w:rPr>
          <w:rFonts w:asciiTheme="minorHAnsi" w:hAnsiTheme="minorHAnsi" w:cstheme="minorHAnsi"/>
          <w:b/>
          <w:sz w:val="22"/>
          <w:szCs w:val="22"/>
        </w:rPr>
        <w:t xml:space="preserve"> %.</w:t>
      </w:r>
    </w:p>
    <w:p w:rsidR="00733A35" w:rsidRPr="0013330A" w:rsidRDefault="00733A35" w:rsidP="00733A35">
      <w:pPr>
        <w:jc w:val="both"/>
        <w:rPr>
          <w:rFonts w:asciiTheme="minorHAnsi" w:hAnsiTheme="minorHAnsi" w:cstheme="minorHAnsi"/>
          <w:sz w:val="22"/>
          <w:szCs w:val="22"/>
        </w:rPr>
      </w:pPr>
    </w:p>
    <w:p w:rsidR="00733A35" w:rsidRDefault="00733A35" w:rsidP="00733A35">
      <w:pPr>
        <w:jc w:val="both"/>
        <w:rPr>
          <w:rFonts w:asciiTheme="minorHAnsi" w:hAnsiTheme="minorHAnsi" w:cstheme="minorHAnsi"/>
          <w:sz w:val="22"/>
          <w:szCs w:val="22"/>
        </w:rPr>
      </w:pPr>
      <w:r w:rsidRPr="00D84E78">
        <w:rPr>
          <w:noProof/>
        </w:rPr>
        <w:drawing>
          <wp:inline distT="0" distB="0" distL="0" distR="0">
            <wp:extent cx="3381375" cy="3381375"/>
            <wp:effectExtent l="19050" t="0" r="9525" b="0"/>
            <wp:docPr id="172"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cstate="print"/>
                    <a:stretch>
                      <a:fillRect/>
                    </a:stretch>
                  </pic:blipFill>
                  <pic:spPr>
                    <a:xfrm>
                      <a:off x="0" y="0"/>
                      <a:ext cx="3380953" cy="3380953"/>
                    </a:xfrm>
                    <a:prstGeom prst="rect">
                      <a:avLst/>
                    </a:prstGeom>
                  </pic:spPr>
                </pic:pic>
              </a:graphicData>
            </a:graphic>
          </wp:inline>
        </w:drawing>
      </w:r>
      <w:r w:rsidRPr="0058589E">
        <w:rPr>
          <w:rFonts w:asciiTheme="minorHAnsi" w:hAnsiTheme="minorHAnsi" w:cstheme="minorHAnsi"/>
          <w:noProof/>
          <w:sz w:val="22"/>
          <w:szCs w:val="22"/>
        </w:rPr>
        <w:drawing>
          <wp:inline distT="0" distB="0" distL="0" distR="0">
            <wp:extent cx="3143250" cy="3381375"/>
            <wp:effectExtent l="19050" t="0" r="0" b="0"/>
            <wp:docPr id="173"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cstate="print"/>
                    <a:stretch>
                      <a:fillRect/>
                    </a:stretch>
                  </pic:blipFill>
                  <pic:spPr>
                    <a:xfrm>
                      <a:off x="0" y="0"/>
                      <a:ext cx="3143250" cy="3381375"/>
                    </a:xfrm>
                    <a:prstGeom prst="rect">
                      <a:avLst/>
                    </a:prstGeom>
                  </pic:spPr>
                </pic:pic>
              </a:graphicData>
            </a:graphic>
          </wp:inline>
        </w:drawing>
      </w:r>
    </w:p>
    <w:p w:rsidR="00633006" w:rsidRDefault="00633006" w:rsidP="00733A35">
      <w:pPr>
        <w:jc w:val="both"/>
        <w:rPr>
          <w:rFonts w:asciiTheme="minorHAnsi" w:hAnsiTheme="minorHAnsi" w:cstheme="minorHAnsi"/>
          <w:sz w:val="22"/>
          <w:szCs w:val="22"/>
        </w:rPr>
      </w:pPr>
      <w:r w:rsidRPr="00633006">
        <w:rPr>
          <w:noProof/>
          <w:szCs w:val="22"/>
        </w:rPr>
        <w:drawing>
          <wp:inline distT="0" distB="0" distL="0" distR="0">
            <wp:extent cx="6645910" cy="1990725"/>
            <wp:effectExtent l="19050" t="0" r="2540" b="0"/>
            <wp:docPr id="88"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01" cstate="print"/>
                    <a:srcRect/>
                    <a:stretch>
                      <a:fillRect/>
                    </a:stretch>
                  </pic:blipFill>
                  <pic:spPr bwMode="auto">
                    <a:xfrm>
                      <a:off x="0" y="0"/>
                      <a:ext cx="6645910" cy="1990725"/>
                    </a:xfrm>
                    <a:prstGeom prst="rect">
                      <a:avLst/>
                    </a:prstGeom>
                    <a:noFill/>
                    <a:ln w="9525">
                      <a:noFill/>
                      <a:miter lim="800000"/>
                      <a:headEnd/>
                      <a:tailEnd/>
                    </a:ln>
                  </pic:spPr>
                </pic:pic>
              </a:graphicData>
            </a:graphic>
          </wp:inline>
        </w:drawing>
      </w:r>
    </w:p>
    <w:p w:rsidR="00633006" w:rsidRDefault="00633006" w:rsidP="00733A35">
      <w:pPr>
        <w:jc w:val="both"/>
        <w:rPr>
          <w:rFonts w:asciiTheme="minorHAnsi" w:hAnsiTheme="minorHAnsi" w:cstheme="minorHAnsi"/>
          <w:sz w:val="22"/>
          <w:szCs w:val="22"/>
        </w:rPr>
      </w:pPr>
    </w:p>
    <w:p w:rsidR="00633006" w:rsidRPr="0013330A" w:rsidRDefault="00633006" w:rsidP="00633006">
      <w:pPr>
        <w:jc w:val="both"/>
        <w:rPr>
          <w:rFonts w:asciiTheme="minorHAnsi" w:hAnsiTheme="minorHAnsi" w:cstheme="minorHAnsi"/>
          <w:sz w:val="22"/>
          <w:szCs w:val="22"/>
        </w:rPr>
      </w:pPr>
      <w:r w:rsidRPr="0013330A">
        <w:rPr>
          <w:rFonts w:asciiTheme="minorHAnsi" w:hAnsiTheme="minorHAnsi" w:cstheme="minorHAnsi"/>
          <w:sz w:val="22"/>
          <w:szCs w:val="22"/>
        </w:rPr>
        <w:t>Pour la</w:t>
      </w:r>
      <w:r>
        <w:rPr>
          <w:rFonts w:asciiTheme="minorHAnsi" w:hAnsiTheme="minorHAnsi" w:cstheme="minorHAnsi"/>
          <w:sz w:val="22"/>
          <w:szCs w:val="22"/>
        </w:rPr>
        <w:t xml:space="preserve"> </w:t>
      </w:r>
      <w:proofErr w:type="spellStart"/>
      <w:r w:rsidR="001246CD">
        <w:rPr>
          <w:rFonts w:asciiTheme="minorHAnsi" w:hAnsiTheme="minorHAnsi" w:cstheme="minorHAnsi"/>
          <w:sz w:val="22"/>
          <w:szCs w:val="22"/>
        </w:rPr>
        <w:t>Moughataa</w:t>
      </w:r>
      <w:proofErr w:type="spellEnd"/>
      <w:r w:rsidR="00160B32">
        <w:rPr>
          <w:rFonts w:asciiTheme="minorHAnsi" w:hAnsiTheme="minorHAnsi" w:cstheme="minorHAnsi"/>
          <w:sz w:val="22"/>
          <w:szCs w:val="22"/>
        </w:rPr>
        <w:t xml:space="preserve"> de </w:t>
      </w:r>
      <w:proofErr w:type="spellStart"/>
      <w:r w:rsidR="00160B32">
        <w:rPr>
          <w:rFonts w:asciiTheme="minorHAnsi" w:hAnsiTheme="minorHAnsi" w:cstheme="minorHAnsi"/>
          <w:sz w:val="22"/>
          <w:szCs w:val="22"/>
        </w:rPr>
        <w:t>Guer</w:t>
      </w:r>
      <w:r>
        <w:rPr>
          <w:rFonts w:asciiTheme="minorHAnsi" w:hAnsiTheme="minorHAnsi" w:cstheme="minorHAnsi"/>
          <w:sz w:val="22"/>
          <w:szCs w:val="22"/>
        </w:rPr>
        <w:t>rou</w:t>
      </w:r>
      <w:proofErr w:type="spellEnd"/>
      <w:r>
        <w:rPr>
          <w:rFonts w:asciiTheme="minorHAnsi" w:hAnsiTheme="minorHAnsi" w:cstheme="minorHAnsi"/>
          <w:sz w:val="22"/>
          <w:szCs w:val="22"/>
        </w:rPr>
        <w:t>, le taux d’absorption est bien supérieur</w:t>
      </w:r>
      <w:r w:rsidRPr="0013330A">
        <w:rPr>
          <w:rFonts w:asciiTheme="minorHAnsi" w:hAnsiTheme="minorHAnsi" w:cstheme="minorHAnsi"/>
          <w:sz w:val="22"/>
          <w:szCs w:val="22"/>
        </w:rPr>
        <w:t xml:space="preserve"> aux taux relevés aux niveaux régional </w:t>
      </w:r>
      <w:r>
        <w:rPr>
          <w:rFonts w:asciiTheme="minorHAnsi" w:hAnsiTheme="minorHAnsi" w:cstheme="minorHAnsi"/>
          <w:sz w:val="22"/>
          <w:szCs w:val="22"/>
        </w:rPr>
        <w:t xml:space="preserve">et national. </w:t>
      </w:r>
    </w:p>
    <w:p w:rsidR="00633006" w:rsidRPr="0013330A" w:rsidRDefault="00633006" w:rsidP="00633006">
      <w:pPr>
        <w:jc w:val="both"/>
        <w:rPr>
          <w:rFonts w:asciiTheme="minorHAnsi" w:hAnsiTheme="minorHAnsi" w:cstheme="minorHAnsi"/>
          <w:sz w:val="22"/>
          <w:szCs w:val="22"/>
        </w:rPr>
      </w:pPr>
    </w:p>
    <w:p w:rsidR="00633006" w:rsidRPr="0013330A" w:rsidRDefault="00633006" w:rsidP="00633006">
      <w:pPr>
        <w:jc w:val="both"/>
        <w:rPr>
          <w:rFonts w:asciiTheme="minorHAnsi" w:hAnsiTheme="minorHAnsi" w:cstheme="minorHAnsi"/>
          <w:sz w:val="22"/>
          <w:szCs w:val="22"/>
        </w:rPr>
      </w:pPr>
      <w:r w:rsidRPr="0013330A">
        <w:rPr>
          <w:rFonts w:asciiTheme="minorHAnsi" w:hAnsiTheme="minorHAnsi" w:cstheme="minorHAnsi"/>
          <w:sz w:val="22"/>
          <w:szCs w:val="22"/>
        </w:rPr>
        <w:t>Le m</w:t>
      </w:r>
      <w:r>
        <w:rPr>
          <w:rFonts w:asciiTheme="minorHAnsi" w:hAnsiTheme="minorHAnsi" w:cstheme="minorHAnsi"/>
          <w:sz w:val="22"/>
          <w:szCs w:val="22"/>
        </w:rPr>
        <w:t>ontant moyen de l’investissement par projet est par contre en ligne avec les moyennes régionale et nationale. Avec un nombre de projets en légère augmentation (passant de 25 à 26), c’est l’effet abondement des crédits qui explique la progression du montant moyen d’un exercice à l’autre : 892 783 MRO en 2011 à 1 270 229 MRO en 2012.</w:t>
      </w:r>
    </w:p>
    <w:p w:rsidR="00633006" w:rsidRPr="0013330A" w:rsidRDefault="00633006" w:rsidP="00733A35">
      <w:pPr>
        <w:jc w:val="both"/>
        <w:rPr>
          <w:rFonts w:asciiTheme="minorHAnsi" w:hAnsiTheme="minorHAnsi" w:cstheme="minorHAnsi"/>
          <w:sz w:val="22"/>
          <w:szCs w:val="22"/>
        </w:rPr>
      </w:pPr>
    </w:p>
    <w:p w:rsidR="00733A35" w:rsidRPr="0013330A" w:rsidRDefault="00733A35" w:rsidP="00733A35">
      <w:pPr>
        <w:jc w:val="both"/>
        <w:rPr>
          <w:rFonts w:asciiTheme="minorHAnsi" w:hAnsiTheme="minorHAnsi" w:cstheme="minorHAnsi"/>
          <w:sz w:val="22"/>
          <w:szCs w:val="22"/>
        </w:rPr>
      </w:pPr>
      <w:r w:rsidRPr="00D84FB1">
        <w:rPr>
          <w:rFonts w:asciiTheme="minorHAnsi" w:hAnsiTheme="minorHAnsi" w:cstheme="minorHAnsi"/>
          <w:noProof/>
          <w:sz w:val="22"/>
          <w:szCs w:val="22"/>
        </w:rPr>
        <w:drawing>
          <wp:inline distT="0" distB="0" distL="0" distR="0">
            <wp:extent cx="6667500" cy="2590800"/>
            <wp:effectExtent l="19050" t="0" r="0" b="0"/>
            <wp:docPr id="174"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cstate="print"/>
                    <a:stretch>
                      <a:fillRect/>
                    </a:stretch>
                  </pic:blipFill>
                  <pic:spPr>
                    <a:xfrm>
                      <a:off x="0" y="0"/>
                      <a:ext cx="6666667" cy="2590476"/>
                    </a:xfrm>
                    <a:prstGeom prst="rect">
                      <a:avLst/>
                    </a:prstGeom>
                  </pic:spPr>
                </pic:pic>
              </a:graphicData>
            </a:graphic>
          </wp:inline>
        </w:drawing>
      </w:r>
    </w:p>
    <w:p w:rsidR="00633006" w:rsidRDefault="00160B32" w:rsidP="00733A35">
      <w:pPr>
        <w:jc w:val="both"/>
        <w:rPr>
          <w:rFonts w:asciiTheme="minorHAnsi" w:hAnsiTheme="minorHAnsi" w:cstheme="minorHAnsi"/>
          <w:sz w:val="22"/>
          <w:szCs w:val="22"/>
        </w:rPr>
      </w:pPr>
      <w:r w:rsidRPr="00160B32">
        <w:rPr>
          <w:noProof/>
        </w:rPr>
        <w:drawing>
          <wp:inline distT="0" distB="0" distL="0" distR="0">
            <wp:extent cx="6645910" cy="2886075"/>
            <wp:effectExtent l="19050" t="0" r="2540" b="0"/>
            <wp:docPr id="137"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cstate="print"/>
                    <a:stretch>
                      <a:fillRect/>
                    </a:stretch>
                  </pic:blipFill>
                  <pic:spPr>
                    <a:xfrm>
                      <a:off x="0" y="0"/>
                      <a:ext cx="6645910" cy="2886075"/>
                    </a:xfrm>
                    <a:prstGeom prst="rect">
                      <a:avLst/>
                    </a:prstGeom>
                  </pic:spPr>
                </pic:pic>
              </a:graphicData>
            </a:graphic>
          </wp:inline>
        </w:drawing>
      </w:r>
    </w:p>
    <w:p w:rsidR="00633006" w:rsidRDefault="00633006" w:rsidP="00733A35">
      <w:pPr>
        <w:jc w:val="both"/>
        <w:rPr>
          <w:rFonts w:asciiTheme="minorHAnsi" w:hAnsiTheme="minorHAnsi" w:cstheme="minorHAnsi"/>
          <w:sz w:val="22"/>
          <w:szCs w:val="22"/>
        </w:rPr>
      </w:pPr>
    </w:p>
    <w:p w:rsidR="00733A35" w:rsidRDefault="00AE00B5" w:rsidP="00733A35">
      <w:pPr>
        <w:jc w:val="both"/>
        <w:rPr>
          <w:rFonts w:asciiTheme="minorHAnsi" w:hAnsiTheme="minorHAnsi" w:cstheme="minorHAnsi"/>
          <w:sz w:val="22"/>
          <w:szCs w:val="22"/>
        </w:rPr>
      </w:pPr>
      <w:r>
        <w:rPr>
          <w:rFonts w:asciiTheme="minorHAnsi" w:hAnsiTheme="minorHAnsi" w:cstheme="minorHAnsi"/>
          <w:sz w:val="22"/>
          <w:szCs w:val="22"/>
        </w:rPr>
        <w:t>Avec la répartition suivante en matière d’investissement :</w:t>
      </w:r>
    </w:p>
    <w:p w:rsidR="00AE00B5" w:rsidRDefault="00AE00B5" w:rsidP="002F04D1">
      <w:pPr>
        <w:pStyle w:val="Paragraphedeliste"/>
        <w:numPr>
          <w:ilvl w:val="0"/>
          <w:numId w:val="11"/>
        </w:numPr>
        <w:jc w:val="both"/>
        <w:rPr>
          <w:rFonts w:asciiTheme="minorHAnsi" w:hAnsiTheme="minorHAnsi" w:cstheme="minorHAnsi"/>
          <w:sz w:val="22"/>
          <w:szCs w:val="22"/>
        </w:rPr>
      </w:pPr>
      <w:r>
        <w:rPr>
          <w:rFonts w:asciiTheme="minorHAnsi" w:hAnsiTheme="minorHAnsi" w:cstheme="minorHAnsi"/>
          <w:sz w:val="22"/>
          <w:szCs w:val="22"/>
        </w:rPr>
        <w:t>Priorité n°1 : secteur des bâtiments communaux (comme au niveau national), avec 10 projets pour un montant total de 12 558 734 MRO, soit 38,03% des engagements.</w:t>
      </w:r>
    </w:p>
    <w:p w:rsidR="00AE00B5" w:rsidRDefault="00160B32" w:rsidP="002F04D1">
      <w:pPr>
        <w:pStyle w:val="Paragraphedeliste"/>
        <w:numPr>
          <w:ilvl w:val="0"/>
          <w:numId w:val="11"/>
        </w:numPr>
        <w:jc w:val="both"/>
        <w:rPr>
          <w:rFonts w:asciiTheme="minorHAnsi" w:hAnsiTheme="minorHAnsi" w:cstheme="minorHAnsi"/>
          <w:sz w:val="22"/>
          <w:szCs w:val="22"/>
        </w:rPr>
      </w:pPr>
      <w:r>
        <w:rPr>
          <w:rFonts w:asciiTheme="minorHAnsi" w:hAnsiTheme="minorHAnsi" w:cstheme="minorHAnsi"/>
          <w:sz w:val="22"/>
          <w:szCs w:val="22"/>
        </w:rPr>
        <w:t>Priorité n°</w:t>
      </w:r>
      <w:r w:rsidR="00AE00B5">
        <w:rPr>
          <w:rFonts w:asciiTheme="minorHAnsi" w:hAnsiTheme="minorHAnsi" w:cstheme="minorHAnsi"/>
          <w:sz w:val="22"/>
          <w:szCs w:val="22"/>
        </w:rPr>
        <w:t>2 : secteur de l’environnement (au 13</w:t>
      </w:r>
      <w:r w:rsidR="00AE00B5" w:rsidRPr="00AE00B5">
        <w:rPr>
          <w:rFonts w:asciiTheme="minorHAnsi" w:hAnsiTheme="minorHAnsi" w:cstheme="minorHAnsi"/>
          <w:sz w:val="22"/>
          <w:szCs w:val="22"/>
          <w:vertAlign w:val="superscript"/>
        </w:rPr>
        <w:t>ème</w:t>
      </w:r>
      <w:r w:rsidR="00AE00B5">
        <w:rPr>
          <w:rFonts w:asciiTheme="minorHAnsi" w:hAnsiTheme="minorHAnsi" w:cstheme="minorHAnsi"/>
          <w:sz w:val="22"/>
          <w:szCs w:val="22"/>
        </w:rPr>
        <w:t xml:space="preserve"> rang national en 2012) pour 15,17% des engagements, soit 2 projets à hauteur de 5 011 000 MRO.</w:t>
      </w:r>
    </w:p>
    <w:p w:rsidR="00AE00B5" w:rsidRPr="00AE00B5" w:rsidRDefault="00AE00B5" w:rsidP="002F04D1">
      <w:pPr>
        <w:pStyle w:val="Paragraphedeliste"/>
        <w:numPr>
          <w:ilvl w:val="0"/>
          <w:numId w:val="11"/>
        </w:numPr>
        <w:jc w:val="both"/>
        <w:rPr>
          <w:rFonts w:asciiTheme="minorHAnsi" w:hAnsiTheme="minorHAnsi" w:cstheme="minorHAnsi"/>
          <w:sz w:val="22"/>
          <w:szCs w:val="22"/>
        </w:rPr>
      </w:pPr>
      <w:r>
        <w:rPr>
          <w:rFonts w:asciiTheme="minorHAnsi" w:hAnsiTheme="minorHAnsi" w:cstheme="minorHAnsi"/>
          <w:sz w:val="22"/>
          <w:szCs w:val="22"/>
        </w:rPr>
        <w:t>Priorité n°3 : secteur de l’éducation (12,82% des engagements, 4 233 416 MRO pour 1 projet unique).</w:t>
      </w:r>
    </w:p>
    <w:p w:rsidR="00733A35" w:rsidRPr="0013330A" w:rsidRDefault="00733A35" w:rsidP="00733A35">
      <w:pPr>
        <w:jc w:val="both"/>
        <w:rPr>
          <w:rFonts w:asciiTheme="minorHAnsi" w:hAnsiTheme="minorHAnsi" w:cstheme="minorHAnsi"/>
          <w:sz w:val="22"/>
          <w:szCs w:val="22"/>
        </w:rPr>
      </w:pPr>
    </w:p>
    <w:p w:rsidR="00733A35" w:rsidRPr="0013330A" w:rsidRDefault="00733A35" w:rsidP="00733A35">
      <w:pPr>
        <w:jc w:val="both"/>
        <w:rPr>
          <w:rFonts w:asciiTheme="minorHAnsi" w:hAnsiTheme="minorHAnsi" w:cstheme="minorHAnsi"/>
          <w:sz w:val="22"/>
          <w:szCs w:val="22"/>
        </w:rPr>
      </w:pPr>
    </w:p>
    <w:p w:rsidR="00733A35" w:rsidRPr="0013330A" w:rsidRDefault="001246CD" w:rsidP="00733A35">
      <w:pPr>
        <w:jc w:val="center"/>
        <w:rPr>
          <w:rFonts w:asciiTheme="minorHAnsi" w:hAnsiTheme="minorHAnsi" w:cstheme="minorHAnsi"/>
          <w:sz w:val="22"/>
          <w:szCs w:val="22"/>
          <w:u w:val="single"/>
        </w:rPr>
      </w:pPr>
      <w:proofErr w:type="spellStart"/>
      <w:r>
        <w:rPr>
          <w:rFonts w:asciiTheme="minorHAnsi" w:hAnsiTheme="minorHAnsi" w:cstheme="minorHAnsi"/>
          <w:b/>
          <w:sz w:val="22"/>
          <w:szCs w:val="22"/>
          <w:u w:val="single"/>
        </w:rPr>
        <w:t>Moughataa</w:t>
      </w:r>
      <w:proofErr w:type="spellEnd"/>
      <w:r w:rsidR="00733A35" w:rsidRPr="0013330A">
        <w:rPr>
          <w:rFonts w:asciiTheme="minorHAnsi" w:hAnsiTheme="minorHAnsi" w:cstheme="minorHAnsi"/>
          <w:b/>
          <w:sz w:val="22"/>
          <w:szCs w:val="22"/>
          <w:u w:val="single"/>
        </w:rPr>
        <w:t xml:space="preserve"> de </w:t>
      </w:r>
      <w:proofErr w:type="spellStart"/>
      <w:r w:rsidR="00733A35" w:rsidRPr="0013330A">
        <w:rPr>
          <w:rFonts w:asciiTheme="minorHAnsi" w:hAnsiTheme="minorHAnsi" w:cstheme="minorHAnsi"/>
          <w:b/>
          <w:sz w:val="22"/>
          <w:szCs w:val="22"/>
          <w:u w:val="single"/>
        </w:rPr>
        <w:t>Boumdeïd</w:t>
      </w:r>
      <w:proofErr w:type="spellEnd"/>
    </w:p>
    <w:p w:rsidR="00733A35" w:rsidRPr="0013330A" w:rsidRDefault="00733A35" w:rsidP="00733A35">
      <w:pPr>
        <w:jc w:val="both"/>
        <w:rPr>
          <w:rFonts w:asciiTheme="minorHAnsi" w:hAnsiTheme="minorHAnsi" w:cstheme="minorHAnsi"/>
          <w:sz w:val="22"/>
          <w:szCs w:val="22"/>
        </w:rPr>
      </w:pPr>
    </w:p>
    <w:p w:rsidR="00733A35" w:rsidRPr="0013330A" w:rsidRDefault="00733A35" w:rsidP="00733A35">
      <w:pPr>
        <w:jc w:val="both"/>
        <w:rPr>
          <w:rFonts w:asciiTheme="minorHAnsi" w:hAnsiTheme="minorHAnsi" w:cstheme="minorHAnsi"/>
          <w:sz w:val="22"/>
          <w:szCs w:val="22"/>
        </w:rPr>
      </w:pPr>
      <w:r w:rsidRPr="0013330A">
        <w:rPr>
          <w:rFonts w:asciiTheme="minorHAnsi" w:hAnsiTheme="minorHAnsi" w:cstheme="minorHAnsi"/>
          <w:sz w:val="22"/>
          <w:szCs w:val="22"/>
        </w:rPr>
        <w:t xml:space="preserve">Les communes de la </w:t>
      </w:r>
      <w:proofErr w:type="spellStart"/>
      <w:r w:rsidR="001246CD">
        <w:rPr>
          <w:rFonts w:asciiTheme="minorHAnsi" w:hAnsiTheme="minorHAnsi" w:cstheme="minorHAnsi"/>
          <w:sz w:val="22"/>
          <w:szCs w:val="22"/>
        </w:rPr>
        <w:t>Moughataa</w:t>
      </w:r>
      <w:proofErr w:type="spellEnd"/>
      <w:r w:rsidRPr="0013330A">
        <w:rPr>
          <w:rFonts w:asciiTheme="minorHAnsi" w:hAnsiTheme="minorHAnsi" w:cstheme="minorHAnsi"/>
          <w:sz w:val="22"/>
          <w:szCs w:val="22"/>
        </w:rPr>
        <w:t xml:space="preserve"> de </w:t>
      </w:r>
      <w:proofErr w:type="spellStart"/>
      <w:r w:rsidRPr="0013330A">
        <w:rPr>
          <w:rFonts w:asciiTheme="minorHAnsi" w:hAnsiTheme="minorHAnsi" w:cstheme="minorHAnsi"/>
          <w:sz w:val="22"/>
          <w:szCs w:val="22"/>
        </w:rPr>
        <w:t>Boum</w:t>
      </w:r>
      <w:r w:rsidR="00AE00B5">
        <w:rPr>
          <w:rFonts w:asciiTheme="minorHAnsi" w:hAnsiTheme="minorHAnsi" w:cstheme="minorHAnsi"/>
          <w:sz w:val="22"/>
          <w:szCs w:val="22"/>
        </w:rPr>
        <w:t>deïd</w:t>
      </w:r>
      <w:proofErr w:type="spellEnd"/>
      <w:r w:rsidR="00AE00B5">
        <w:rPr>
          <w:rFonts w:asciiTheme="minorHAnsi" w:hAnsiTheme="minorHAnsi" w:cstheme="minorHAnsi"/>
          <w:sz w:val="22"/>
          <w:szCs w:val="22"/>
        </w:rPr>
        <w:t xml:space="preserve"> ont bénéficié d’un FRD 2012 pour l’équipement de 7 573 511 MRO (+3,47 % par rapport à 2011).  Elles ont engagé 7 513 000</w:t>
      </w:r>
      <w:r w:rsidRPr="0013330A">
        <w:rPr>
          <w:rFonts w:asciiTheme="minorHAnsi" w:hAnsiTheme="minorHAnsi" w:cstheme="minorHAnsi"/>
          <w:sz w:val="22"/>
          <w:szCs w:val="22"/>
        </w:rPr>
        <w:t xml:space="preserve"> MRO pour la réalisation de </w:t>
      </w:r>
      <w:r w:rsidR="00AE00B5">
        <w:rPr>
          <w:rFonts w:asciiTheme="minorHAnsi" w:hAnsiTheme="minorHAnsi" w:cstheme="minorHAnsi"/>
          <w:b/>
          <w:sz w:val="22"/>
          <w:szCs w:val="22"/>
        </w:rPr>
        <w:t>14</w:t>
      </w:r>
      <w:r w:rsidRPr="004F5430">
        <w:rPr>
          <w:rFonts w:asciiTheme="minorHAnsi" w:hAnsiTheme="minorHAnsi" w:cstheme="minorHAnsi"/>
          <w:b/>
          <w:sz w:val="22"/>
          <w:szCs w:val="22"/>
        </w:rPr>
        <w:t xml:space="preserve"> projets</w:t>
      </w:r>
      <w:r w:rsidRPr="0013330A">
        <w:rPr>
          <w:rFonts w:asciiTheme="minorHAnsi" w:hAnsiTheme="minorHAnsi" w:cstheme="minorHAnsi"/>
          <w:sz w:val="22"/>
          <w:szCs w:val="22"/>
        </w:rPr>
        <w:t xml:space="preserve">, soit un </w:t>
      </w:r>
      <w:r w:rsidR="00AE00B5">
        <w:rPr>
          <w:rFonts w:asciiTheme="minorHAnsi" w:hAnsiTheme="minorHAnsi" w:cstheme="minorHAnsi"/>
          <w:b/>
          <w:sz w:val="22"/>
          <w:szCs w:val="22"/>
        </w:rPr>
        <w:t>taux d’absorption de 99,20</w:t>
      </w:r>
      <w:r w:rsidRPr="0013330A">
        <w:rPr>
          <w:rFonts w:asciiTheme="minorHAnsi" w:hAnsiTheme="minorHAnsi" w:cstheme="minorHAnsi"/>
          <w:b/>
          <w:sz w:val="22"/>
          <w:szCs w:val="22"/>
        </w:rPr>
        <w:t xml:space="preserve"> %.</w:t>
      </w:r>
    </w:p>
    <w:p w:rsidR="00733A35" w:rsidRPr="0013330A" w:rsidRDefault="00733A35" w:rsidP="00733A35">
      <w:pPr>
        <w:jc w:val="both"/>
        <w:rPr>
          <w:rFonts w:asciiTheme="minorHAnsi" w:hAnsiTheme="minorHAnsi" w:cstheme="minorHAnsi"/>
          <w:sz w:val="22"/>
          <w:szCs w:val="22"/>
        </w:rPr>
      </w:pPr>
    </w:p>
    <w:p w:rsidR="00733A35" w:rsidRDefault="00733A35" w:rsidP="00733A35">
      <w:pPr>
        <w:jc w:val="both"/>
        <w:rPr>
          <w:rFonts w:asciiTheme="minorHAnsi" w:hAnsiTheme="minorHAnsi" w:cstheme="minorHAnsi"/>
          <w:sz w:val="22"/>
          <w:szCs w:val="22"/>
        </w:rPr>
      </w:pPr>
      <w:r w:rsidRPr="00D84E78">
        <w:rPr>
          <w:noProof/>
        </w:rPr>
        <w:drawing>
          <wp:inline distT="0" distB="0" distL="0" distR="0">
            <wp:extent cx="3248025" cy="3409950"/>
            <wp:effectExtent l="19050" t="0" r="9525" b="0"/>
            <wp:docPr id="175"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cstate="print"/>
                    <a:stretch>
                      <a:fillRect/>
                    </a:stretch>
                  </pic:blipFill>
                  <pic:spPr>
                    <a:xfrm>
                      <a:off x="0" y="0"/>
                      <a:ext cx="3248025" cy="3409950"/>
                    </a:xfrm>
                    <a:prstGeom prst="rect">
                      <a:avLst/>
                    </a:prstGeom>
                  </pic:spPr>
                </pic:pic>
              </a:graphicData>
            </a:graphic>
          </wp:inline>
        </w:drawing>
      </w:r>
      <w:r w:rsidRPr="0058589E">
        <w:rPr>
          <w:rFonts w:asciiTheme="minorHAnsi" w:hAnsiTheme="minorHAnsi" w:cstheme="minorHAnsi"/>
          <w:noProof/>
          <w:sz w:val="22"/>
          <w:szCs w:val="22"/>
        </w:rPr>
        <w:drawing>
          <wp:inline distT="0" distB="0" distL="0" distR="0">
            <wp:extent cx="3295650" cy="3409950"/>
            <wp:effectExtent l="19050" t="0" r="0" b="0"/>
            <wp:docPr id="176"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cstate="print"/>
                    <a:stretch>
                      <a:fillRect/>
                    </a:stretch>
                  </pic:blipFill>
                  <pic:spPr>
                    <a:xfrm>
                      <a:off x="0" y="0"/>
                      <a:ext cx="3295239" cy="3409524"/>
                    </a:xfrm>
                    <a:prstGeom prst="rect">
                      <a:avLst/>
                    </a:prstGeom>
                  </pic:spPr>
                </pic:pic>
              </a:graphicData>
            </a:graphic>
          </wp:inline>
        </w:drawing>
      </w:r>
    </w:p>
    <w:p w:rsidR="00633006" w:rsidRDefault="00633006" w:rsidP="00733A35">
      <w:pPr>
        <w:jc w:val="both"/>
        <w:rPr>
          <w:rFonts w:asciiTheme="minorHAnsi" w:hAnsiTheme="minorHAnsi" w:cstheme="minorHAnsi"/>
          <w:sz w:val="22"/>
          <w:szCs w:val="22"/>
        </w:rPr>
      </w:pPr>
      <w:r w:rsidRPr="00633006">
        <w:rPr>
          <w:noProof/>
          <w:szCs w:val="22"/>
        </w:rPr>
        <w:drawing>
          <wp:inline distT="0" distB="0" distL="0" distR="0">
            <wp:extent cx="6645910" cy="1144921"/>
            <wp:effectExtent l="19050" t="0" r="2540" b="0"/>
            <wp:docPr id="91"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06" cstate="print"/>
                    <a:srcRect/>
                    <a:stretch>
                      <a:fillRect/>
                    </a:stretch>
                  </pic:blipFill>
                  <pic:spPr bwMode="auto">
                    <a:xfrm>
                      <a:off x="0" y="0"/>
                      <a:ext cx="6645910" cy="1144921"/>
                    </a:xfrm>
                    <a:prstGeom prst="rect">
                      <a:avLst/>
                    </a:prstGeom>
                    <a:noFill/>
                    <a:ln w="9525">
                      <a:noFill/>
                      <a:miter lim="800000"/>
                      <a:headEnd/>
                      <a:tailEnd/>
                    </a:ln>
                  </pic:spPr>
                </pic:pic>
              </a:graphicData>
            </a:graphic>
          </wp:inline>
        </w:drawing>
      </w:r>
    </w:p>
    <w:p w:rsidR="00633006" w:rsidRDefault="00633006" w:rsidP="00733A35">
      <w:pPr>
        <w:jc w:val="both"/>
        <w:rPr>
          <w:rFonts w:asciiTheme="minorHAnsi" w:hAnsiTheme="minorHAnsi" w:cstheme="minorHAnsi"/>
          <w:sz w:val="22"/>
          <w:szCs w:val="22"/>
        </w:rPr>
      </w:pPr>
    </w:p>
    <w:p w:rsidR="00633006" w:rsidRPr="0013330A" w:rsidRDefault="00633006" w:rsidP="00633006">
      <w:pPr>
        <w:jc w:val="both"/>
        <w:rPr>
          <w:rFonts w:asciiTheme="minorHAnsi" w:hAnsiTheme="minorHAnsi" w:cstheme="minorHAnsi"/>
          <w:sz w:val="22"/>
          <w:szCs w:val="22"/>
        </w:rPr>
      </w:pPr>
      <w:r w:rsidRPr="0013330A">
        <w:rPr>
          <w:rFonts w:asciiTheme="minorHAnsi" w:hAnsiTheme="minorHAnsi" w:cstheme="minorHAnsi"/>
          <w:sz w:val="22"/>
          <w:szCs w:val="22"/>
        </w:rPr>
        <w:t xml:space="preserve">Le taux d’absorption de la </w:t>
      </w:r>
      <w:proofErr w:type="spellStart"/>
      <w:r w:rsidR="001246CD">
        <w:rPr>
          <w:rFonts w:asciiTheme="minorHAnsi" w:hAnsiTheme="minorHAnsi" w:cstheme="minorHAnsi"/>
          <w:sz w:val="22"/>
          <w:szCs w:val="22"/>
        </w:rPr>
        <w:t>Moughataa</w:t>
      </w:r>
      <w:proofErr w:type="spellEnd"/>
      <w:r w:rsidRPr="0013330A">
        <w:rPr>
          <w:rFonts w:asciiTheme="minorHAnsi" w:hAnsiTheme="minorHAnsi" w:cstheme="minorHAnsi"/>
          <w:sz w:val="22"/>
          <w:szCs w:val="22"/>
        </w:rPr>
        <w:t xml:space="preserve"> de </w:t>
      </w:r>
      <w:proofErr w:type="spellStart"/>
      <w:r w:rsidRPr="0013330A">
        <w:rPr>
          <w:rFonts w:asciiTheme="minorHAnsi" w:hAnsiTheme="minorHAnsi" w:cstheme="minorHAnsi"/>
          <w:sz w:val="22"/>
          <w:szCs w:val="22"/>
        </w:rPr>
        <w:t>Boumdeïd</w:t>
      </w:r>
      <w:proofErr w:type="spellEnd"/>
      <w:r w:rsidRPr="0013330A">
        <w:rPr>
          <w:rFonts w:asciiTheme="minorHAnsi" w:hAnsiTheme="minorHAnsi" w:cstheme="minorHAnsi"/>
          <w:sz w:val="22"/>
          <w:szCs w:val="22"/>
        </w:rPr>
        <w:t xml:space="preserve"> est </w:t>
      </w:r>
      <w:r>
        <w:rPr>
          <w:rFonts w:asciiTheme="minorHAnsi" w:hAnsiTheme="minorHAnsi" w:cstheme="minorHAnsi"/>
          <w:sz w:val="22"/>
          <w:szCs w:val="22"/>
        </w:rPr>
        <w:t xml:space="preserve">repassé à un niveau moins </w:t>
      </w:r>
      <w:r w:rsidRPr="0013330A">
        <w:rPr>
          <w:rFonts w:asciiTheme="minorHAnsi" w:hAnsiTheme="minorHAnsi" w:cstheme="minorHAnsi"/>
          <w:sz w:val="22"/>
          <w:szCs w:val="22"/>
        </w:rPr>
        <w:t>irréaliste</w:t>
      </w:r>
      <w:r>
        <w:rPr>
          <w:rFonts w:asciiTheme="minorHAnsi" w:hAnsiTheme="minorHAnsi" w:cstheme="minorHAnsi"/>
          <w:sz w:val="22"/>
          <w:szCs w:val="22"/>
        </w:rPr>
        <w:t xml:space="preserve"> que celui constaté en 2010 (175,54% : </w:t>
      </w:r>
      <w:r w:rsidRPr="0013330A">
        <w:rPr>
          <w:rFonts w:asciiTheme="minorHAnsi" w:hAnsiTheme="minorHAnsi" w:cstheme="minorHAnsi"/>
          <w:sz w:val="22"/>
          <w:szCs w:val="22"/>
        </w:rPr>
        <w:t xml:space="preserve">montants engagés ne relevant </w:t>
      </w:r>
      <w:r w:rsidR="00771E5F">
        <w:rPr>
          <w:rFonts w:asciiTheme="minorHAnsi" w:hAnsiTheme="minorHAnsi" w:cstheme="minorHAnsi"/>
          <w:sz w:val="22"/>
          <w:szCs w:val="22"/>
        </w:rPr>
        <w:t xml:space="preserve">certainement pas uniquement </w:t>
      </w:r>
      <w:r w:rsidRPr="0013330A">
        <w:rPr>
          <w:rFonts w:asciiTheme="minorHAnsi" w:hAnsiTheme="minorHAnsi" w:cstheme="minorHAnsi"/>
          <w:sz w:val="22"/>
          <w:szCs w:val="22"/>
        </w:rPr>
        <w:t>d</w:t>
      </w:r>
      <w:r w:rsidR="00771E5F">
        <w:rPr>
          <w:rFonts w:asciiTheme="minorHAnsi" w:hAnsiTheme="minorHAnsi" w:cstheme="minorHAnsi"/>
          <w:sz w:val="22"/>
          <w:szCs w:val="22"/>
        </w:rPr>
        <w:t>es crédits FRD</w:t>
      </w:r>
      <w:r>
        <w:rPr>
          <w:rFonts w:asciiTheme="minorHAnsi" w:hAnsiTheme="minorHAnsi" w:cstheme="minorHAnsi"/>
          <w:sz w:val="22"/>
          <w:szCs w:val="22"/>
        </w:rPr>
        <w:t>)</w:t>
      </w:r>
      <w:r w:rsidRPr="0013330A">
        <w:rPr>
          <w:rFonts w:asciiTheme="minorHAnsi" w:hAnsiTheme="minorHAnsi" w:cstheme="minorHAnsi"/>
          <w:sz w:val="22"/>
          <w:szCs w:val="22"/>
        </w:rPr>
        <w:t>.</w:t>
      </w:r>
      <w:r>
        <w:rPr>
          <w:rFonts w:asciiTheme="minorHAnsi" w:hAnsiTheme="minorHAnsi" w:cstheme="minorHAnsi"/>
          <w:sz w:val="22"/>
          <w:szCs w:val="22"/>
        </w:rPr>
        <w:t xml:space="preserve"> Celui constaté en 2012 est donc tout à fait satisfaisant. Une autre remarque s’impose : le faible taux d’augmentation (3,47%) des crédits alloués en 2012, en comparaison de celle constatée pour les autres </w:t>
      </w:r>
      <w:proofErr w:type="spellStart"/>
      <w:r w:rsidR="001246CD">
        <w:rPr>
          <w:rFonts w:asciiTheme="minorHAnsi" w:hAnsiTheme="minorHAnsi" w:cstheme="minorHAnsi"/>
          <w:sz w:val="22"/>
          <w:szCs w:val="22"/>
        </w:rPr>
        <w:t>Moughataas</w:t>
      </w:r>
      <w:proofErr w:type="spellEnd"/>
      <w:r>
        <w:rPr>
          <w:rFonts w:asciiTheme="minorHAnsi" w:hAnsiTheme="minorHAnsi" w:cstheme="minorHAnsi"/>
          <w:sz w:val="22"/>
          <w:szCs w:val="22"/>
        </w:rPr>
        <w:t>, s’explique sans doute par une correction dans la mesure où les crédits alloués en 2011 avaient connu une très forte augmentation de l’ordre de 39,78% par rapport à l’exercice 2010, peut-être suite à une erreur matérielle de répartition.</w:t>
      </w:r>
    </w:p>
    <w:p w:rsidR="00633006" w:rsidRDefault="00633006" w:rsidP="00733A35">
      <w:pPr>
        <w:jc w:val="both"/>
        <w:rPr>
          <w:rFonts w:asciiTheme="minorHAnsi" w:hAnsiTheme="minorHAnsi" w:cstheme="minorHAnsi"/>
          <w:sz w:val="22"/>
          <w:szCs w:val="22"/>
        </w:rPr>
      </w:pPr>
    </w:p>
    <w:p w:rsidR="00633006" w:rsidRDefault="00633006" w:rsidP="00633006">
      <w:pPr>
        <w:jc w:val="both"/>
        <w:rPr>
          <w:rFonts w:asciiTheme="minorHAnsi" w:hAnsiTheme="minorHAnsi" w:cstheme="minorHAnsi"/>
          <w:sz w:val="22"/>
          <w:szCs w:val="22"/>
        </w:rPr>
      </w:pPr>
      <w:r>
        <w:rPr>
          <w:rFonts w:asciiTheme="minorHAnsi" w:hAnsiTheme="minorHAnsi" w:cstheme="minorHAnsi"/>
          <w:sz w:val="22"/>
          <w:szCs w:val="22"/>
        </w:rPr>
        <w:t>Par conséquent, l’on comprend aisément la diminution du montant moyen de l’</w:t>
      </w:r>
      <w:r w:rsidRPr="0013330A">
        <w:rPr>
          <w:rFonts w:asciiTheme="minorHAnsi" w:hAnsiTheme="minorHAnsi" w:cstheme="minorHAnsi"/>
          <w:sz w:val="22"/>
          <w:szCs w:val="22"/>
        </w:rPr>
        <w:t xml:space="preserve">investissement </w:t>
      </w:r>
      <w:r>
        <w:rPr>
          <w:rFonts w:asciiTheme="minorHAnsi" w:hAnsiTheme="minorHAnsi" w:cstheme="minorHAnsi"/>
          <w:sz w:val="22"/>
          <w:szCs w:val="22"/>
        </w:rPr>
        <w:t xml:space="preserve">par projet : passant de 783 700 MRO en 2011 à 536 643 MRO en 2012. Ce montant nettement inférieur à ceux constatés </w:t>
      </w:r>
      <w:r w:rsidRPr="0013330A">
        <w:rPr>
          <w:rFonts w:asciiTheme="minorHAnsi" w:hAnsiTheme="minorHAnsi" w:cstheme="minorHAnsi"/>
          <w:sz w:val="22"/>
          <w:szCs w:val="22"/>
        </w:rPr>
        <w:t>aux niveaux régional et nati</w:t>
      </w:r>
      <w:r>
        <w:rPr>
          <w:rFonts w:asciiTheme="minorHAnsi" w:hAnsiTheme="minorHAnsi" w:cstheme="minorHAnsi"/>
          <w:sz w:val="22"/>
          <w:szCs w:val="22"/>
        </w:rPr>
        <w:t>onal s’explique comme de coutume par le secteur de l’hydraulique (priorité n°1 en termes d’investissement) avec ses 12 projets (une moyenne d’un peu plus de 503 000 par projet) pour un montant total de 6 038 000 MRO, soit 80,37% des engagements.</w:t>
      </w:r>
    </w:p>
    <w:p w:rsidR="00633006" w:rsidRDefault="00633006" w:rsidP="00633006">
      <w:pPr>
        <w:jc w:val="both"/>
        <w:rPr>
          <w:rFonts w:asciiTheme="minorHAnsi" w:hAnsiTheme="minorHAnsi" w:cstheme="minorHAnsi"/>
          <w:sz w:val="22"/>
          <w:szCs w:val="22"/>
        </w:rPr>
      </w:pPr>
      <w:r>
        <w:rPr>
          <w:rFonts w:asciiTheme="minorHAnsi" w:hAnsiTheme="minorHAnsi" w:cstheme="minorHAnsi"/>
          <w:sz w:val="22"/>
          <w:szCs w:val="22"/>
        </w:rPr>
        <w:t>En deuxième position, un projet agricole à hauteur de 900 000 MRO, soit 11,98% des engagements.</w:t>
      </w:r>
    </w:p>
    <w:p w:rsidR="00633006" w:rsidRDefault="00633006" w:rsidP="00633006">
      <w:pPr>
        <w:jc w:val="both"/>
        <w:rPr>
          <w:rFonts w:asciiTheme="minorHAnsi" w:hAnsiTheme="minorHAnsi" w:cstheme="minorHAnsi"/>
          <w:sz w:val="22"/>
          <w:szCs w:val="22"/>
        </w:rPr>
      </w:pPr>
      <w:r>
        <w:rPr>
          <w:rFonts w:asciiTheme="minorHAnsi" w:hAnsiTheme="minorHAnsi" w:cstheme="minorHAnsi"/>
          <w:sz w:val="22"/>
          <w:szCs w:val="22"/>
        </w:rPr>
        <w:t>En troisième priorité, un projet d’équipement de mairie pour 575 000 MRO, soit 7,65% des engagements.</w:t>
      </w:r>
    </w:p>
    <w:p w:rsidR="00633006" w:rsidRPr="0013330A" w:rsidRDefault="00633006" w:rsidP="00733A35">
      <w:pPr>
        <w:jc w:val="both"/>
        <w:rPr>
          <w:rFonts w:asciiTheme="minorHAnsi" w:hAnsiTheme="minorHAnsi" w:cstheme="minorHAnsi"/>
          <w:sz w:val="22"/>
          <w:szCs w:val="22"/>
        </w:rPr>
      </w:pPr>
    </w:p>
    <w:p w:rsidR="00733A35" w:rsidRPr="0013330A" w:rsidRDefault="00733A35" w:rsidP="00733A35">
      <w:pPr>
        <w:jc w:val="both"/>
        <w:rPr>
          <w:rFonts w:asciiTheme="minorHAnsi" w:hAnsiTheme="minorHAnsi" w:cstheme="minorHAnsi"/>
          <w:b/>
          <w:sz w:val="22"/>
          <w:szCs w:val="22"/>
        </w:rPr>
      </w:pPr>
      <w:r w:rsidRPr="00D84FB1">
        <w:rPr>
          <w:rFonts w:asciiTheme="minorHAnsi" w:hAnsiTheme="minorHAnsi" w:cstheme="minorHAnsi"/>
          <w:b/>
          <w:noProof/>
          <w:sz w:val="22"/>
          <w:szCs w:val="22"/>
        </w:rPr>
        <w:drawing>
          <wp:inline distT="0" distB="0" distL="0" distR="0">
            <wp:extent cx="6645910" cy="2495550"/>
            <wp:effectExtent l="19050" t="0" r="2540" b="0"/>
            <wp:docPr id="177"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cstate="print"/>
                    <a:stretch>
                      <a:fillRect/>
                    </a:stretch>
                  </pic:blipFill>
                  <pic:spPr>
                    <a:xfrm>
                      <a:off x="0" y="0"/>
                      <a:ext cx="6645081" cy="2495239"/>
                    </a:xfrm>
                    <a:prstGeom prst="rect">
                      <a:avLst/>
                    </a:prstGeom>
                  </pic:spPr>
                </pic:pic>
              </a:graphicData>
            </a:graphic>
          </wp:inline>
        </w:drawing>
      </w:r>
    </w:p>
    <w:p w:rsidR="00733A35" w:rsidRPr="0013330A" w:rsidRDefault="00733A35" w:rsidP="00733A35">
      <w:pPr>
        <w:jc w:val="both"/>
        <w:rPr>
          <w:rFonts w:asciiTheme="minorHAnsi" w:hAnsiTheme="minorHAnsi" w:cstheme="minorHAnsi"/>
          <w:b/>
          <w:sz w:val="22"/>
          <w:szCs w:val="22"/>
        </w:rPr>
      </w:pPr>
    </w:p>
    <w:p w:rsidR="00733A35" w:rsidRDefault="00160B32" w:rsidP="00733A35">
      <w:pPr>
        <w:jc w:val="both"/>
        <w:rPr>
          <w:rFonts w:asciiTheme="minorHAnsi" w:hAnsiTheme="minorHAnsi" w:cstheme="minorHAnsi"/>
          <w:sz w:val="22"/>
          <w:szCs w:val="22"/>
        </w:rPr>
      </w:pPr>
      <w:r w:rsidRPr="00160B32">
        <w:rPr>
          <w:noProof/>
          <w:szCs w:val="22"/>
        </w:rPr>
        <w:drawing>
          <wp:inline distT="0" distB="0" distL="0" distR="0">
            <wp:extent cx="6624203" cy="2486025"/>
            <wp:effectExtent l="19050" t="0" r="5197" b="0"/>
            <wp:docPr id="138" name="Imag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108" cstate="print"/>
                    <a:srcRect/>
                    <a:stretch>
                      <a:fillRect/>
                    </a:stretch>
                  </pic:blipFill>
                  <pic:spPr bwMode="auto">
                    <a:xfrm>
                      <a:off x="0" y="0"/>
                      <a:ext cx="6645910" cy="2494172"/>
                    </a:xfrm>
                    <a:prstGeom prst="rect">
                      <a:avLst/>
                    </a:prstGeom>
                    <a:noFill/>
                    <a:ln w="9525">
                      <a:noFill/>
                      <a:miter lim="800000"/>
                      <a:headEnd/>
                      <a:tailEnd/>
                    </a:ln>
                  </pic:spPr>
                </pic:pic>
              </a:graphicData>
            </a:graphic>
          </wp:inline>
        </w:drawing>
      </w:r>
    </w:p>
    <w:p w:rsidR="00733A35" w:rsidRPr="0013330A" w:rsidRDefault="00733A35" w:rsidP="00733A35">
      <w:pPr>
        <w:jc w:val="both"/>
        <w:rPr>
          <w:rFonts w:asciiTheme="minorHAnsi" w:hAnsiTheme="minorHAnsi" w:cstheme="minorHAnsi"/>
          <w:sz w:val="22"/>
          <w:szCs w:val="22"/>
        </w:rPr>
      </w:pPr>
    </w:p>
    <w:p w:rsidR="00160B32" w:rsidRDefault="00160B32" w:rsidP="00733A35">
      <w:pPr>
        <w:jc w:val="center"/>
        <w:rPr>
          <w:rFonts w:asciiTheme="minorHAnsi" w:hAnsiTheme="minorHAnsi" w:cstheme="minorHAnsi"/>
          <w:b/>
          <w:sz w:val="22"/>
          <w:szCs w:val="22"/>
          <w:u w:val="single"/>
        </w:rPr>
      </w:pPr>
    </w:p>
    <w:p w:rsidR="00160B32" w:rsidRDefault="00160B32" w:rsidP="00733A35">
      <w:pPr>
        <w:jc w:val="center"/>
        <w:rPr>
          <w:rFonts w:asciiTheme="minorHAnsi" w:hAnsiTheme="minorHAnsi" w:cstheme="minorHAnsi"/>
          <w:b/>
          <w:sz w:val="22"/>
          <w:szCs w:val="22"/>
          <w:u w:val="single"/>
        </w:rPr>
      </w:pPr>
    </w:p>
    <w:p w:rsidR="00733A35" w:rsidRPr="0013330A" w:rsidRDefault="001246CD" w:rsidP="00733A35">
      <w:pPr>
        <w:jc w:val="center"/>
        <w:rPr>
          <w:rFonts w:asciiTheme="minorHAnsi" w:hAnsiTheme="minorHAnsi" w:cstheme="minorHAnsi"/>
          <w:sz w:val="22"/>
          <w:szCs w:val="22"/>
          <w:u w:val="single"/>
        </w:rPr>
      </w:pPr>
      <w:proofErr w:type="spellStart"/>
      <w:r>
        <w:rPr>
          <w:rFonts w:asciiTheme="minorHAnsi" w:hAnsiTheme="minorHAnsi" w:cstheme="minorHAnsi"/>
          <w:b/>
          <w:sz w:val="22"/>
          <w:szCs w:val="22"/>
          <w:u w:val="single"/>
        </w:rPr>
        <w:t>Moughataa</w:t>
      </w:r>
      <w:proofErr w:type="spellEnd"/>
      <w:r w:rsidR="00733A35" w:rsidRPr="0013330A">
        <w:rPr>
          <w:rFonts w:asciiTheme="minorHAnsi" w:hAnsiTheme="minorHAnsi" w:cstheme="minorHAnsi"/>
          <w:b/>
          <w:sz w:val="22"/>
          <w:szCs w:val="22"/>
          <w:u w:val="single"/>
        </w:rPr>
        <w:t xml:space="preserve"> de </w:t>
      </w:r>
      <w:proofErr w:type="spellStart"/>
      <w:r w:rsidR="00733A35" w:rsidRPr="0013330A">
        <w:rPr>
          <w:rFonts w:asciiTheme="minorHAnsi" w:hAnsiTheme="minorHAnsi" w:cstheme="minorHAnsi"/>
          <w:b/>
          <w:sz w:val="22"/>
          <w:szCs w:val="22"/>
          <w:u w:val="single"/>
        </w:rPr>
        <w:t>Kankossa</w:t>
      </w:r>
      <w:proofErr w:type="spellEnd"/>
    </w:p>
    <w:p w:rsidR="00733A35" w:rsidRDefault="00733A35" w:rsidP="00733A35">
      <w:pPr>
        <w:jc w:val="both"/>
        <w:rPr>
          <w:rFonts w:asciiTheme="minorHAnsi" w:hAnsiTheme="minorHAnsi" w:cstheme="minorHAnsi"/>
          <w:sz w:val="22"/>
          <w:szCs w:val="22"/>
        </w:rPr>
      </w:pPr>
    </w:p>
    <w:p w:rsidR="00115E8C" w:rsidRPr="0013330A" w:rsidRDefault="00115E8C" w:rsidP="00733A35">
      <w:pPr>
        <w:jc w:val="both"/>
        <w:rPr>
          <w:rFonts w:asciiTheme="minorHAnsi" w:hAnsiTheme="minorHAnsi" w:cstheme="minorHAnsi"/>
          <w:sz w:val="22"/>
          <w:szCs w:val="22"/>
        </w:rPr>
      </w:pPr>
    </w:p>
    <w:p w:rsidR="00733A35" w:rsidRDefault="00733A35" w:rsidP="00733A35">
      <w:pPr>
        <w:jc w:val="both"/>
        <w:rPr>
          <w:rFonts w:asciiTheme="minorHAnsi" w:hAnsiTheme="minorHAnsi" w:cstheme="minorHAnsi"/>
          <w:sz w:val="22"/>
          <w:szCs w:val="22"/>
        </w:rPr>
      </w:pPr>
      <w:r w:rsidRPr="0013330A">
        <w:rPr>
          <w:rFonts w:asciiTheme="minorHAnsi" w:hAnsiTheme="minorHAnsi" w:cstheme="minorHAnsi"/>
          <w:sz w:val="22"/>
          <w:szCs w:val="22"/>
        </w:rPr>
        <w:t xml:space="preserve">Les communes de la </w:t>
      </w:r>
      <w:proofErr w:type="spellStart"/>
      <w:r w:rsidR="001246CD">
        <w:rPr>
          <w:rFonts w:asciiTheme="minorHAnsi" w:hAnsiTheme="minorHAnsi" w:cstheme="minorHAnsi"/>
          <w:sz w:val="22"/>
          <w:szCs w:val="22"/>
        </w:rPr>
        <w:t>Moughataa</w:t>
      </w:r>
      <w:proofErr w:type="spellEnd"/>
      <w:r w:rsidRPr="0013330A">
        <w:rPr>
          <w:rFonts w:asciiTheme="minorHAnsi" w:hAnsiTheme="minorHAnsi" w:cstheme="minorHAnsi"/>
          <w:sz w:val="22"/>
          <w:szCs w:val="22"/>
        </w:rPr>
        <w:t xml:space="preserve"> de </w:t>
      </w:r>
      <w:proofErr w:type="spellStart"/>
      <w:r w:rsidRPr="0013330A">
        <w:rPr>
          <w:rFonts w:asciiTheme="minorHAnsi" w:hAnsiTheme="minorHAnsi" w:cstheme="minorHAnsi"/>
          <w:sz w:val="22"/>
          <w:szCs w:val="22"/>
        </w:rPr>
        <w:t>Kank</w:t>
      </w:r>
      <w:r w:rsidR="00B63482">
        <w:rPr>
          <w:rFonts w:asciiTheme="minorHAnsi" w:hAnsiTheme="minorHAnsi" w:cstheme="minorHAnsi"/>
          <w:sz w:val="22"/>
          <w:szCs w:val="22"/>
        </w:rPr>
        <w:t>ossa</w:t>
      </w:r>
      <w:proofErr w:type="spellEnd"/>
      <w:r w:rsidR="00B63482">
        <w:rPr>
          <w:rFonts w:asciiTheme="minorHAnsi" w:hAnsiTheme="minorHAnsi" w:cstheme="minorHAnsi"/>
          <w:sz w:val="22"/>
          <w:szCs w:val="22"/>
        </w:rPr>
        <w:t xml:space="preserve"> ont bénéficié d’un FRD 2012</w:t>
      </w:r>
      <w:r w:rsidRPr="0013330A">
        <w:rPr>
          <w:rFonts w:asciiTheme="minorHAnsi" w:hAnsiTheme="minorHAnsi" w:cstheme="minorHAnsi"/>
          <w:sz w:val="22"/>
          <w:szCs w:val="22"/>
        </w:rPr>
        <w:t xml:space="preserve"> pour l’équipemen</w:t>
      </w:r>
      <w:r w:rsidR="00B63482">
        <w:rPr>
          <w:rFonts w:asciiTheme="minorHAnsi" w:hAnsiTheme="minorHAnsi" w:cstheme="minorHAnsi"/>
          <w:sz w:val="22"/>
          <w:szCs w:val="22"/>
        </w:rPr>
        <w:t>t de 63 248 184 MRO (+16,67</w:t>
      </w:r>
      <w:r w:rsidRPr="0013330A">
        <w:rPr>
          <w:rFonts w:asciiTheme="minorHAnsi" w:hAnsiTheme="minorHAnsi" w:cstheme="minorHAnsi"/>
          <w:sz w:val="22"/>
          <w:szCs w:val="22"/>
        </w:rPr>
        <w:t xml:space="preserve"> % par rapport à 201</w:t>
      </w:r>
      <w:r w:rsidR="00B63482">
        <w:rPr>
          <w:rFonts w:asciiTheme="minorHAnsi" w:hAnsiTheme="minorHAnsi" w:cstheme="minorHAnsi"/>
          <w:sz w:val="22"/>
          <w:szCs w:val="22"/>
        </w:rPr>
        <w:t>1). Elles ont engagé 69 889 374</w:t>
      </w:r>
      <w:r w:rsidRPr="0013330A">
        <w:rPr>
          <w:rFonts w:asciiTheme="minorHAnsi" w:hAnsiTheme="minorHAnsi" w:cstheme="minorHAnsi"/>
          <w:sz w:val="22"/>
          <w:szCs w:val="22"/>
        </w:rPr>
        <w:t xml:space="preserve"> MRO pour la réalisation de </w:t>
      </w:r>
      <w:r w:rsidR="00B63482">
        <w:rPr>
          <w:rFonts w:asciiTheme="minorHAnsi" w:hAnsiTheme="minorHAnsi" w:cstheme="minorHAnsi"/>
          <w:b/>
          <w:sz w:val="22"/>
          <w:szCs w:val="22"/>
        </w:rPr>
        <w:t>67</w:t>
      </w:r>
      <w:r w:rsidRPr="004F5430">
        <w:rPr>
          <w:rFonts w:asciiTheme="minorHAnsi" w:hAnsiTheme="minorHAnsi" w:cstheme="minorHAnsi"/>
          <w:b/>
          <w:sz w:val="22"/>
          <w:szCs w:val="22"/>
        </w:rPr>
        <w:t xml:space="preserve"> projets</w:t>
      </w:r>
      <w:r w:rsidRPr="0013330A">
        <w:rPr>
          <w:rFonts w:asciiTheme="minorHAnsi" w:hAnsiTheme="minorHAnsi" w:cstheme="minorHAnsi"/>
          <w:sz w:val="22"/>
          <w:szCs w:val="22"/>
        </w:rPr>
        <w:t xml:space="preserve">, soit un </w:t>
      </w:r>
      <w:r w:rsidR="00B63482">
        <w:rPr>
          <w:rFonts w:asciiTheme="minorHAnsi" w:hAnsiTheme="minorHAnsi" w:cstheme="minorHAnsi"/>
          <w:b/>
          <w:sz w:val="22"/>
          <w:szCs w:val="22"/>
        </w:rPr>
        <w:t>taux d’absorption de 110,50</w:t>
      </w:r>
      <w:r w:rsidRPr="0013330A">
        <w:rPr>
          <w:rFonts w:asciiTheme="minorHAnsi" w:hAnsiTheme="minorHAnsi" w:cstheme="minorHAnsi"/>
          <w:b/>
          <w:sz w:val="22"/>
          <w:szCs w:val="22"/>
        </w:rPr>
        <w:t xml:space="preserve"> %.</w:t>
      </w:r>
      <w:r w:rsidR="00B63482">
        <w:rPr>
          <w:rFonts w:asciiTheme="minorHAnsi" w:hAnsiTheme="minorHAnsi" w:cstheme="minorHAnsi"/>
          <w:b/>
          <w:sz w:val="22"/>
          <w:szCs w:val="22"/>
        </w:rPr>
        <w:t xml:space="preserve"> </w:t>
      </w:r>
      <w:r w:rsidR="00B63482" w:rsidRPr="00B63482">
        <w:rPr>
          <w:rFonts w:asciiTheme="minorHAnsi" w:hAnsiTheme="minorHAnsi" w:cstheme="minorHAnsi"/>
          <w:sz w:val="22"/>
          <w:szCs w:val="22"/>
        </w:rPr>
        <w:t xml:space="preserve">Ce taux </w:t>
      </w:r>
      <w:r w:rsidR="00B63482">
        <w:rPr>
          <w:rFonts w:asciiTheme="minorHAnsi" w:hAnsiTheme="minorHAnsi" w:cstheme="minorHAnsi"/>
          <w:sz w:val="22"/>
          <w:szCs w:val="22"/>
        </w:rPr>
        <w:t>très élevé d’absorption permet donc de mettre à profit les reliquats des exercices antérieurs.</w:t>
      </w:r>
    </w:p>
    <w:p w:rsidR="00115E8C" w:rsidRDefault="00115E8C" w:rsidP="00733A35">
      <w:pPr>
        <w:jc w:val="both"/>
        <w:rPr>
          <w:rFonts w:asciiTheme="minorHAnsi" w:hAnsiTheme="minorHAnsi" w:cstheme="minorHAnsi"/>
          <w:sz w:val="22"/>
          <w:szCs w:val="22"/>
        </w:rPr>
      </w:pPr>
    </w:p>
    <w:p w:rsidR="00733A35" w:rsidRDefault="00733A35" w:rsidP="00733A35">
      <w:pPr>
        <w:jc w:val="both"/>
        <w:rPr>
          <w:rFonts w:asciiTheme="minorHAnsi" w:hAnsiTheme="minorHAnsi" w:cstheme="minorHAnsi"/>
          <w:sz w:val="22"/>
          <w:szCs w:val="22"/>
        </w:rPr>
      </w:pPr>
      <w:r w:rsidRPr="00306FEA">
        <w:rPr>
          <w:noProof/>
        </w:rPr>
        <w:drawing>
          <wp:inline distT="0" distB="0" distL="0" distR="0">
            <wp:extent cx="3495675" cy="4086225"/>
            <wp:effectExtent l="19050" t="0" r="9525" b="0"/>
            <wp:docPr id="178"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cstate="print"/>
                    <a:stretch>
                      <a:fillRect/>
                    </a:stretch>
                  </pic:blipFill>
                  <pic:spPr>
                    <a:xfrm>
                      <a:off x="0" y="0"/>
                      <a:ext cx="3495675" cy="4086225"/>
                    </a:xfrm>
                    <a:prstGeom prst="rect">
                      <a:avLst/>
                    </a:prstGeom>
                  </pic:spPr>
                </pic:pic>
              </a:graphicData>
            </a:graphic>
          </wp:inline>
        </w:drawing>
      </w:r>
      <w:r w:rsidRPr="0058589E">
        <w:rPr>
          <w:rFonts w:asciiTheme="minorHAnsi" w:hAnsiTheme="minorHAnsi" w:cstheme="minorHAnsi"/>
          <w:noProof/>
          <w:sz w:val="22"/>
          <w:szCs w:val="22"/>
        </w:rPr>
        <w:drawing>
          <wp:inline distT="0" distB="0" distL="0" distR="0">
            <wp:extent cx="3019425" cy="4086225"/>
            <wp:effectExtent l="19050" t="0" r="9525" b="0"/>
            <wp:docPr id="179"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cstate="print"/>
                    <a:stretch>
                      <a:fillRect/>
                    </a:stretch>
                  </pic:blipFill>
                  <pic:spPr>
                    <a:xfrm>
                      <a:off x="0" y="0"/>
                      <a:ext cx="3019425" cy="4086225"/>
                    </a:xfrm>
                    <a:prstGeom prst="rect">
                      <a:avLst/>
                    </a:prstGeom>
                  </pic:spPr>
                </pic:pic>
              </a:graphicData>
            </a:graphic>
          </wp:inline>
        </w:drawing>
      </w:r>
    </w:p>
    <w:p w:rsidR="00633006" w:rsidRDefault="00633006" w:rsidP="00733A35">
      <w:pPr>
        <w:jc w:val="both"/>
        <w:rPr>
          <w:rFonts w:asciiTheme="minorHAnsi" w:hAnsiTheme="minorHAnsi" w:cstheme="minorHAnsi"/>
          <w:sz w:val="22"/>
          <w:szCs w:val="22"/>
        </w:rPr>
      </w:pPr>
      <w:r w:rsidRPr="00633006">
        <w:rPr>
          <w:noProof/>
          <w:szCs w:val="22"/>
        </w:rPr>
        <w:drawing>
          <wp:inline distT="0" distB="0" distL="0" distR="0">
            <wp:extent cx="6645910" cy="2314575"/>
            <wp:effectExtent l="19050" t="0" r="2540" b="0"/>
            <wp:docPr id="97" name="Ima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11" cstate="print"/>
                    <a:srcRect/>
                    <a:stretch>
                      <a:fillRect/>
                    </a:stretch>
                  </pic:blipFill>
                  <pic:spPr bwMode="auto">
                    <a:xfrm>
                      <a:off x="0" y="0"/>
                      <a:ext cx="6645910" cy="2314575"/>
                    </a:xfrm>
                    <a:prstGeom prst="rect">
                      <a:avLst/>
                    </a:prstGeom>
                    <a:noFill/>
                    <a:ln w="9525">
                      <a:noFill/>
                      <a:miter lim="800000"/>
                      <a:headEnd/>
                      <a:tailEnd/>
                    </a:ln>
                  </pic:spPr>
                </pic:pic>
              </a:graphicData>
            </a:graphic>
          </wp:inline>
        </w:drawing>
      </w:r>
    </w:p>
    <w:p w:rsidR="00633006" w:rsidRDefault="00633006" w:rsidP="00733A35">
      <w:pPr>
        <w:jc w:val="both"/>
        <w:rPr>
          <w:rFonts w:asciiTheme="minorHAnsi" w:hAnsiTheme="minorHAnsi" w:cstheme="minorHAnsi"/>
          <w:sz w:val="22"/>
          <w:szCs w:val="22"/>
        </w:rPr>
      </w:pPr>
    </w:p>
    <w:p w:rsidR="006F3C04" w:rsidRDefault="006F3C04" w:rsidP="006F3C04">
      <w:pPr>
        <w:jc w:val="both"/>
        <w:rPr>
          <w:rFonts w:asciiTheme="minorHAnsi" w:hAnsiTheme="minorHAnsi" w:cstheme="minorHAnsi"/>
          <w:sz w:val="22"/>
          <w:szCs w:val="22"/>
        </w:rPr>
      </w:pPr>
      <w:r w:rsidRPr="0013330A">
        <w:rPr>
          <w:rFonts w:asciiTheme="minorHAnsi" w:hAnsiTheme="minorHAnsi" w:cstheme="minorHAnsi"/>
          <w:sz w:val="22"/>
          <w:szCs w:val="22"/>
        </w:rPr>
        <w:t xml:space="preserve">Le montant </w:t>
      </w:r>
      <w:r>
        <w:rPr>
          <w:rFonts w:asciiTheme="minorHAnsi" w:hAnsiTheme="minorHAnsi" w:cstheme="minorHAnsi"/>
          <w:sz w:val="22"/>
          <w:szCs w:val="22"/>
        </w:rPr>
        <w:t>moyen de l’investissement par projet, malgré une augmentation du nombre de projets passant de 52 à 67, connaît une légère progression en raison de l’abondement des crédits au titre d</w:t>
      </w:r>
      <w:r w:rsidR="00980A6D">
        <w:rPr>
          <w:rFonts w:asciiTheme="minorHAnsi" w:hAnsiTheme="minorHAnsi" w:cstheme="minorHAnsi"/>
          <w:sz w:val="22"/>
          <w:szCs w:val="22"/>
        </w:rPr>
        <w:t>u</w:t>
      </w:r>
      <w:r>
        <w:rPr>
          <w:rFonts w:asciiTheme="minorHAnsi" w:hAnsiTheme="minorHAnsi" w:cstheme="minorHAnsi"/>
          <w:sz w:val="22"/>
          <w:szCs w:val="22"/>
        </w:rPr>
        <w:t xml:space="preserve"> FRD 2012 : 968 962 en 2011 et 1 043 125 en 2012.</w:t>
      </w:r>
    </w:p>
    <w:p w:rsidR="00633006" w:rsidRDefault="00633006" w:rsidP="00733A35">
      <w:pPr>
        <w:jc w:val="both"/>
        <w:rPr>
          <w:rFonts w:asciiTheme="minorHAnsi" w:hAnsiTheme="minorHAnsi" w:cstheme="minorHAnsi"/>
          <w:sz w:val="22"/>
          <w:szCs w:val="22"/>
        </w:rPr>
      </w:pPr>
    </w:p>
    <w:p w:rsidR="00733A35" w:rsidRDefault="00733A35" w:rsidP="00733A35">
      <w:pPr>
        <w:jc w:val="both"/>
        <w:rPr>
          <w:rFonts w:asciiTheme="minorHAnsi" w:hAnsiTheme="minorHAnsi" w:cstheme="minorHAnsi"/>
          <w:sz w:val="22"/>
          <w:szCs w:val="22"/>
        </w:rPr>
      </w:pPr>
      <w:r w:rsidRPr="00306FEA">
        <w:rPr>
          <w:noProof/>
        </w:rPr>
        <w:drawing>
          <wp:inline distT="0" distB="0" distL="0" distR="0">
            <wp:extent cx="6645910" cy="3771900"/>
            <wp:effectExtent l="19050" t="0" r="2540" b="0"/>
            <wp:docPr id="180"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cstate="print"/>
                    <a:stretch>
                      <a:fillRect/>
                    </a:stretch>
                  </pic:blipFill>
                  <pic:spPr>
                    <a:xfrm>
                      <a:off x="0" y="0"/>
                      <a:ext cx="6645082" cy="3771430"/>
                    </a:xfrm>
                    <a:prstGeom prst="rect">
                      <a:avLst/>
                    </a:prstGeom>
                  </pic:spPr>
                </pic:pic>
              </a:graphicData>
            </a:graphic>
          </wp:inline>
        </w:drawing>
      </w:r>
    </w:p>
    <w:p w:rsidR="00733A35" w:rsidRDefault="00733A35" w:rsidP="00733A35">
      <w:pPr>
        <w:jc w:val="both"/>
        <w:rPr>
          <w:rFonts w:asciiTheme="minorHAnsi" w:hAnsiTheme="minorHAnsi" w:cstheme="minorHAnsi"/>
          <w:sz w:val="22"/>
          <w:szCs w:val="22"/>
        </w:rPr>
      </w:pPr>
    </w:p>
    <w:p w:rsidR="006F3C04" w:rsidRDefault="003E00BB" w:rsidP="00B63482">
      <w:pPr>
        <w:jc w:val="both"/>
        <w:rPr>
          <w:rFonts w:asciiTheme="minorHAnsi" w:hAnsiTheme="minorHAnsi" w:cstheme="minorHAnsi"/>
          <w:sz w:val="22"/>
          <w:szCs w:val="22"/>
        </w:rPr>
      </w:pPr>
      <w:r w:rsidRPr="003E00BB">
        <w:rPr>
          <w:noProof/>
        </w:rPr>
        <w:drawing>
          <wp:inline distT="0" distB="0" distL="0" distR="0">
            <wp:extent cx="6645910" cy="3724275"/>
            <wp:effectExtent l="19050" t="0" r="2540" b="0"/>
            <wp:docPr id="140"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cstate="print"/>
                    <a:stretch>
                      <a:fillRect/>
                    </a:stretch>
                  </pic:blipFill>
                  <pic:spPr>
                    <a:xfrm>
                      <a:off x="0" y="0"/>
                      <a:ext cx="6657271" cy="3730642"/>
                    </a:xfrm>
                    <a:prstGeom prst="rect">
                      <a:avLst/>
                    </a:prstGeom>
                  </pic:spPr>
                </pic:pic>
              </a:graphicData>
            </a:graphic>
          </wp:inline>
        </w:drawing>
      </w:r>
    </w:p>
    <w:p w:rsidR="003E00BB" w:rsidRDefault="003E00BB" w:rsidP="00B63482">
      <w:pPr>
        <w:jc w:val="both"/>
        <w:rPr>
          <w:rFonts w:asciiTheme="minorHAnsi" w:hAnsiTheme="minorHAnsi" w:cstheme="minorHAnsi"/>
          <w:sz w:val="22"/>
          <w:szCs w:val="22"/>
        </w:rPr>
      </w:pPr>
    </w:p>
    <w:p w:rsidR="00115E8C" w:rsidRDefault="00115E8C" w:rsidP="00B63482">
      <w:pPr>
        <w:jc w:val="both"/>
        <w:rPr>
          <w:rFonts w:asciiTheme="minorHAnsi" w:hAnsiTheme="minorHAnsi" w:cstheme="minorHAnsi"/>
          <w:sz w:val="22"/>
          <w:szCs w:val="22"/>
        </w:rPr>
      </w:pPr>
      <w:r>
        <w:rPr>
          <w:rFonts w:asciiTheme="minorHAnsi" w:hAnsiTheme="minorHAnsi" w:cstheme="minorHAnsi"/>
          <w:sz w:val="22"/>
          <w:szCs w:val="22"/>
        </w:rPr>
        <w:t>Le secteur de l’hydraulique remporte la première place en termes de priorité d’investissement : 26 442 901 MRO consacrés à 31 projets, soit 37,84% des engagements.</w:t>
      </w:r>
    </w:p>
    <w:p w:rsidR="00115E8C" w:rsidRDefault="00115E8C" w:rsidP="00B63482">
      <w:pPr>
        <w:jc w:val="both"/>
        <w:rPr>
          <w:rFonts w:asciiTheme="minorHAnsi" w:hAnsiTheme="minorHAnsi" w:cstheme="minorHAnsi"/>
          <w:sz w:val="22"/>
          <w:szCs w:val="22"/>
        </w:rPr>
      </w:pPr>
      <w:r>
        <w:rPr>
          <w:rFonts w:asciiTheme="minorHAnsi" w:hAnsiTheme="minorHAnsi" w:cstheme="minorHAnsi"/>
          <w:sz w:val="22"/>
          <w:szCs w:val="22"/>
        </w:rPr>
        <w:t>16 projets pour le secteur de l’éduction en priorité n°2 à hauteur de 25 316 449 MRO, soit 36,22% des engagements.</w:t>
      </w:r>
    </w:p>
    <w:p w:rsidR="00115E8C" w:rsidRDefault="00115E8C" w:rsidP="00B63482">
      <w:pPr>
        <w:jc w:val="both"/>
        <w:rPr>
          <w:rFonts w:asciiTheme="minorHAnsi" w:hAnsiTheme="minorHAnsi" w:cstheme="minorHAnsi"/>
        </w:rPr>
      </w:pPr>
      <w:r>
        <w:rPr>
          <w:rFonts w:asciiTheme="minorHAnsi" w:hAnsiTheme="minorHAnsi" w:cstheme="minorHAnsi"/>
          <w:sz w:val="22"/>
          <w:szCs w:val="22"/>
        </w:rPr>
        <w:t>En troisième position, le secteur de l’appui aux coopératives, associations et autres ONG (classé au 9</w:t>
      </w:r>
      <w:r w:rsidRPr="00115E8C">
        <w:rPr>
          <w:rFonts w:asciiTheme="minorHAnsi" w:hAnsiTheme="minorHAnsi" w:cstheme="minorHAnsi"/>
          <w:sz w:val="22"/>
          <w:szCs w:val="22"/>
          <w:vertAlign w:val="superscript"/>
        </w:rPr>
        <w:t>ème</w:t>
      </w:r>
      <w:r>
        <w:rPr>
          <w:rFonts w:asciiTheme="minorHAnsi" w:hAnsiTheme="minorHAnsi" w:cstheme="minorHAnsi"/>
          <w:sz w:val="22"/>
          <w:szCs w:val="22"/>
        </w:rPr>
        <w:t xml:space="preserve"> rang en 2012 au niveau national) pour 5 786 527 MRO, soit 8,28% des engagements.</w:t>
      </w:r>
    </w:p>
    <w:p w:rsidR="00733A35" w:rsidRDefault="00733A35" w:rsidP="00A27296">
      <w:pPr>
        <w:jc w:val="both"/>
        <w:rPr>
          <w:rFonts w:asciiTheme="minorHAnsi" w:hAnsiTheme="minorHAnsi" w:cstheme="minorHAnsi"/>
        </w:rPr>
      </w:pPr>
    </w:p>
    <w:p w:rsidR="00432FD0" w:rsidRDefault="00432FD0">
      <w:pPr>
        <w:spacing w:after="200" w:line="276" w:lineRule="auto"/>
        <w:rPr>
          <w:rFonts w:asciiTheme="minorHAnsi" w:hAnsiTheme="minorHAnsi" w:cstheme="minorHAnsi"/>
        </w:rPr>
      </w:pPr>
      <w:r>
        <w:rPr>
          <w:rFonts w:asciiTheme="minorHAnsi" w:hAnsiTheme="minorHAnsi" w:cstheme="minorHAnsi"/>
        </w:rPr>
        <w:br w:type="page"/>
      </w:r>
    </w:p>
    <w:p w:rsidR="00432FD0" w:rsidRPr="00432FD0" w:rsidRDefault="001246CD" w:rsidP="00432FD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2D050"/>
        <w:rPr>
          <w:rFonts w:asciiTheme="minorHAnsi" w:hAnsiTheme="minorHAnsi" w:cstheme="minorHAnsi"/>
          <w:b/>
          <w:smallCaps/>
          <w:sz w:val="28"/>
          <w:szCs w:val="28"/>
        </w:rPr>
      </w:pPr>
      <w:r>
        <w:rPr>
          <w:rFonts w:asciiTheme="minorHAnsi" w:hAnsiTheme="minorHAnsi" w:cstheme="minorHAnsi"/>
          <w:b/>
          <w:smallCaps/>
          <w:sz w:val="28"/>
          <w:szCs w:val="28"/>
        </w:rPr>
        <w:t>Wilaya</w:t>
      </w:r>
      <w:r w:rsidR="00432FD0" w:rsidRPr="00432FD0">
        <w:rPr>
          <w:rFonts w:asciiTheme="minorHAnsi" w:hAnsiTheme="minorHAnsi" w:cstheme="minorHAnsi"/>
          <w:b/>
          <w:smallCaps/>
          <w:sz w:val="28"/>
          <w:szCs w:val="28"/>
        </w:rPr>
        <w:t xml:space="preserve"> du </w:t>
      </w:r>
      <w:proofErr w:type="spellStart"/>
      <w:r w:rsidR="00432FD0" w:rsidRPr="00432FD0">
        <w:rPr>
          <w:rFonts w:asciiTheme="minorHAnsi" w:hAnsiTheme="minorHAnsi" w:cstheme="minorHAnsi"/>
          <w:b/>
          <w:smallCaps/>
          <w:sz w:val="28"/>
          <w:szCs w:val="28"/>
        </w:rPr>
        <w:t>Gorgol</w:t>
      </w:r>
      <w:proofErr w:type="spellEnd"/>
    </w:p>
    <w:p w:rsidR="00432FD0" w:rsidRDefault="00432FD0" w:rsidP="00432FD0">
      <w:pPr>
        <w:rPr>
          <w:rFonts w:asciiTheme="minorHAnsi" w:hAnsiTheme="minorHAnsi" w:cstheme="minorHAnsi"/>
          <w:b/>
          <w:smallCaps/>
          <w:sz w:val="28"/>
          <w:szCs w:val="28"/>
        </w:rPr>
      </w:pPr>
    </w:p>
    <w:p w:rsidR="00042974" w:rsidRDefault="00042974" w:rsidP="00432FD0">
      <w:pPr>
        <w:rPr>
          <w:rFonts w:asciiTheme="minorHAnsi" w:hAnsiTheme="minorHAnsi" w:cstheme="minorHAnsi"/>
          <w:b/>
          <w:smallCaps/>
          <w:sz w:val="28"/>
          <w:szCs w:val="28"/>
        </w:rPr>
      </w:pPr>
      <w:r w:rsidRPr="00042974">
        <w:rPr>
          <w:noProof/>
        </w:rPr>
        <w:drawing>
          <wp:inline distT="0" distB="0" distL="0" distR="0">
            <wp:extent cx="6705599" cy="2933700"/>
            <wp:effectExtent l="19050" t="0" r="1" b="0"/>
            <wp:docPr id="256"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cstate="print"/>
                    <a:stretch>
                      <a:fillRect/>
                    </a:stretch>
                  </pic:blipFill>
                  <pic:spPr>
                    <a:xfrm>
                      <a:off x="0" y="0"/>
                      <a:ext cx="6712175" cy="2936577"/>
                    </a:xfrm>
                    <a:prstGeom prst="rect">
                      <a:avLst/>
                    </a:prstGeom>
                  </pic:spPr>
                </pic:pic>
              </a:graphicData>
            </a:graphic>
          </wp:inline>
        </w:drawing>
      </w:r>
    </w:p>
    <w:p w:rsidR="00432FD0" w:rsidRDefault="00432FD0" w:rsidP="00432FD0">
      <w:pPr>
        <w:jc w:val="both"/>
        <w:rPr>
          <w:rFonts w:asciiTheme="minorHAnsi" w:hAnsiTheme="minorHAnsi" w:cstheme="minorHAnsi"/>
          <w:b/>
        </w:rPr>
      </w:pPr>
    </w:p>
    <w:p w:rsidR="00B02A49" w:rsidRDefault="00B02A49" w:rsidP="00432FD0">
      <w:pPr>
        <w:jc w:val="both"/>
        <w:rPr>
          <w:rFonts w:asciiTheme="minorHAnsi" w:hAnsiTheme="minorHAnsi" w:cstheme="minorHAnsi"/>
          <w:sz w:val="22"/>
          <w:szCs w:val="22"/>
        </w:rPr>
      </w:pPr>
    </w:p>
    <w:p w:rsidR="00432FD0" w:rsidRPr="00CD57B8" w:rsidRDefault="00432FD0" w:rsidP="00432FD0">
      <w:pPr>
        <w:jc w:val="both"/>
        <w:rPr>
          <w:rFonts w:asciiTheme="minorHAnsi" w:hAnsiTheme="minorHAnsi" w:cstheme="minorHAnsi"/>
          <w:sz w:val="22"/>
          <w:szCs w:val="22"/>
        </w:rPr>
      </w:pPr>
      <w:r w:rsidRPr="00CD57B8">
        <w:rPr>
          <w:rFonts w:asciiTheme="minorHAnsi" w:hAnsiTheme="minorHAnsi" w:cstheme="minorHAnsi"/>
          <w:sz w:val="22"/>
          <w:szCs w:val="22"/>
        </w:rPr>
        <w:t xml:space="preserve">La </w:t>
      </w:r>
      <w:r w:rsidR="001246CD">
        <w:rPr>
          <w:rFonts w:asciiTheme="minorHAnsi" w:hAnsiTheme="minorHAnsi" w:cstheme="minorHAnsi"/>
          <w:sz w:val="22"/>
          <w:szCs w:val="22"/>
        </w:rPr>
        <w:t>Wilaya</w:t>
      </w:r>
      <w:r w:rsidRPr="00CD57B8">
        <w:rPr>
          <w:rFonts w:asciiTheme="minorHAnsi" w:hAnsiTheme="minorHAnsi" w:cstheme="minorHAnsi"/>
          <w:sz w:val="22"/>
          <w:szCs w:val="22"/>
        </w:rPr>
        <w:t xml:space="preserve"> du </w:t>
      </w:r>
      <w:proofErr w:type="spellStart"/>
      <w:r w:rsidRPr="00CD57B8">
        <w:rPr>
          <w:rFonts w:asciiTheme="minorHAnsi" w:hAnsiTheme="minorHAnsi" w:cstheme="minorHAnsi"/>
          <w:sz w:val="22"/>
          <w:szCs w:val="22"/>
        </w:rPr>
        <w:t>Gorgol</w:t>
      </w:r>
      <w:proofErr w:type="spellEnd"/>
      <w:r w:rsidRPr="00CD57B8">
        <w:rPr>
          <w:rFonts w:asciiTheme="minorHAnsi" w:hAnsiTheme="minorHAnsi" w:cstheme="minorHAnsi"/>
          <w:sz w:val="22"/>
          <w:szCs w:val="22"/>
        </w:rPr>
        <w:t xml:space="preserve"> </w:t>
      </w:r>
      <w:r w:rsidR="00ED7B01">
        <w:rPr>
          <w:rFonts w:asciiTheme="minorHAnsi" w:hAnsiTheme="minorHAnsi" w:cstheme="minorHAnsi"/>
          <w:sz w:val="22"/>
          <w:szCs w:val="22"/>
        </w:rPr>
        <w:t>a bénéficié pour l’exercice 2012</w:t>
      </w:r>
      <w:r w:rsidRPr="00CD57B8">
        <w:rPr>
          <w:rFonts w:asciiTheme="minorHAnsi" w:hAnsiTheme="minorHAnsi" w:cstheme="minorHAnsi"/>
          <w:sz w:val="22"/>
          <w:szCs w:val="22"/>
        </w:rPr>
        <w:t xml:space="preserve"> d’un FRD équipement de </w:t>
      </w:r>
      <w:r w:rsidR="00ED7B01">
        <w:rPr>
          <w:rFonts w:asciiTheme="minorHAnsi" w:hAnsiTheme="minorHAnsi" w:cstheme="minorHAnsi"/>
          <w:b/>
          <w:sz w:val="22"/>
          <w:szCs w:val="22"/>
        </w:rPr>
        <w:t>243 926 278</w:t>
      </w:r>
      <w:r w:rsidRPr="00CD57B8">
        <w:rPr>
          <w:rFonts w:asciiTheme="minorHAnsi" w:hAnsiTheme="minorHAnsi" w:cstheme="minorHAnsi"/>
          <w:b/>
          <w:sz w:val="22"/>
          <w:szCs w:val="22"/>
        </w:rPr>
        <w:t xml:space="preserve"> </w:t>
      </w:r>
      <w:proofErr w:type="gramStart"/>
      <w:r w:rsidR="004871EA">
        <w:rPr>
          <w:rFonts w:asciiTheme="minorHAnsi" w:hAnsiTheme="minorHAnsi" w:cstheme="minorHAnsi"/>
          <w:b/>
          <w:sz w:val="22"/>
          <w:szCs w:val="22"/>
        </w:rPr>
        <w:t>ouguiya</w:t>
      </w:r>
      <w:proofErr w:type="gramEnd"/>
      <w:r w:rsidRPr="00CD57B8">
        <w:rPr>
          <w:rFonts w:asciiTheme="minorHAnsi" w:hAnsiTheme="minorHAnsi" w:cstheme="minorHAnsi"/>
          <w:sz w:val="22"/>
          <w:szCs w:val="22"/>
        </w:rPr>
        <w:t xml:space="preserve">, soit une hausse de </w:t>
      </w:r>
      <w:r w:rsidR="00ED7B01">
        <w:rPr>
          <w:rFonts w:asciiTheme="minorHAnsi" w:hAnsiTheme="minorHAnsi" w:cstheme="minorHAnsi"/>
          <w:b/>
          <w:sz w:val="22"/>
          <w:szCs w:val="22"/>
        </w:rPr>
        <w:t>16,43</w:t>
      </w:r>
      <w:r w:rsidRPr="00CD57B8">
        <w:rPr>
          <w:rFonts w:asciiTheme="minorHAnsi" w:hAnsiTheme="minorHAnsi" w:cstheme="minorHAnsi"/>
          <w:b/>
          <w:sz w:val="22"/>
          <w:szCs w:val="22"/>
        </w:rPr>
        <w:t xml:space="preserve"> %.</w:t>
      </w:r>
      <w:r w:rsidR="00ED7B01">
        <w:rPr>
          <w:rFonts w:asciiTheme="minorHAnsi" w:hAnsiTheme="minorHAnsi" w:cstheme="minorHAnsi"/>
          <w:sz w:val="22"/>
          <w:szCs w:val="22"/>
        </w:rPr>
        <w:t xml:space="preserve"> 241 222 433 </w:t>
      </w:r>
      <w:proofErr w:type="gramStart"/>
      <w:r w:rsidR="004871EA">
        <w:rPr>
          <w:rFonts w:asciiTheme="minorHAnsi" w:hAnsiTheme="minorHAnsi" w:cstheme="minorHAnsi"/>
          <w:sz w:val="22"/>
          <w:szCs w:val="22"/>
        </w:rPr>
        <w:t>ouguiya</w:t>
      </w:r>
      <w:proofErr w:type="gramEnd"/>
      <w:r w:rsidRPr="00CD57B8">
        <w:rPr>
          <w:rFonts w:asciiTheme="minorHAnsi" w:hAnsiTheme="minorHAnsi" w:cstheme="minorHAnsi"/>
          <w:sz w:val="22"/>
          <w:szCs w:val="22"/>
        </w:rPr>
        <w:t xml:space="preserve"> ont été engagés en 2011, soit un </w:t>
      </w:r>
      <w:r w:rsidR="00ED7B01">
        <w:rPr>
          <w:rFonts w:asciiTheme="minorHAnsi" w:hAnsiTheme="minorHAnsi" w:cstheme="minorHAnsi"/>
          <w:b/>
          <w:sz w:val="22"/>
          <w:szCs w:val="22"/>
        </w:rPr>
        <w:t>taux d’absorption de 98,89</w:t>
      </w:r>
      <w:r w:rsidRPr="00CD57B8">
        <w:rPr>
          <w:rFonts w:asciiTheme="minorHAnsi" w:hAnsiTheme="minorHAnsi" w:cstheme="minorHAnsi"/>
          <w:b/>
          <w:sz w:val="22"/>
          <w:szCs w:val="22"/>
        </w:rPr>
        <w:t xml:space="preserve"> %</w:t>
      </w:r>
      <w:r w:rsidRPr="00CD57B8">
        <w:rPr>
          <w:rFonts w:asciiTheme="minorHAnsi" w:hAnsiTheme="minorHAnsi" w:cstheme="minorHAnsi"/>
          <w:sz w:val="22"/>
          <w:szCs w:val="22"/>
        </w:rPr>
        <w:t xml:space="preserve">. </w:t>
      </w:r>
    </w:p>
    <w:p w:rsidR="00432FD0" w:rsidRDefault="00432FD0" w:rsidP="00432FD0">
      <w:pPr>
        <w:jc w:val="both"/>
        <w:rPr>
          <w:rFonts w:asciiTheme="minorHAnsi" w:hAnsiTheme="minorHAnsi" w:cstheme="minorHAnsi"/>
          <w:sz w:val="22"/>
          <w:szCs w:val="22"/>
        </w:rPr>
      </w:pPr>
    </w:p>
    <w:p w:rsidR="00B02A49" w:rsidRDefault="00B02A49" w:rsidP="00432FD0">
      <w:pPr>
        <w:jc w:val="both"/>
        <w:rPr>
          <w:rFonts w:asciiTheme="minorHAnsi" w:hAnsiTheme="minorHAnsi" w:cstheme="minorHAnsi"/>
          <w:sz w:val="22"/>
          <w:szCs w:val="22"/>
        </w:rPr>
      </w:pPr>
    </w:p>
    <w:p w:rsidR="00432FD0" w:rsidRDefault="00432FD0" w:rsidP="00432FD0">
      <w:pPr>
        <w:jc w:val="both"/>
        <w:rPr>
          <w:rFonts w:asciiTheme="minorHAnsi" w:hAnsiTheme="minorHAnsi" w:cstheme="minorHAnsi"/>
          <w:sz w:val="22"/>
          <w:szCs w:val="22"/>
        </w:rPr>
      </w:pPr>
      <w:r w:rsidRPr="007977EF">
        <w:rPr>
          <w:noProof/>
          <w:szCs w:val="22"/>
        </w:rPr>
        <w:drawing>
          <wp:inline distT="0" distB="0" distL="0" distR="0">
            <wp:extent cx="6645910" cy="2980263"/>
            <wp:effectExtent l="19050" t="0" r="2540" b="0"/>
            <wp:docPr id="182"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15" cstate="print"/>
                    <a:srcRect/>
                    <a:stretch>
                      <a:fillRect/>
                    </a:stretch>
                  </pic:blipFill>
                  <pic:spPr bwMode="auto">
                    <a:xfrm>
                      <a:off x="0" y="0"/>
                      <a:ext cx="6645910" cy="2980263"/>
                    </a:xfrm>
                    <a:prstGeom prst="rect">
                      <a:avLst/>
                    </a:prstGeom>
                    <a:noFill/>
                    <a:ln w="9525">
                      <a:noFill/>
                      <a:miter lim="800000"/>
                      <a:headEnd/>
                      <a:tailEnd/>
                    </a:ln>
                  </pic:spPr>
                </pic:pic>
              </a:graphicData>
            </a:graphic>
          </wp:inline>
        </w:drawing>
      </w:r>
    </w:p>
    <w:p w:rsidR="00432FD0" w:rsidRDefault="00432FD0" w:rsidP="00432FD0">
      <w:pPr>
        <w:jc w:val="both"/>
        <w:rPr>
          <w:rFonts w:asciiTheme="minorHAnsi" w:hAnsiTheme="minorHAnsi" w:cstheme="minorHAnsi"/>
          <w:sz w:val="22"/>
          <w:szCs w:val="22"/>
        </w:rPr>
      </w:pPr>
    </w:p>
    <w:p w:rsidR="00432FD0" w:rsidRPr="00CD57B8" w:rsidRDefault="00432FD0" w:rsidP="00432FD0">
      <w:pPr>
        <w:jc w:val="both"/>
        <w:rPr>
          <w:rFonts w:asciiTheme="minorHAnsi" w:hAnsiTheme="minorHAnsi" w:cstheme="minorHAnsi"/>
          <w:sz w:val="22"/>
          <w:szCs w:val="22"/>
        </w:rPr>
      </w:pPr>
      <w:r w:rsidRPr="00CD57B8">
        <w:rPr>
          <w:rFonts w:asciiTheme="minorHAnsi" w:hAnsiTheme="minorHAnsi" w:cstheme="minorHAnsi"/>
          <w:sz w:val="22"/>
          <w:szCs w:val="22"/>
        </w:rPr>
        <w:t>Il s’agit d’un taux tout</w:t>
      </w:r>
      <w:r w:rsidR="00ED7B01">
        <w:rPr>
          <w:rFonts w:asciiTheme="minorHAnsi" w:hAnsiTheme="minorHAnsi" w:cstheme="minorHAnsi"/>
          <w:sz w:val="22"/>
          <w:szCs w:val="22"/>
        </w:rPr>
        <w:t xml:space="preserve"> à fait satisfaisant, </w:t>
      </w:r>
      <w:r w:rsidRPr="00CD57B8">
        <w:rPr>
          <w:rFonts w:asciiTheme="minorHAnsi" w:hAnsiTheme="minorHAnsi" w:cstheme="minorHAnsi"/>
          <w:sz w:val="22"/>
          <w:szCs w:val="22"/>
        </w:rPr>
        <w:t>en p</w:t>
      </w:r>
      <w:r w:rsidR="00ED7B01">
        <w:rPr>
          <w:rFonts w:asciiTheme="minorHAnsi" w:hAnsiTheme="minorHAnsi" w:cstheme="minorHAnsi"/>
          <w:sz w:val="22"/>
          <w:szCs w:val="22"/>
        </w:rPr>
        <w:t>rogression constante depuis 2010, dépassant de plus de 5 po</w:t>
      </w:r>
      <w:r w:rsidR="00F96043">
        <w:rPr>
          <w:rFonts w:asciiTheme="minorHAnsi" w:hAnsiTheme="minorHAnsi" w:cstheme="minorHAnsi"/>
          <w:sz w:val="22"/>
          <w:szCs w:val="22"/>
        </w:rPr>
        <w:t>i</w:t>
      </w:r>
      <w:r w:rsidR="00ED7B01">
        <w:rPr>
          <w:rFonts w:asciiTheme="minorHAnsi" w:hAnsiTheme="minorHAnsi" w:cstheme="minorHAnsi"/>
          <w:sz w:val="22"/>
          <w:szCs w:val="22"/>
        </w:rPr>
        <w:t>nts la moyenne nationale.</w:t>
      </w:r>
    </w:p>
    <w:p w:rsidR="00432FD0" w:rsidRPr="00CD57B8" w:rsidRDefault="00432FD0" w:rsidP="00432FD0">
      <w:pPr>
        <w:jc w:val="both"/>
        <w:rPr>
          <w:rFonts w:asciiTheme="minorHAnsi" w:hAnsiTheme="minorHAnsi" w:cstheme="minorHAnsi"/>
          <w:sz w:val="22"/>
          <w:szCs w:val="22"/>
        </w:rPr>
      </w:pPr>
    </w:p>
    <w:p w:rsidR="00432FD0" w:rsidRPr="00ED7B01" w:rsidRDefault="00ED7B01" w:rsidP="00432FD0">
      <w:pPr>
        <w:jc w:val="both"/>
        <w:rPr>
          <w:rFonts w:asciiTheme="minorHAnsi" w:hAnsiTheme="minorHAnsi" w:cstheme="minorHAnsi"/>
          <w:sz w:val="22"/>
          <w:szCs w:val="22"/>
        </w:rPr>
      </w:pPr>
      <w:r>
        <w:rPr>
          <w:rFonts w:asciiTheme="minorHAnsi" w:hAnsiTheme="minorHAnsi" w:cstheme="minorHAnsi"/>
          <w:sz w:val="22"/>
          <w:szCs w:val="22"/>
        </w:rPr>
        <w:t>Ces engagements financiers 2012</w:t>
      </w:r>
      <w:r w:rsidR="00432FD0" w:rsidRPr="00CD57B8">
        <w:rPr>
          <w:rFonts w:asciiTheme="minorHAnsi" w:hAnsiTheme="minorHAnsi" w:cstheme="minorHAnsi"/>
          <w:sz w:val="22"/>
          <w:szCs w:val="22"/>
        </w:rPr>
        <w:t xml:space="preserve"> correspondent à </w:t>
      </w:r>
      <w:r>
        <w:rPr>
          <w:rFonts w:asciiTheme="minorHAnsi" w:hAnsiTheme="minorHAnsi" w:cstheme="minorHAnsi"/>
          <w:b/>
          <w:sz w:val="22"/>
          <w:szCs w:val="22"/>
        </w:rPr>
        <w:t>250</w:t>
      </w:r>
      <w:r w:rsidR="00432FD0" w:rsidRPr="00CD57B8">
        <w:rPr>
          <w:rFonts w:asciiTheme="minorHAnsi" w:hAnsiTheme="minorHAnsi" w:cstheme="minorHAnsi"/>
          <w:b/>
          <w:sz w:val="22"/>
          <w:szCs w:val="22"/>
        </w:rPr>
        <w:t xml:space="preserve"> projets</w:t>
      </w:r>
      <w:r w:rsidR="00432FD0" w:rsidRPr="00CD57B8">
        <w:rPr>
          <w:rFonts w:asciiTheme="minorHAnsi" w:hAnsiTheme="minorHAnsi" w:cstheme="minorHAnsi"/>
          <w:sz w:val="22"/>
          <w:szCs w:val="22"/>
        </w:rPr>
        <w:t>. Il s’agit</w:t>
      </w:r>
      <w:r w:rsidR="00F96043">
        <w:rPr>
          <w:rFonts w:asciiTheme="minorHAnsi" w:hAnsiTheme="minorHAnsi" w:cstheme="minorHAnsi"/>
          <w:sz w:val="22"/>
          <w:szCs w:val="22"/>
        </w:rPr>
        <w:t xml:space="preserve"> d’un chiffre en hausse </w:t>
      </w:r>
      <w:r>
        <w:rPr>
          <w:rFonts w:asciiTheme="minorHAnsi" w:hAnsiTheme="minorHAnsi" w:cstheme="minorHAnsi"/>
          <w:sz w:val="22"/>
          <w:szCs w:val="22"/>
        </w:rPr>
        <w:t xml:space="preserve">de 35% (+ 65 unités par rapport à 2011 avec </w:t>
      </w:r>
      <w:r w:rsidR="00B02A49">
        <w:rPr>
          <w:rFonts w:asciiTheme="minorHAnsi" w:hAnsiTheme="minorHAnsi" w:cstheme="minorHAnsi"/>
          <w:sz w:val="22"/>
          <w:szCs w:val="22"/>
        </w:rPr>
        <w:t xml:space="preserve">ses </w:t>
      </w:r>
      <w:r>
        <w:rPr>
          <w:rFonts w:asciiTheme="minorHAnsi" w:hAnsiTheme="minorHAnsi" w:cstheme="minorHAnsi"/>
          <w:sz w:val="22"/>
          <w:szCs w:val="22"/>
        </w:rPr>
        <w:t>185 projets). Cette forte</w:t>
      </w:r>
      <w:r w:rsidR="00432FD0" w:rsidRPr="00CD57B8">
        <w:rPr>
          <w:rFonts w:asciiTheme="minorHAnsi" w:hAnsiTheme="minorHAnsi" w:cstheme="minorHAnsi"/>
          <w:sz w:val="22"/>
          <w:szCs w:val="22"/>
        </w:rPr>
        <w:t xml:space="preserve"> hausse du nombre de projets s</w:t>
      </w:r>
      <w:r>
        <w:rPr>
          <w:rFonts w:asciiTheme="minorHAnsi" w:hAnsiTheme="minorHAnsi" w:cstheme="minorHAnsi"/>
          <w:sz w:val="22"/>
          <w:szCs w:val="22"/>
        </w:rPr>
        <w:t xml:space="preserve">e traduit par </w:t>
      </w:r>
      <w:r w:rsidR="00432FD0" w:rsidRPr="00ED7B01">
        <w:rPr>
          <w:rFonts w:asciiTheme="minorHAnsi" w:hAnsiTheme="minorHAnsi" w:cstheme="minorHAnsi"/>
          <w:sz w:val="22"/>
          <w:szCs w:val="22"/>
        </w:rPr>
        <w:t>un montant moyen de l’investissement par projet</w:t>
      </w:r>
      <w:r w:rsidRPr="00ED7B01">
        <w:rPr>
          <w:rFonts w:asciiTheme="minorHAnsi" w:hAnsiTheme="minorHAnsi" w:cstheme="minorHAnsi"/>
          <w:sz w:val="22"/>
          <w:szCs w:val="22"/>
        </w:rPr>
        <w:t xml:space="preserve"> en diminution</w:t>
      </w:r>
      <w:r>
        <w:rPr>
          <w:rFonts w:asciiTheme="minorHAnsi" w:hAnsiTheme="minorHAnsi" w:cstheme="minorHAnsi"/>
          <w:sz w:val="22"/>
          <w:szCs w:val="22"/>
        </w:rPr>
        <w:t xml:space="preserve">, bien qu’en ligne avec </w:t>
      </w:r>
      <w:r w:rsidR="0003419C">
        <w:rPr>
          <w:rFonts w:asciiTheme="minorHAnsi" w:hAnsiTheme="minorHAnsi" w:cstheme="minorHAnsi"/>
          <w:sz w:val="22"/>
          <w:szCs w:val="22"/>
        </w:rPr>
        <w:t>la moyenne nationale : 1 168 847</w:t>
      </w:r>
      <w:r>
        <w:rPr>
          <w:rFonts w:asciiTheme="minorHAnsi" w:hAnsiTheme="minorHAnsi" w:cstheme="minorHAnsi"/>
          <w:sz w:val="22"/>
          <w:szCs w:val="22"/>
        </w:rPr>
        <w:t xml:space="preserve"> MRO en 2011 pour </w:t>
      </w:r>
      <w:r w:rsidR="00B02A49">
        <w:rPr>
          <w:rFonts w:asciiTheme="minorHAnsi" w:hAnsiTheme="minorHAnsi" w:cstheme="minorHAnsi"/>
          <w:sz w:val="22"/>
          <w:szCs w:val="22"/>
        </w:rPr>
        <w:t>964 890 MRO en 2012.</w:t>
      </w:r>
    </w:p>
    <w:p w:rsidR="00432FD0" w:rsidRPr="00ED7B01" w:rsidRDefault="00432FD0" w:rsidP="00432FD0">
      <w:pPr>
        <w:jc w:val="both"/>
        <w:rPr>
          <w:rFonts w:asciiTheme="minorHAnsi" w:hAnsiTheme="minorHAnsi" w:cstheme="minorHAnsi"/>
          <w:sz w:val="22"/>
          <w:szCs w:val="22"/>
        </w:rPr>
      </w:pPr>
    </w:p>
    <w:p w:rsidR="00432FD0" w:rsidRPr="00ED7B01" w:rsidRDefault="00432FD0" w:rsidP="00432FD0">
      <w:pPr>
        <w:jc w:val="both"/>
        <w:rPr>
          <w:rFonts w:asciiTheme="minorHAnsi" w:hAnsiTheme="minorHAnsi" w:cstheme="minorHAnsi"/>
          <w:sz w:val="22"/>
          <w:szCs w:val="22"/>
        </w:rPr>
      </w:pPr>
    </w:p>
    <w:p w:rsidR="00432FD0" w:rsidRPr="00CD57B8" w:rsidRDefault="00432FD0" w:rsidP="00432FD0">
      <w:pPr>
        <w:jc w:val="both"/>
        <w:rPr>
          <w:rFonts w:asciiTheme="minorHAnsi" w:hAnsiTheme="minorHAnsi" w:cstheme="minorHAnsi"/>
          <w:sz w:val="22"/>
          <w:szCs w:val="22"/>
        </w:rPr>
      </w:pPr>
    </w:p>
    <w:p w:rsidR="00432FD0" w:rsidRPr="00CD57B8" w:rsidRDefault="00432FD0" w:rsidP="00432FD0">
      <w:pPr>
        <w:jc w:val="both"/>
        <w:rPr>
          <w:rFonts w:asciiTheme="minorHAnsi" w:hAnsiTheme="minorHAnsi" w:cstheme="minorHAnsi"/>
          <w:sz w:val="22"/>
          <w:szCs w:val="22"/>
        </w:rPr>
      </w:pPr>
    </w:p>
    <w:p w:rsidR="00432FD0" w:rsidRPr="00CD57B8" w:rsidRDefault="00432FD0" w:rsidP="00432FD0">
      <w:pPr>
        <w:jc w:val="both"/>
        <w:rPr>
          <w:rFonts w:asciiTheme="minorHAnsi" w:hAnsiTheme="minorHAnsi" w:cstheme="minorHAnsi"/>
          <w:sz w:val="22"/>
          <w:szCs w:val="22"/>
        </w:rPr>
      </w:pPr>
      <w:r w:rsidRPr="003F7B64">
        <w:rPr>
          <w:noProof/>
          <w:szCs w:val="22"/>
        </w:rPr>
        <w:drawing>
          <wp:inline distT="0" distB="0" distL="0" distR="0">
            <wp:extent cx="6645910" cy="3091307"/>
            <wp:effectExtent l="19050" t="0" r="2540" b="0"/>
            <wp:docPr id="183"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6" cstate="print"/>
                    <a:srcRect/>
                    <a:stretch>
                      <a:fillRect/>
                    </a:stretch>
                  </pic:blipFill>
                  <pic:spPr bwMode="auto">
                    <a:xfrm>
                      <a:off x="0" y="0"/>
                      <a:ext cx="6645910" cy="3091307"/>
                    </a:xfrm>
                    <a:prstGeom prst="rect">
                      <a:avLst/>
                    </a:prstGeom>
                    <a:noFill/>
                    <a:ln w="9525">
                      <a:noFill/>
                      <a:miter lim="800000"/>
                      <a:headEnd/>
                      <a:tailEnd/>
                    </a:ln>
                  </pic:spPr>
                </pic:pic>
              </a:graphicData>
            </a:graphic>
          </wp:inline>
        </w:drawing>
      </w:r>
    </w:p>
    <w:p w:rsidR="00432FD0" w:rsidRPr="00CD57B8" w:rsidRDefault="00432FD0" w:rsidP="00432FD0">
      <w:pPr>
        <w:jc w:val="both"/>
        <w:rPr>
          <w:rFonts w:asciiTheme="minorHAnsi" w:hAnsiTheme="minorHAnsi" w:cstheme="minorHAnsi"/>
          <w:sz w:val="22"/>
          <w:szCs w:val="22"/>
        </w:rPr>
      </w:pPr>
    </w:p>
    <w:p w:rsidR="00432FD0" w:rsidRDefault="00432FD0" w:rsidP="00432FD0">
      <w:pPr>
        <w:jc w:val="both"/>
        <w:rPr>
          <w:rFonts w:asciiTheme="minorHAnsi" w:hAnsiTheme="minorHAnsi" w:cstheme="minorHAnsi"/>
          <w:sz w:val="22"/>
          <w:szCs w:val="22"/>
        </w:rPr>
      </w:pPr>
      <w:r w:rsidRPr="00CD57B8">
        <w:rPr>
          <w:rFonts w:asciiTheme="minorHAnsi" w:hAnsiTheme="minorHAnsi" w:cstheme="minorHAnsi"/>
          <w:b/>
          <w:sz w:val="22"/>
          <w:szCs w:val="22"/>
        </w:rPr>
        <w:t>En termes de priorités d’investissement</w:t>
      </w:r>
      <w:r w:rsidRPr="00CD57B8">
        <w:rPr>
          <w:rFonts w:asciiTheme="minorHAnsi" w:hAnsiTheme="minorHAnsi" w:cstheme="minorHAnsi"/>
          <w:sz w:val="22"/>
          <w:szCs w:val="22"/>
        </w:rPr>
        <w:t xml:space="preserve">, la </w:t>
      </w:r>
      <w:r w:rsidR="001246CD">
        <w:rPr>
          <w:rFonts w:asciiTheme="minorHAnsi" w:hAnsiTheme="minorHAnsi" w:cstheme="minorHAnsi"/>
          <w:sz w:val="22"/>
          <w:szCs w:val="22"/>
        </w:rPr>
        <w:t>Wilaya</w:t>
      </w:r>
      <w:r w:rsidRPr="00CD57B8">
        <w:rPr>
          <w:rFonts w:asciiTheme="minorHAnsi" w:hAnsiTheme="minorHAnsi" w:cstheme="minorHAnsi"/>
          <w:sz w:val="22"/>
          <w:szCs w:val="22"/>
        </w:rPr>
        <w:t xml:space="preserve"> du </w:t>
      </w:r>
      <w:proofErr w:type="spellStart"/>
      <w:r w:rsidRPr="00CD57B8">
        <w:rPr>
          <w:rFonts w:asciiTheme="minorHAnsi" w:hAnsiTheme="minorHAnsi" w:cstheme="minorHAnsi"/>
          <w:sz w:val="22"/>
          <w:szCs w:val="22"/>
        </w:rPr>
        <w:t>Gorgol</w:t>
      </w:r>
      <w:proofErr w:type="spellEnd"/>
      <w:r w:rsidRPr="00CD57B8">
        <w:rPr>
          <w:rFonts w:asciiTheme="minorHAnsi" w:hAnsiTheme="minorHAnsi" w:cstheme="minorHAnsi"/>
          <w:sz w:val="22"/>
          <w:szCs w:val="22"/>
        </w:rPr>
        <w:t xml:space="preserve"> consacre la part la plus importante de ses engagements au se</w:t>
      </w:r>
      <w:r w:rsidR="00B02A49">
        <w:rPr>
          <w:rFonts w:asciiTheme="minorHAnsi" w:hAnsiTheme="minorHAnsi" w:cstheme="minorHAnsi"/>
          <w:sz w:val="22"/>
          <w:szCs w:val="22"/>
        </w:rPr>
        <w:t>cteur de l’éducation (26,44% des engagements pour 63 771 290 MRO, 75 projets</w:t>
      </w:r>
      <w:r w:rsidRPr="00CD57B8">
        <w:rPr>
          <w:rFonts w:asciiTheme="minorHAnsi" w:hAnsiTheme="minorHAnsi" w:cstheme="minorHAnsi"/>
          <w:sz w:val="22"/>
          <w:szCs w:val="22"/>
        </w:rPr>
        <w:t xml:space="preserve">). </w:t>
      </w:r>
      <w:r w:rsidR="00B02A49">
        <w:rPr>
          <w:rFonts w:asciiTheme="minorHAnsi" w:hAnsiTheme="minorHAnsi" w:cstheme="minorHAnsi"/>
          <w:sz w:val="22"/>
          <w:szCs w:val="22"/>
        </w:rPr>
        <w:t xml:space="preserve">C’était également le cas pour les </w:t>
      </w:r>
      <w:r w:rsidRPr="00CD57B8">
        <w:rPr>
          <w:rFonts w:asciiTheme="minorHAnsi" w:hAnsiTheme="minorHAnsi" w:cstheme="minorHAnsi"/>
          <w:sz w:val="22"/>
          <w:szCs w:val="22"/>
        </w:rPr>
        <w:t>exerci</w:t>
      </w:r>
      <w:r w:rsidR="00B02A49">
        <w:rPr>
          <w:rFonts w:asciiTheme="minorHAnsi" w:hAnsiTheme="minorHAnsi" w:cstheme="minorHAnsi"/>
          <w:sz w:val="22"/>
          <w:szCs w:val="22"/>
        </w:rPr>
        <w:t>ces 2011 et 2010. En deuxième</w:t>
      </w:r>
      <w:r w:rsidRPr="00CD57B8">
        <w:rPr>
          <w:rFonts w:asciiTheme="minorHAnsi" w:hAnsiTheme="minorHAnsi" w:cstheme="minorHAnsi"/>
          <w:sz w:val="22"/>
          <w:szCs w:val="22"/>
        </w:rPr>
        <w:t xml:space="preserve"> position se situe le secteur de l’hydraulique</w:t>
      </w:r>
      <w:r w:rsidR="00B02A49">
        <w:rPr>
          <w:rFonts w:asciiTheme="minorHAnsi" w:hAnsiTheme="minorHAnsi" w:cstheme="minorHAnsi"/>
          <w:sz w:val="22"/>
          <w:szCs w:val="22"/>
        </w:rPr>
        <w:t xml:space="preserve"> (16,91% pour 40 791 260 MRO, 40 projets)</w:t>
      </w:r>
      <w:r w:rsidRPr="00CD57B8">
        <w:rPr>
          <w:rFonts w:asciiTheme="minorHAnsi" w:hAnsiTheme="minorHAnsi" w:cstheme="minorHAnsi"/>
          <w:sz w:val="22"/>
          <w:szCs w:val="22"/>
        </w:rPr>
        <w:t>, puis en troisième celui d</w:t>
      </w:r>
      <w:r w:rsidR="00B02A49">
        <w:rPr>
          <w:rFonts w:asciiTheme="minorHAnsi" w:hAnsiTheme="minorHAnsi" w:cstheme="minorHAnsi"/>
          <w:sz w:val="22"/>
          <w:szCs w:val="22"/>
        </w:rPr>
        <w:t>es bâtiments communaux, passé pour mémoire au premier rang au niveau national en 2012 (37 projets à hauteur de 16,24% des engagements, soit 39 174 332 MRO).</w:t>
      </w:r>
    </w:p>
    <w:p w:rsidR="00432FD0" w:rsidRDefault="00432FD0" w:rsidP="00432FD0">
      <w:pPr>
        <w:jc w:val="both"/>
        <w:rPr>
          <w:rFonts w:asciiTheme="minorHAnsi" w:hAnsiTheme="minorHAnsi" w:cstheme="minorHAnsi"/>
          <w:sz w:val="22"/>
          <w:szCs w:val="22"/>
        </w:rPr>
      </w:pPr>
    </w:p>
    <w:p w:rsidR="00432FD0" w:rsidRDefault="00432FD0" w:rsidP="00432FD0">
      <w:pPr>
        <w:jc w:val="both"/>
        <w:rPr>
          <w:rFonts w:asciiTheme="minorHAnsi" w:hAnsiTheme="minorHAnsi" w:cstheme="minorHAnsi"/>
          <w:sz w:val="22"/>
          <w:szCs w:val="22"/>
        </w:rPr>
      </w:pPr>
      <w:r w:rsidRPr="00774D2E">
        <w:rPr>
          <w:noProof/>
        </w:rPr>
        <w:drawing>
          <wp:inline distT="0" distB="0" distL="0" distR="0">
            <wp:extent cx="6143624" cy="2619375"/>
            <wp:effectExtent l="19050" t="0" r="0" b="0"/>
            <wp:docPr id="185"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cstate="print"/>
                    <a:stretch>
                      <a:fillRect/>
                    </a:stretch>
                  </pic:blipFill>
                  <pic:spPr>
                    <a:xfrm>
                      <a:off x="0" y="0"/>
                      <a:ext cx="6142858" cy="2619048"/>
                    </a:xfrm>
                    <a:prstGeom prst="rect">
                      <a:avLst/>
                    </a:prstGeom>
                  </pic:spPr>
                </pic:pic>
              </a:graphicData>
            </a:graphic>
          </wp:inline>
        </w:drawing>
      </w:r>
    </w:p>
    <w:p w:rsidR="00432FD0" w:rsidRDefault="00432FD0" w:rsidP="00432FD0">
      <w:pPr>
        <w:jc w:val="both"/>
        <w:rPr>
          <w:rFonts w:asciiTheme="minorHAnsi" w:hAnsiTheme="minorHAnsi" w:cstheme="minorHAnsi"/>
          <w:sz w:val="22"/>
          <w:szCs w:val="22"/>
        </w:rPr>
      </w:pPr>
    </w:p>
    <w:p w:rsidR="00B02A49" w:rsidRDefault="00B02A49" w:rsidP="00432FD0">
      <w:pPr>
        <w:jc w:val="both"/>
        <w:rPr>
          <w:rFonts w:asciiTheme="minorHAnsi" w:hAnsiTheme="minorHAnsi" w:cstheme="minorHAnsi"/>
          <w:sz w:val="22"/>
          <w:szCs w:val="22"/>
        </w:rPr>
      </w:pPr>
    </w:p>
    <w:p w:rsidR="00B02A49" w:rsidRDefault="00B02A49" w:rsidP="00B02A49">
      <w:pPr>
        <w:jc w:val="both"/>
        <w:rPr>
          <w:rFonts w:asciiTheme="minorHAnsi" w:hAnsiTheme="minorHAnsi" w:cstheme="minorHAnsi"/>
          <w:b/>
          <w:sz w:val="22"/>
          <w:szCs w:val="22"/>
          <w:u w:val="single"/>
        </w:rPr>
      </w:pPr>
    </w:p>
    <w:p w:rsidR="00432FD0" w:rsidRDefault="00432FD0" w:rsidP="00B02A49">
      <w:pPr>
        <w:jc w:val="both"/>
        <w:rPr>
          <w:rFonts w:asciiTheme="minorHAnsi" w:hAnsiTheme="minorHAnsi" w:cstheme="minorHAnsi"/>
          <w:b/>
          <w:sz w:val="22"/>
          <w:szCs w:val="22"/>
          <w:u w:val="single"/>
        </w:rPr>
      </w:pPr>
      <w:r w:rsidRPr="00B02A49">
        <w:rPr>
          <w:rFonts w:asciiTheme="minorHAnsi" w:hAnsiTheme="minorHAnsi" w:cstheme="minorHAnsi"/>
          <w:b/>
          <w:sz w:val="22"/>
          <w:szCs w:val="22"/>
          <w:u w:val="single"/>
        </w:rPr>
        <w:t xml:space="preserve">Analyse des données par </w:t>
      </w:r>
      <w:proofErr w:type="spellStart"/>
      <w:r w:rsidR="001246CD">
        <w:rPr>
          <w:rFonts w:asciiTheme="minorHAnsi" w:hAnsiTheme="minorHAnsi" w:cstheme="minorHAnsi"/>
          <w:b/>
          <w:sz w:val="22"/>
          <w:szCs w:val="22"/>
          <w:u w:val="single"/>
        </w:rPr>
        <w:t>Moughataa</w:t>
      </w:r>
      <w:proofErr w:type="spellEnd"/>
    </w:p>
    <w:p w:rsidR="004814B5" w:rsidRPr="00B02A49" w:rsidRDefault="004814B5" w:rsidP="00B02A49">
      <w:pPr>
        <w:jc w:val="both"/>
        <w:rPr>
          <w:rFonts w:asciiTheme="minorHAnsi" w:hAnsiTheme="minorHAnsi" w:cstheme="minorHAnsi"/>
          <w:b/>
          <w:sz w:val="22"/>
          <w:szCs w:val="22"/>
          <w:u w:val="single"/>
        </w:rPr>
      </w:pPr>
    </w:p>
    <w:p w:rsidR="00432FD0" w:rsidRPr="00CD57B8" w:rsidRDefault="00432FD0" w:rsidP="00432FD0">
      <w:pPr>
        <w:jc w:val="both"/>
        <w:rPr>
          <w:rFonts w:asciiTheme="minorHAnsi" w:hAnsiTheme="minorHAnsi" w:cstheme="minorHAnsi"/>
          <w:b/>
          <w:sz w:val="22"/>
          <w:szCs w:val="22"/>
        </w:rPr>
      </w:pPr>
    </w:p>
    <w:p w:rsidR="00432FD0" w:rsidRDefault="001246CD" w:rsidP="00432FD0">
      <w:pPr>
        <w:jc w:val="center"/>
        <w:rPr>
          <w:rFonts w:asciiTheme="minorHAnsi" w:hAnsiTheme="minorHAnsi" w:cstheme="minorHAnsi"/>
          <w:b/>
          <w:sz w:val="22"/>
          <w:szCs w:val="22"/>
          <w:u w:val="single"/>
        </w:rPr>
      </w:pPr>
      <w:proofErr w:type="spellStart"/>
      <w:r>
        <w:rPr>
          <w:rFonts w:asciiTheme="minorHAnsi" w:hAnsiTheme="minorHAnsi" w:cstheme="minorHAnsi"/>
          <w:b/>
          <w:sz w:val="22"/>
          <w:szCs w:val="22"/>
          <w:u w:val="single"/>
        </w:rPr>
        <w:t>Moughataa</w:t>
      </w:r>
      <w:proofErr w:type="spellEnd"/>
      <w:r w:rsidR="00432FD0" w:rsidRPr="00CD57B8">
        <w:rPr>
          <w:rFonts w:asciiTheme="minorHAnsi" w:hAnsiTheme="minorHAnsi" w:cstheme="minorHAnsi"/>
          <w:b/>
          <w:sz w:val="22"/>
          <w:szCs w:val="22"/>
          <w:u w:val="single"/>
        </w:rPr>
        <w:t xml:space="preserve"> de Kaédi</w:t>
      </w:r>
    </w:p>
    <w:p w:rsidR="00B02A49" w:rsidRPr="00CD57B8" w:rsidRDefault="00B02A49" w:rsidP="00432FD0">
      <w:pPr>
        <w:jc w:val="center"/>
        <w:rPr>
          <w:rFonts w:asciiTheme="minorHAnsi" w:hAnsiTheme="minorHAnsi" w:cstheme="minorHAnsi"/>
          <w:sz w:val="22"/>
          <w:szCs w:val="22"/>
          <w:u w:val="single"/>
        </w:rPr>
      </w:pPr>
    </w:p>
    <w:p w:rsidR="004814B5" w:rsidRPr="00CD57B8" w:rsidRDefault="00432FD0" w:rsidP="004814B5">
      <w:pPr>
        <w:jc w:val="both"/>
        <w:rPr>
          <w:rFonts w:asciiTheme="minorHAnsi" w:hAnsiTheme="minorHAnsi" w:cstheme="minorHAnsi"/>
          <w:sz w:val="22"/>
          <w:szCs w:val="22"/>
        </w:rPr>
      </w:pPr>
      <w:r w:rsidRPr="00CD57B8">
        <w:rPr>
          <w:rFonts w:asciiTheme="minorHAnsi" w:hAnsiTheme="minorHAnsi" w:cstheme="minorHAnsi"/>
          <w:sz w:val="22"/>
          <w:szCs w:val="22"/>
        </w:rPr>
        <w:t xml:space="preserve">Les communes de la </w:t>
      </w:r>
      <w:proofErr w:type="spellStart"/>
      <w:r w:rsidR="001246CD">
        <w:rPr>
          <w:rFonts w:asciiTheme="minorHAnsi" w:hAnsiTheme="minorHAnsi" w:cstheme="minorHAnsi"/>
          <w:sz w:val="22"/>
          <w:szCs w:val="22"/>
        </w:rPr>
        <w:t>Moughataa</w:t>
      </w:r>
      <w:proofErr w:type="spellEnd"/>
      <w:r w:rsidRPr="00CD57B8">
        <w:rPr>
          <w:rFonts w:asciiTheme="minorHAnsi" w:hAnsiTheme="minorHAnsi" w:cstheme="minorHAnsi"/>
          <w:sz w:val="22"/>
          <w:szCs w:val="22"/>
        </w:rPr>
        <w:t xml:space="preserve"> de K</w:t>
      </w:r>
      <w:r w:rsidR="004814B5">
        <w:rPr>
          <w:rFonts w:asciiTheme="minorHAnsi" w:hAnsiTheme="minorHAnsi" w:cstheme="minorHAnsi"/>
          <w:sz w:val="22"/>
          <w:szCs w:val="22"/>
        </w:rPr>
        <w:t>aédi ont bénéficié d’un FRD 2012</w:t>
      </w:r>
      <w:r w:rsidRPr="00CD57B8">
        <w:rPr>
          <w:rFonts w:asciiTheme="minorHAnsi" w:hAnsiTheme="minorHAnsi" w:cstheme="minorHAnsi"/>
          <w:sz w:val="22"/>
          <w:szCs w:val="22"/>
        </w:rPr>
        <w:t xml:space="preserve"> pour l’équipem</w:t>
      </w:r>
      <w:r w:rsidR="004814B5">
        <w:rPr>
          <w:rFonts w:asciiTheme="minorHAnsi" w:hAnsiTheme="minorHAnsi" w:cstheme="minorHAnsi"/>
          <w:sz w:val="22"/>
          <w:szCs w:val="22"/>
        </w:rPr>
        <w:t>ent de 77 537 579 MRO (+16,67 % par rapport à 2011). Elles ont engagé 74 927 983</w:t>
      </w:r>
      <w:r w:rsidRPr="00CD57B8">
        <w:rPr>
          <w:rFonts w:asciiTheme="minorHAnsi" w:hAnsiTheme="minorHAnsi" w:cstheme="minorHAnsi"/>
          <w:sz w:val="22"/>
          <w:szCs w:val="22"/>
        </w:rPr>
        <w:t xml:space="preserve"> MRO pour la réalisation de </w:t>
      </w:r>
      <w:r w:rsidR="004814B5">
        <w:rPr>
          <w:rFonts w:asciiTheme="minorHAnsi" w:hAnsiTheme="minorHAnsi" w:cstheme="minorHAnsi"/>
          <w:b/>
          <w:sz w:val="22"/>
          <w:szCs w:val="22"/>
        </w:rPr>
        <w:t>63</w:t>
      </w:r>
      <w:r w:rsidRPr="00AF2B88">
        <w:rPr>
          <w:rFonts w:asciiTheme="minorHAnsi" w:hAnsiTheme="minorHAnsi" w:cstheme="minorHAnsi"/>
          <w:b/>
          <w:sz w:val="22"/>
          <w:szCs w:val="22"/>
        </w:rPr>
        <w:t xml:space="preserve"> projets</w:t>
      </w:r>
      <w:r w:rsidRPr="00CD57B8">
        <w:rPr>
          <w:rFonts w:asciiTheme="minorHAnsi" w:hAnsiTheme="minorHAnsi" w:cstheme="minorHAnsi"/>
          <w:sz w:val="22"/>
          <w:szCs w:val="22"/>
        </w:rPr>
        <w:t xml:space="preserve">, soit un </w:t>
      </w:r>
      <w:r w:rsidR="004814B5">
        <w:rPr>
          <w:rFonts w:asciiTheme="minorHAnsi" w:hAnsiTheme="minorHAnsi" w:cstheme="minorHAnsi"/>
          <w:b/>
          <w:sz w:val="22"/>
          <w:szCs w:val="22"/>
        </w:rPr>
        <w:t>taux d’absorption de 96,63</w:t>
      </w:r>
      <w:r w:rsidRPr="00CD57B8">
        <w:rPr>
          <w:rFonts w:asciiTheme="minorHAnsi" w:hAnsiTheme="minorHAnsi" w:cstheme="minorHAnsi"/>
          <w:b/>
          <w:sz w:val="22"/>
          <w:szCs w:val="22"/>
        </w:rPr>
        <w:t xml:space="preserve"> %.</w:t>
      </w:r>
      <w:r w:rsidR="004814B5" w:rsidRPr="004814B5">
        <w:rPr>
          <w:rFonts w:asciiTheme="minorHAnsi" w:hAnsiTheme="minorHAnsi" w:cstheme="minorHAnsi"/>
          <w:sz w:val="22"/>
          <w:szCs w:val="22"/>
        </w:rPr>
        <w:t xml:space="preserve"> </w:t>
      </w:r>
      <w:r w:rsidR="004814B5" w:rsidRPr="00CD57B8">
        <w:rPr>
          <w:rFonts w:asciiTheme="minorHAnsi" w:hAnsiTheme="minorHAnsi" w:cstheme="minorHAnsi"/>
          <w:sz w:val="22"/>
          <w:szCs w:val="22"/>
        </w:rPr>
        <w:t>Ce taux est globalement s</w:t>
      </w:r>
      <w:r w:rsidR="004814B5">
        <w:rPr>
          <w:rFonts w:asciiTheme="minorHAnsi" w:hAnsiTheme="minorHAnsi" w:cstheme="minorHAnsi"/>
          <w:sz w:val="22"/>
          <w:szCs w:val="22"/>
        </w:rPr>
        <w:t>atisfaisant, légèrement supérieur au taux national.</w:t>
      </w:r>
    </w:p>
    <w:p w:rsidR="00432FD0" w:rsidRPr="00CD57B8" w:rsidRDefault="00432FD0" w:rsidP="00432FD0">
      <w:pPr>
        <w:jc w:val="both"/>
        <w:rPr>
          <w:rFonts w:asciiTheme="minorHAnsi" w:hAnsiTheme="minorHAnsi" w:cstheme="minorHAnsi"/>
          <w:sz w:val="22"/>
          <w:szCs w:val="22"/>
        </w:rPr>
      </w:pPr>
    </w:p>
    <w:p w:rsidR="00432FD0" w:rsidRPr="00CD57B8" w:rsidRDefault="00432FD0" w:rsidP="00432FD0">
      <w:pPr>
        <w:jc w:val="both"/>
        <w:rPr>
          <w:rFonts w:asciiTheme="minorHAnsi" w:hAnsiTheme="minorHAnsi" w:cstheme="minorHAnsi"/>
          <w:sz w:val="22"/>
          <w:szCs w:val="22"/>
        </w:rPr>
      </w:pPr>
    </w:p>
    <w:p w:rsidR="00432FD0" w:rsidRPr="00CD57B8" w:rsidRDefault="00432FD0" w:rsidP="00432FD0">
      <w:pPr>
        <w:jc w:val="both"/>
        <w:rPr>
          <w:rFonts w:asciiTheme="minorHAnsi" w:hAnsiTheme="minorHAnsi" w:cstheme="minorHAnsi"/>
          <w:sz w:val="22"/>
          <w:szCs w:val="22"/>
        </w:rPr>
      </w:pPr>
    </w:p>
    <w:p w:rsidR="00432FD0" w:rsidRDefault="00432FD0" w:rsidP="00432FD0">
      <w:pPr>
        <w:jc w:val="both"/>
        <w:rPr>
          <w:rFonts w:asciiTheme="minorHAnsi" w:hAnsiTheme="minorHAnsi" w:cstheme="minorHAnsi"/>
          <w:sz w:val="22"/>
          <w:szCs w:val="22"/>
        </w:rPr>
      </w:pPr>
      <w:r w:rsidRPr="00774D2E">
        <w:rPr>
          <w:noProof/>
        </w:rPr>
        <w:drawing>
          <wp:inline distT="0" distB="0" distL="0" distR="0">
            <wp:extent cx="3038475" cy="3429000"/>
            <wp:effectExtent l="19050" t="0" r="0" b="0"/>
            <wp:docPr id="186"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cstate="print"/>
                    <a:stretch>
                      <a:fillRect/>
                    </a:stretch>
                  </pic:blipFill>
                  <pic:spPr>
                    <a:xfrm>
                      <a:off x="0" y="0"/>
                      <a:ext cx="3038096" cy="3428573"/>
                    </a:xfrm>
                    <a:prstGeom prst="rect">
                      <a:avLst/>
                    </a:prstGeom>
                  </pic:spPr>
                </pic:pic>
              </a:graphicData>
            </a:graphic>
          </wp:inline>
        </w:drawing>
      </w:r>
      <w:r w:rsidRPr="00371ADB">
        <w:rPr>
          <w:rFonts w:asciiTheme="minorHAnsi" w:hAnsiTheme="minorHAnsi" w:cstheme="minorHAnsi"/>
          <w:noProof/>
          <w:sz w:val="22"/>
          <w:szCs w:val="22"/>
        </w:rPr>
        <w:drawing>
          <wp:inline distT="0" distB="0" distL="0" distR="0">
            <wp:extent cx="3505200" cy="3429000"/>
            <wp:effectExtent l="19050" t="0" r="0" b="0"/>
            <wp:docPr id="187"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cstate="print"/>
                    <a:stretch>
                      <a:fillRect/>
                    </a:stretch>
                  </pic:blipFill>
                  <pic:spPr>
                    <a:xfrm>
                      <a:off x="0" y="0"/>
                      <a:ext cx="3505200" cy="3429000"/>
                    </a:xfrm>
                    <a:prstGeom prst="rect">
                      <a:avLst/>
                    </a:prstGeom>
                  </pic:spPr>
                </pic:pic>
              </a:graphicData>
            </a:graphic>
          </wp:inline>
        </w:drawing>
      </w:r>
    </w:p>
    <w:p w:rsidR="00E7545A" w:rsidRDefault="00E7545A" w:rsidP="00432FD0">
      <w:pPr>
        <w:jc w:val="both"/>
        <w:rPr>
          <w:rFonts w:asciiTheme="minorHAnsi" w:hAnsiTheme="minorHAnsi" w:cstheme="minorHAnsi"/>
          <w:sz w:val="22"/>
          <w:szCs w:val="22"/>
        </w:rPr>
      </w:pPr>
      <w:r w:rsidRPr="00E7545A">
        <w:rPr>
          <w:noProof/>
          <w:szCs w:val="22"/>
        </w:rPr>
        <w:drawing>
          <wp:inline distT="0" distB="0" distL="0" distR="0">
            <wp:extent cx="6645910" cy="1896276"/>
            <wp:effectExtent l="19050" t="0" r="2540" b="0"/>
            <wp:docPr id="106" name="Imag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20" cstate="print"/>
                    <a:srcRect/>
                    <a:stretch>
                      <a:fillRect/>
                    </a:stretch>
                  </pic:blipFill>
                  <pic:spPr bwMode="auto">
                    <a:xfrm>
                      <a:off x="0" y="0"/>
                      <a:ext cx="6645910" cy="1896276"/>
                    </a:xfrm>
                    <a:prstGeom prst="rect">
                      <a:avLst/>
                    </a:prstGeom>
                    <a:noFill/>
                    <a:ln w="9525">
                      <a:noFill/>
                      <a:miter lim="800000"/>
                      <a:headEnd/>
                      <a:tailEnd/>
                    </a:ln>
                  </pic:spPr>
                </pic:pic>
              </a:graphicData>
            </a:graphic>
          </wp:inline>
        </w:drawing>
      </w:r>
    </w:p>
    <w:p w:rsidR="00E7545A" w:rsidRDefault="00E7545A" w:rsidP="00E7545A">
      <w:pPr>
        <w:jc w:val="both"/>
        <w:rPr>
          <w:rFonts w:asciiTheme="minorHAnsi" w:hAnsiTheme="minorHAnsi" w:cstheme="minorHAnsi"/>
          <w:sz w:val="22"/>
          <w:szCs w:val="22"/>
        </w:rPr>
      </w:pPr>
    </w:p>
    <w:p w:rsidR="00E7545A" w:rsidRDefault="00E7545A" w:rsidP="00E7545A">
      <w:pPr>
        <w:jc w:val="both"/>
        <w:rPr>
          <w:rFonts w:asciiTheme="minorHAnsi" w:hAnsiTheme="minorHAnsi" w:cstheme="minorHAnsi"/>
          <w:sz w:val="22"/>
          <w:szCs w:val="22"/>
        </w:rPr>
      </w:pPr>
      <w:r w:rsidRPr="00CD57B8">
        <w:rPr>
          <w:rFonts w:asciiTheme="minorHAnsi" w:hAnsiTheme="minorHAnsi" w:cstheme="minorHAnsi"/>
          <w:sz w:val="22"/>
          <w:szCs w:val="22"/>
        </w:rPr>
        <w:t xml:space="preserve">Le </w:t>
      </w:r>
      <w:r>
        <w:rPr>
          <w:rFonts w:asciiTheme="minorHAnsi" w:hAnsiTheme="minorHAnsi" w:cstheme="minorHAnsi"/>
          <w:sz w:val="22"/>
          <w:szCs w:val="22"/>
        </w:rPr>
        <w:t>montant moyen par projet</w:t>
      </w:r>
      <w:r w:rsidRPr="00CD57B8">
        <w:rPr>
          <w:rFonts w:asciiTheme="minorHAnsi" w:hAnsiTheme="minorHAnsi" w:cstheme="minorHAnsi"/>
          <w:sz w:val="22"/>
          <w:szCs w:val="22"/>
        </w:rPr>
        <w:t xml:space="preserve"> est assez important, </w:t>
      </w:r>
      <w:r>
        <w:rPr>
          <w:rFonts w:asciiTheme="minorHAnsi" w:hAnsiTheme="minorHAnsi" w:cstheme="minorHAnsi"/>
          <w:sz w:val="22"/>
          <w:szCs w:val="22"/>
        </w:rPr>
        <w:t>supérieur aux moyennes régionale et nationale, bien qu’en baisse par rapport à l’exercice 2011 : 1 452 178 MRO en 2011 pour passer à 1 189 333 MRO en 2012.</w:t>
      </w:r>
    </w:p>
    <w:p w:rsidR="00E7545A" w:rsidRDefault="00E7545A" w:rsidP="00432FD0">
      <w:pPr>
        <w:jc w:val="both"/>
        <w:rPr>
          <w:rFonts w:asciiTheme="minorHAnsi" w:hAnsiTheme="minorHAnsi" w:cstheme="minorHAnsi"/>
          <w:sz w:val="22"/>
          <w:szCs w:val="22"/>
        </w:rPr>
      </w:pPr>
    </w:p>
    <w:p w:rsidR="00E7545A" w:rsidRPr="00CD57B8" w:rsidRDefault="00E7545A" w:rsidP="00432FD0">
      <w:pPr>
        <w:jc w:val="both"/>
        <w:rPr>
          <w:rFonts w:asciiTheme="minorHAnsi" w:hAnsiTheme="minorHAnsi" w:cstheme="minorHAnsi"/>
          <w:sz w:val="22"/>
          <w:szCs w:val="22"/>
        </w:rPr>
      </w:pPr>
    </w:p>
    <w:p w:rsidR="00432FD0" w:rsidRDefault="00432FD0" w:rsidP="00432FD0">
      <w:pPr>
        <w:jc w:val="both"/>
        <w:rPr>
          <w:rFonts w:asciiTheme="minorHAnsi" w:hAnsiTheme="minorHAnsi" w:cstheme="minorHAnsi"/>
          <w:b/>
          <w:sz w:val="22"/>
          <w:szCs w:val="22"/>
        </w:rPr>
      </w:pPr>
      <w:r w:rsidRPr="007425E9">
        <w:rPr>
          <w:rFonts w:asciiTheme="minorHAnsi" w:hAnsiTheme="minorHAnsi" w:cstheme="minorHAnsi"/>
          <w:b/>
          <w:noProof/>
          <w:sz w:val="22"/>
          <w:szCs w:val="22"/>
        </w:rPr>
        <w:drawing>
          <wp:inline distT="0" distB="0" distL="0" distR="0">
            <wp:extent cx="6629400" cy="2838450"/>
            <wp:effectExtent l="19050" t="0" r="0" b="0"/>
            <wp:docPr id="188"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cstate="print"/>
                    <a:stretch>
                      <a:fillRect/>
                    </a:stretch>
                  </pic:blipFill>
                  <pic:spPr>
                    <a:xfrm>
                      <a:off x="0" y="0"/>
                      <a:ext cx="6628572" cy="2838095"/>
                    </a:xfrm>
                    <a:prstGeom prst="rect">
                      <a:avLst/>
                    </a:prstGeom>
                  </pic:spPr>
                </pic:pic>
              </a:graphicData>
            </a:graphic>
          </wp:inline>
        </w:drawing>
      </w:r>
    </w:p>
    <w:p w:rsidR="00432FD0" w:rsidRPr="00CD57B8" w:rsidRDefault="00432FD0" w:rsidP="00432FD0">
      <w:pPr>
        <w:jc w:val="both"/>
        <w:rPr>
          <w:rFonts w:asciiTheme="minorHAnsi" w:hAnsiTheme="minorHAnsi" w:cstheme="minorHAnsi"/>
          <w:sz w:val="22"/>
          <w:szCs w:val="22"/>
        </w:rPr>
      </w:pPr>
    </w:p>
    <w:p w:rsidR="00E7545A" w:rsidRDefault="00F96043" w:rsidP="00432FD0">
      <w:pPr>
        <w:jc w:val="both"/>
        <w:rPr>
          <w:rFonts w:asciiTheme="minorHAnsi" w:hAnsiTheme="minorHAnsi" w:cstheme="minorHAnsi"/>
          <w:sz w:val="22"/>
          <w:szCs w:val="22"/>
        </w:rPr>
      </w:pPr>
      <w:r w:rsidRPr="00F96043">
        <w:rPr>
          <w:noProof/>
        </w:rPr>
        <w:drawing>
          <wp:inline distT="0" distB="0" distL="0" distR="0">
            <wp:extent cx="6645910" cy="3124200"/>
            <wp:effectExtent l="19050" t="0" r="2540" b="0"/>
            <wp:docPr id="141"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cstate="print"/>
                    <a:stretch>
                      <a:fillRect/>
                    </a:stretch>
                  </pic:blipFill>
                  <pic:spPr>
                    <a:xfrm>
                      <a:off x="0" y="0"/>
                      <a:ext cx="6648267" cy="3125308"/>
                    </a:xfrm>
                    <a:prstGeom prst="rect">
                      <a:avLst/>
                    </a:prstGeom>
                  </pic:spPr>
                </pic:pic>
              </a:graphicData>
            </a:graphic>
          </wp:inline>
        </w:drawing>
      </w:r>
    </w:p>
    <w:p w:rsidR="00F96043" w:rsidRDefault="00F96043" w:rsidP="00432FD0">
      <w:pPr>
        <w:jc w:val="both"/>
        <w:rPr>
          <w:rFonts w:asciiTheme="minorHAnsi" w:hAnsiTheme="minorHAnsi" w:cstheme="minorHAnsi"/>
          <w:sz w:val="22"/>
          <w:szCs w:val="22"/>
        </w:rPr>
      </w:pPr>
    </w:p>
    <w:p w:rsidR="0070020D" w:rsidRDefault="0070020D" w:rsidP="00432FD0">
      <w:pPr>
        <w:jc w:val="both"/>
        <w:rPr>
          <w:rFonts w:asciiTheme="minorHAnsi" w:hAnsiTheme="minorHAnsi" w:cstheme="minorHAnsi"/>
          <w:sz w:val="22"/>
          <w:szCs w:val="22"/>
        </w:rPr>
      </w:pPr>
      <w:r>
        <w:rPr>
          <w:rFonts w:asciiTheme="minorHAnsi" w:hAnsiTheme="minorHAnsi" w:cstheme="minorHAnsi"/>
          <w:sz w:val="22"/>
          <w:szCs w:val="22"/>
        </w:rPr>
        <w:t>Priorités en matière de choix d’investissement :</w:t>
      </w:r>
    </w:p>
    <w:p w:rsidR="0070020D" w:rsidRPr="0070020D" w:rsidRDefault="0070020D" w:rsidP="002F04D1">
      <w:pPr>
        <w:pStyle w:val="Paragraphedeliste"/>
        <w:numPr>
          <w:ilvl w:val="0"/>
          <w:numId w:val="11"/>
        </w:numPr>
        <w:jc w:val="both"/>
        <w:rPr>
          <w:rFonts w:asciiTheme="minorHAnsi" w:hAnsiTheme="minorHAnsi" w:cstheme="minorHAnsi"/>
          <w:sz w:val="22"/>
          <w:szCs w:val="22"/>
        </w:rPr>
      </w:pPr>
      <w:r>
        <w:rPr>
          <w:rFonts w:asciiTheme="minorHAnsi" w:hAnsiTheme="minorHAnsi" w:cstheme="minorHAnsi"/>
          <w:sz w:val="22"/>
          <w:szCs w:val="22"/>
        </w:rPr>
        <w:t>1</w:t>
      </w:r>
      <w:r w:rsidRPr="0070020D">
        <w:rPr>
          <w:rFonts w:asciiTheme="minorHAnsi" w:hAnsiTheme="minorHAnsi" w:cstheme="minorHAnsi"/>
          <w:sz w:val="22"/>
          <w:szCs w:val="22"/>
          <w:vertAlign w:val="superscript"/>
        </w:rPr>
        <w:t>er</w:t>
      </w:r>
      <w:r>
        <w:rPr>
          <w:rFonts w:asciiTheme="minorHAnsi" w:hAnsiTheme="minorHAnsi" w:cstheme="minorHAnsi"/>
          <w:sz w:val="22"/>
          <w:szCs w:val="22"/>
        </w:rPr>
        <w:t xml:space="preserve"> secteur retenu : bâtiments communaux avec 19 projets se chiffrant à 22 883 270 MRO, soit 30,54% des engagements.</w:t>
      </w:r>
    </w:p>
    <w:p w:rsidR="0070020D" w:rsidRDefault="0070020D" w:rsidP="002F04D1">
      <w:pPr>
        <w:pStyle w:val="Paragraphedeliste"/>
        <w:numPr>
          <w:ilvl w:val="0"/>
          <w:numId w:val="11"/>
        </w:numPr>
        <w:jc w:val="both"/>
        <w:rPr>
          <w:rFonts w:asciiTheme="minorHAnsi" w:hAnsiTheme="minorHAnsi" w:cstheme="minorHAnsi"/>
          <w:sz w:val="22"/>
          <w:szCs w:val="22"/>
        </w:rPr>
      </w:pPr>
      <w:r>
        <w:rPr>
          <w:rFonts w:asciiTheme="minorHAnsi" w:hAnsiTheme="minorHAnsi" w:cstheme="minorHAnsi"/>
          <w:sz w:val="22"/>
          <w:szCs w:val="22"/>
        </w:rPr>
        <w:t>2ème secteur retenu : éducation avec 18 projets pour un total de 15 070 058 MRO, soit 20,11% des engagements.</w:t>
      </w:r>
    </w:p>
    <w:p w:rsidR="0070020D" w:rsidRPr="0070020D" w:rsidRDefault="0070020D" w:rsidP="002F04D1">
      <w:pPr>
        <w:pStyle w:val="Paragraphedeliste"/>
        <w:numPr>
          <w:ilvl w:val="0"/>
          <w:numId w:val="11"/>
        </w:numPr>
        <w:jc w:val="both"/>
        <w:rPr>
          <w:rFonts w:asciiTheme="minorHAnsi" w:hAnsiTheme="minorHAnsi" w:cstheme="minorHAnsi"/>
          <w:sz w:val="22"/>
          <w:szCs w:val="22"/>
        </w:rPr>
      </w:pPr>
      <w:r>
        <w:rPr>
          <w:rFonts w:asciiTheme="minorHAnsi" w:hAnsiTheme="minorHAnsi" w:cstheme="minorHAnsi"/>
          <w:sz w:val="22"/>
          <w:szCs w:val="22"/>
        </w:rPr>
        <w:t>3</w:t>
      </w:r>
      <w:r w:rsidRPr="0070020D">
        <w:rPr>
          <w:rFonts w:asciiTheme="minorHAnsi" w:hAnsiTheme="minorHAnsi" w:cstheme="minorHAnsi"/>
          <w:sz w:val="22"/>
          <w:szCs w:val="22"/>
          <w:vertAlign w:val="superscript"/>
        </w:rPr>
        <w:t>ème</w:t>
      </w:r>
      <w:r>
        <w:rPr>
          <w:rFonts w:asciiTheme="minorHAnsi" w:hAnsiTheme="minorHAnsi" w:cstheme="minorHAnsi"/>
          <w:sz w:val="22"/>
          <w:szCs w:val="22"/>
        </w:rPr>
        <w:t xml:space="preserve"> secteur retenu : hydraulique avec 7 projets dont le coût total s’élève à 9 897 204 MRO, soit 13,21% des engagements.</w:t>
      </w:r>
    </w:p>
    <w:p w:rsidR="0070020D" w:rsidRPr="00CD57B8" w:rsidRDefault="0070020D" w:rsidP="00432FD0">
      <w:pPr>
        <w:jc w:val="both"/>
        <w:rPr>
          <w:rFonts w:asciiTheme="minorHAnsi" w:hAnsiTheme="minorHAnsi" w:cstheme="minorHAnsi"/>
          <w:b/>
          <w:sz w:val="22"/>
          <w:szCs w:val="22"/>
        </w:rPr>
      </w:pPr>
    </w:p>
    <w:p w:rsidR="00042974" w:rsidRDefault="00042974" w:rsidP="00432FD0">
      <w:pPr>
        <w:jc w:val="center"/>
        <w:rPr>
          <w:rFonts w:asciiTheme="minorHAnsi" w:hAnsiTheme="minorHAnsi" w:cstheme="minorHAnsi"/>
          <w:b/>
          <w:sz w:val="22"/>
          <w:szCs w:val="22"/>
          <w:u w:val="single"/>
        </w:rPr>
      </w:pPr>
    </w:p>
    <w:p w:rsidR="00432FD0" w:rsidRPr="00CD57B8" w:rsidRDefault="001246CD" w:rsidP="00432FD0">
      <w:pPr>
        <w:jc w:val="center"/>
        <w:rPr>
          <w:rFonts w:asciiTheme="minorHAnsi" w:hAnsiTheme="minorHAnsi" w:cstheme="minorHAnsi"/>
          <w:sz w:val="22"/>
          <w:szCs w:val="22"/>
          <w:u w:val="single"/>
        </w:rPr>
      </w:pPr>
      <w:proofErr w:type="spellStart"/>
      <w:r>
        <w:rPr>
          <w:rFonts w:asciiTheme="minorHAnsi" w:hAnsiTheme="minorHAnsi" w:cstheme="minorHAnsi"/>
          <w:b/>
          <w:sz w:val="22"/>
          <w:szCs w:val="22"/>
          <w:u w:val="single"/>
        </w:rPr>
        <w:t>Moughataa</w:t>
      </w:r>
      <w:proofErr w:type="spellEnd"/>
      <w:r w:rsidR="00432FD0" w:rsidRPr="00CD57B8">
        <w:rPr>
          <w:rFonts w:asciiTheme="minorHAnsi" w:hAnsiTheme="minorHAnsi" w:cstheme="minorHAnsi"/>
          <w:b/>
          <w:sz w:val="22"/>
          <w:szCs w:val="22"/>
          <w:u w:val="single"/>
        </w:rPr>
        <w:t xml:space="preserve"> de M’Bout</w:t>
      </w:r>
    </w:p>
    <w:p w:rsidR="00432FD0" w:rsidRPr="00CD57B8" w:rsidRDefault="00432FD0" w:rsidP="00432FD0">
      <w:pPr>
        <w:jc w:val="both"/>
        <w:rPr>
          <w:rFonts w:asciiTheme="minorHAnsi" w:hAnsiTheme="minorHAnsi" w:cstheme="minorHAnsi"/>
          <w:sz w:val="22"/>
          <w:szCs w:val="22"/>
        </w:rPr>
      </w:pPr>
    </w:p>
    <w:p w:rsidR="00432FD0" w:rsidRPr="0070020D" w:rsidRDefault="00432FD0" w:rsidP="00432FD0">
      <w:pPr>
        <w:jc w:val="both"/>
        <w:rPr>
          <w:rFonts w:asciiTheme="minorHAnsi" w:hAnsiTheme="minorHAnsi" w:cstheme="minorHAnsi"/>
          <w:sz w:val="22"/>
          <w:szCs w:val="22"/>
        </w:rPr>
      </w:pPr>
      <w:r w:rsidRPr="00CD57B8">
        <w:rPr>
          <w:rFonts w:asciiTheme="minorHAnsi" w:hAnsiTheme="minorHAnsi" w:cstheme="minorHAnsi"/>
          <w:sz w:val="22"/>
          <w:szCs w:val="22"/>
        </w:rPr>
        <w:t xml:space="preserve">Les communes de la </w:t>
      </w:r>
      <w:proofErr w:type="spellStart"/>
      <w:r w:rsidR="001246CD">
        <w:rPr>
          <w:rFonts w:asciiTheme="minorHAnsi" w:hAnsiTheme="minorHAnsi" w:cstheme="minorHAnsi"/>
          <w:sz w:val="22"/>
          <w:szCs w:val="22"/>
        </w:rPr>
        <w:t>Moughataa</w:t>
      </w:r>
      <w:proofErr w:type="spellEnd"/>
      <w:r w:rsidRPr="00CD57B8">
        <w:rPr>
          <w:rFonts w:asciiTheme="minorHAnsi" w:hAnsiTheme="minorHAnsi" w:cstheme="minorHAnsi"/>
          <w:sz w:val="22"/>
          <w:szCs w:val="22"/>
        </w:rPr>
        <w:t xml:space="preserve"> de M’</w:t>
      </w:r>
      <w:r w:rsidR="0070020D">
        <w:rPr>
          <w:rFonts w:asciiTheme="minorHAnsi" w:hAnsiTheme="minorHAnsi" w:cstheme="minorHAnsi"/>
          <w:sz w:val="22"/>
          <w:szCs w:val="22"/>
        </w:rPr>
        <w:t>Bout ont bénéficié d’un FRD 2012 pour l’équipement de 86 375 911 MRO (+16,67 % par rapport à 2011). Elles ont engagé 83 361 183</w:t>
      </w:r>
      <w:r w:rsidRPr="00CD57B8">
        <w:rPr>
          <w:rFonts w:asciiTheme="minorHAnsi" w:hAnsiTheme="minorHAnsi" w:cstheme="minorHAnsi"/>
          <w:sz w:val="22"/>
          <w:szCs w:val="22"/>
        </w:rPr>
        <w:t xml:space="preserve"> MRO pour la réalisation de </w:t>
      </w:r>
      <w:r w:rsidR="0070020D">
        <w:rPr>
          <w:rFonts w:asciiTheme="minorHAnsi" w:hAnsiTheme="minorHAnsi" w:cstheme="minorHAnsi"/>
          <w:b/>
          <w:sz w:val="22"/>
          <w:szCs w:val="22"/>
        </w:rPr>
        <w:t>106</w:t>
      </w:r>
      <w:r w:rsidRPr="00C762B7">
        <w:rPr>
          <w:rFonts w:asciiTheme="minorHAnsi" w:hAnsiTheme="minorHAnsi" w:cstheme="minorHAnsi"/>
          <w:b/>
          <w:sz w:val="22"/>
          <w:szCs w:val="22"/>
        </w:rPr>
        <w:t xml:space="preserve"> projets</w:t>
      </w:r>
      <w:r w:rsidRPr="00CD57B8">
        <w:rPr>
          <w:rFonts w:asciiTheme="minorHAnsi" w:hAnsiTheme="minorHAnsi" w:cstheme="minorHAnsi"/>
          <w:sz w:val="22"/>
          <w:szCs w:val="22"/>
        </w:rPr>
        <w:t xml:space="preserve">, soit un </w:t>
      </w:r>
      <w:r w:rsidR="0070020D">
        <w:rPr>
          <w:rFonts w:asciiTheme="minorHAnsi" w:hAnsiTheme="minorHAnsi" w:cstheme="minorHAnsi"/>
          <w:b/>
          <w:sz w:val="22"/>
          <w:szCs w:val="22"/>
        </w:rPr>
        <w:t>taux d’absorption de 96,51</w:t>
      </w:r>
      <w:r w:rsidRPr="00CD57B8">
        <w:rPr>
          <w:rFonts w:asciiTheme="minorHAnsi" w:hAnsiTheme="minorHAnsi" w:cstheme="minorHAnsi"/>
          <w:b/>
          <w:sz w:val="22"/>
          <w:szCs w:val="22"/>
        </w:rPr>
        <w:t xml:space="preserve"> %.</w:t>
      </w:r>
      <w:r w:rsidR="0070020D">
        <w:rPr>
          <w:rFonts w:asciiTheme="minorHAnsi" w:hAnsiTheme="minorHAnsi" w:cstheme="minorHAnsi"/>
          <w:b/>
          <w:sz w:val="22"/>
          <w:szCs w:val="22"/>
        </w:rPr>
        <w:t xml:space="preserve"> </w:t>
      </w:r>
      <w:r w:rsidR="0070020D" w:rsidRPr="0070020D">
        <w:rPr>
          <w:rFonts w:asciiTheme="minorHAnsi" w:hAnsiTheme="minorHAnsi" w:cstheme="minorHAnsi"/>
          <w:sz w:val="22"/>
          <w:szCs w:val="22"/>
        </w:rPr>
        <w:t xml:space="preserve">Taux acceptable et </w:t>
      </w:r>
      <w:r w:rsidR="0070020D">
        <w:rPr>
          <w:rFonts w:asciiTheme="minorHAnsi" w:hAnsiTheme="minorHAnsi" w:cstheme="minorHAnsi"/>
          <w:sz w:val="22"/>
          <w:szCs w:val="22"/>
        </w:rPr>
        <w:t>légèrement au-dessus de la moyenne nationale.</w:t>
      </w:r>
    </w:p>
    <w:p w:rsidR="00432FD0" w:rsidRPr="00CD57B8" w:rsidRDefault="00432FD0" w:rsidP="00432FD0">
      <w:pPr>
        <w:jc w:val="both"/>
        <w:rPr>
          <w:rFonts w:asciiTheme="minorHAnsi" w:hAnsiTheme="minorHAnsi" w:cstheme="minorHAnsi"/>
          <w:sz w:val="22"/>
          <w:szCs w:val="22"/>
        </w:rPr>
      </w:pPr>
    </w:p>
    <w:p w:rsidR="00432FD0" w:rsidRDefault="00432FD0" w:rsidP="00432FD0">
      <w:pPr>
        <w:jc w:val="both"/>
        <w:rPr>
          <w:rFonts w:asciiTheme="minorHAnsi" w:hAnsiTheme="minorHAnsi" w:cstheme="minorHAnsi"/>
          <w:sz w:val="22"/>
          <w:szCs w:val="22"/>
        </w:rPr>
      </w:pPr>
      <w:r w:rsidRPr="00774D2E">
        <w:rPr>
          <w:noProof/>
        </w:rPr>
        <w:drawing>
          <wp:inline distT="0" distB="0" distL="0" distR="0">
            <wp:extent cx="3057525" cy="3314700"/>
            <wp:effectExtent l="19050" t="0" r="9525" b="0"/>
            <wp:docPr id="190"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cstate="print"/>
                    <a:stretch>
                      <a:fillRect/>
                    </a:stretch>
                  </pic:blipFill>
                  <pic:spPr>
                    <a:xfrm>
                      <a:off x="0" y="0"/>
                      <a:ext cx="3057143" cy="3314286"/>
                    </a:xfrm>
                    <a:prstGeom prst="rect">
                      <a:avLst/>
                    </a:prstGeom>
                  </pic:spPr>
                </pic:pic>
              </a:graphicData>
            </a:graphic>
          </wp:inline>
        </w:drawing>
      </w:r>
      <w:r w:rsidRPr="00371ADB">
        <w:rPr>
          <w:rFonts w:asciiTheme="minorHAnsi" w:hAnsiTheme="minorHAnsi" w:cstheme="minorHAnsi"/>
          <w:noProof/>
          <w:sz w:val="22"/>
          <w:szCs w:val="22"/>
        </w:rPr>
        <w:drawing>
          <wp:inline distT="0" distB="0" distL="0" distR="0">
            <wp:extent cx="3514725" cy="3314700"/>
            <wp:effectExtent l="19050" t="0" r="9525" b="0"/>
            <wp:docPr id="193"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cstate="print"/>
                    <a:stretch>
                      <a:fillRect/>
                    </a:stretch>
                  </pic:blipFill>
                  <pic:spPr>
                    <a:xfrm>
                      <a:off x="0" y="0"/>
                      <a:ext cx="3514287" cy="3314287"/>
                    </a:xfrm>
                    <a:prstGeom prst="rect">
                      <a:avLst/>
                    </a:prstGeom>
                  </pic:spPr>
                </pic:pic>
              </a:graphicData>
            </a:graphic>
          </wp:inline>
        </w:drawing>
      </w:r>
    </w:p>
    <w:p w:rsidR="001D49F8" w:rsidRDefault="001D49F8" w:rsidP="00432FD0">
      <w:pPr>
        <w:jc w:val="both"/>
        <w:rPr>
          <w:rFonts w:asciiTheme="minorHAnsi" w:hAnsiTheme="minorHAnsi" w:cstheme="minorHAnsi"/>
          <w:sz w:val="22"/>
          <w:szCs w:val="22"/>
        </w:rPr>
      </w:pPr>
      <w:r w:rsidRPr="001D49F8">
        <w:rPr>
          <w:noProof/>
          <w:szCs w:val="22"/>
        </w:rPr>
        <w:drawing>
          <wp:inline distT="0" distB="0" distL="0" distR="0">
            <wp:extent cx="6645910" cy="2289842"/>
            <wp:effectExtent l="19050" t="0" r="2540" b="0"/>
            <wp:docPr id="109" name="Imag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25" cstate="print"/>
                    <a:srcRect/>
                    <a:stretch>
                      <a:fillRect/>
                    </a:stretch>
                  </pic:blipFill>
                  <pic:spPr bwMode="auto">
                    <a:xfrm>
                      <a:off x="0" y="0"/>
                      <a:ext cx="6645910" cy="2289842"/>
                    </a:xfrm>
                    <a:prstGeom prst="rect">
                      <a:avLst/>
                    </a:prstGeom>
                    <a:noFill/>
                    <a:ln w="9525">
                      <a:noFill/>
                      <a:miter lim="800000"/>
                      <a:headEnd/>
                      <a:tailEnd/>
                    </a:ln>
                  </pic:spPr>
                </pic:pic>
              </a:graphicData>
            </a:graphic>
          </wp:inline>
        </w:drawing>
      </w:r>
    </w:p>
    <w:p w:rsidR="001D49F8" w:rsidRDefault="001D49F8" w:rsidP="001D49F8">
      <w:pPr>
        <w:jc w:val="both"/>
        <w:rPr>
          <w:rFonts w:asciiTheme="minorHAnsi" w:hAnsiTheme="minorHAnsi" w:cstheme="minorHAnsi"/>
          <w:sz w:val="22"/>
          <w:szCs w:val="22"/>
        </w:rPr>
      </w:pPr>
    </w:p>
    <w:p w:rsidR="001D49F8" w:rsidRDefault="001D49F8" w:rsidP="001D49F8">
      <w:pPr>
        <w:jc w:val="both"/>
        <w:rPr>
          <w:rFonts w:asciiTheme="minorHAnsi" w:hAnsiTheme="minorHAnsi" w:cstheme="minorHAnsi"/>
          <w:sz w:val="22"/>
          <w:szCs w:val="22"/>
        </w:rPr>
      </w:pPr>
      <w:r>
        <w:rPr>
          <w:rFonts w:asciiTheme="minorHAnsi" w:hAnsiTheme="minorHAnsi" w:cstheme="minorHAnsi"/>
          <w:sz w:val="22"/>
          <w:szCs w:val="22"/>
        </w:rPr>
        <w:t>En revanche, l</w:t>
      </w:r>
      <w:r w:rsidRPr="00CD57B8">
        <w:rPr>
          <w:rFonts w:asciiTheme="minorHAnsi" w:hAnsiTheme="minorHAnsi" w:cstheme="minorHAnsi"/>
          <w:sz w:val="22"/>
          <w:szCs w:val="22"/>
        </w:rPr>
        <w:t>e m</w:t>
      </w:r>
      <w:r>
        <w:rPr>
          <w:rFonts w:asciiTheme="minorHAnsi" w:hAnsiTheme="minorHAnsi" w:cstheme="minorHAnsi"/>
          <w:sz w:val="22"/>
          <w:szCs w:val="22"/>
        </w:rPr>
        <w:t>ontant moyen par projet est a</w:t>
      </w:r>
      <w:r w:rsidRPr="00CD57B8">
        <w:rPr>
          <w:rFonts w:asciiTheme="minorHAnsi" w:hAnsiTheme="minorHAnsi" w:cstheme="minorHAnsi"/>
          <w:sz w:val="22"/>
          <w:szCs w:val="22"/>
        </w:rPr>
        <w:t>ssez nettement inférieur a</w:t>
      </w:r>
      <w:r>
        <w:rPr>
          <w:rFonts w:asciiTheme="minorHAnsi" w:hAnsiTheme="minorHAnsi" w:cstheme="minorHAnsi"/>
          <w:sz w:val="22"/>
          <w:szCs w:val="22"/>
        </w:rPr>
        <w:t>u montant correspondant aux niveaux régional et national : 821 446 MRO en 2011 et 786 426 MRO en 2012. La baisse constatée s’explique par l’augmentation sensible du nombre de projets : 92 en 2011 et 106 en 2012.</w:t>
      </w:r>
    </w:p>
    <w:p w:rsidR="001D49F8" w:rsidRDefault="001D49F8" w:rsidP="001D49F8">
      <w:pPr>
        <w:jc w:val="both"/>
        <w:rPr>
          <w:rFonts w:asciiTheme="minorHAnsi" w:hAnsiTheme="minorHAnsi" w:cstheme="minorHAnsi"/>
          <w:sz w:val="22"/>
          <w:szCs w:val="22"/>
        </w:rPr>
      </w:pPr>
      <w:r>
        <w:rPr>
          <w:rFonts w:asciiTheme="minorHAnsi" w:hAnsiTheme="minorHAnsi" w:cstheme="minorHAnsi"/>
          <w:sz w:val="22"/>
          <w:szCs w:val="22"/>
        </w:rPr>
        <w:t>De même, les projets pléthoriques (40) pour le secteur le plus important en 2012 qu’est celui de l’éducation se partagent 30 117 300 MRO, soit 36,13% des engagements.</w:t>
      </w:r>
    </w:p>
    <w:p w:rsidR="001D49F8" w:rsidRDefault="001D49F8" w:rsidP="001D49F8">
      <w:pPr>
        <w:jc w:val="both"/>
        <w:rPr>
          <w:rFonts w:asciiTheme="minorHAnsi" w:hAnsiTheme="minorHAnsi" w:cstheme="minorHAnsi"/>
          <w:sz w:val="22"/>
          <w:szCs w:val="22"/>
        </w:rPr>
      </w:pPr>
      <w:r>
        <w:rPr>
          <w:rFonts w:asciiTheme="minorHAnsi" w:hAnsiTheme="minorHAnsi" w:cstheme="minorHAnsi"/>
          <w:sz w:val="22"/>
          <w:szCs w:val="22"/>
        </w:rPr>
        <w:t>19 projets pour l’agriculture (priorité n°2) pour un total de 23 878 756 MRO, soit 28,64% des engagements.</w:t>
      </w:r>
    </w:p>
    <w:p w:rsidR="001D49F8" w:rsidRPr="00CD57B8" w:rsidRDefault="001D49F8" w:rsidP="001D49F8">
      <w:pPr>
        <w:jc w:val="both"/>
        <w:rPr>
          <w:rFonts w:asciiTheme="minorHAnsi" w:hAnsiTheme="minorHAnsi" w:cstheme="minorHAnsi"/>
          <w:sz w:val="22"/>
          <w:szCs w:val="22"/>
        </w:rPr>
      </w:pPr>
      <w:r>
        <w:rPr>
          <w:rFonts w:asciiTheme="minorHAnsi" w:hAnsiTheme="minorHAnsi" w:cstheme="minorHAnsi"/>
          <w:sz w:val="22"/>
          <w:szCs w:val="22"/>
        </w:rPr>
        <w:t>12 projets hydrauliques (3</w:t>
      </w:r>
      <w:r w:rsidRPr="00B95997">
        <w:rPr>
          <w:rFonts w:asciiTheme="minorHAnsi" w:hAnsiTheme="minorHAnsi" w:cstheme="minorHAnsi"/>
          <w:sz w:val="22"/>
          <w:szCs w:val="22"/>
          <w:vertAlign w:val="superscript"/>
        </w:rPr>
        <w:t>ème</w:t>
      </w:r>
      <w:r>
        <w:rPr>
          <w:rFonts w:asciiTheme="minorHAnsi" w:hAnsiTheme="minorHAnsi" w:cstheme="minorHAnsi"/>
          <w:sz w:val="22"/>
          <w:szCs w:val="22"/>
        </w:rPr>
        <w:t xml:space="preserve"> secteur prioritaire)</w:t>
      </w:r>
      <w:r w:rsidR="00F96043">
        <w:rPr>
          <w:rFonts w:asciiTheme="minorHAnsi" w:hAnsiTheme="minorHAnsi" w:cstheme="minorHAnsi"/>
          <w:sz w:val="22"/>
          <w:szCs w:val="22"/>
        </w:rPr>
        <w:t xml:space="preserve"> </w:t>
      </w:r>
      <w:r>
        <w:rPr>
          <w:rFonts w:asciiTheme="minorHAnsi" w:hAnsiTheme="minorHAnsi" w:cstheme="minorHAnsi"/>
          <w:sz w:val="22"/>
          <w:szCs w:val="22"/>
        </w:rPr>
        <w:t xml:space="preserve">pour 9 210 000 MRO et 11,05% des engagements. </w:t>
      </w:r>
    </w:p>
    <w:p w:rsidR="001D49F8" w:rsidRPr="00CD57B8" w:rsidRDefault="001D49F8" w:rsidP="00432FD0">
      <w:pPr>
        <w:jc w:val="both"/>
        <w:rPr>
          <w:rFonts w:asciiTheme="minorHAnsi" w:hAnsiTheme="minorHAnsi" w:cstheme="minorHAnsi"/>
          <w:sz w:val="22"/>
          <w:szCs w:val="22"/>
        </w:rPr>
      </w:pPr>
    </w:p>
    <w:p w:rsidR="00432FD0" w:rsidRDefault="00432FD0" w:rsidP="00432FD0">
      <w:pPr>
        <w:jc w:val="both"/>
        <w:rPr>
          <w:rFonts w:asciiTheme="minorHAnsi" w:hAnsiTheme="minorHAnsi" w:cstheme="minorHAnsi"/>
          <w:b/>
          <w:sz w:val="22"/>
          <w:szCs w:val="22"/>
        </w:rPr>
      </w:pPr>
      <w:r w:rsidRPr="007425E9">
        <w:rPr>
          <w:rFonts w:asciiTheme="minorHAnsi" w:hAnsiTheme="minorHAnsi" w:cstheme="minorHAnsi"/>
          <w:b/>
          <w:noProof/>
          <w:sz w:val="22"/>
          <w:szCs w:val="22"/>
        </w:rPr>
        <w:drawing>
          <wp:inline distT="0" distB="0" distL="0" distR="0">
            <wp:extent cx="6648450" cy="2752725"/>
            <wp:effectExtent l="19050" t="0" r="0" b="0"/>
            <wp:docPr id="194"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cstate="print"/>
                    <a:stretch>
                      <a:fillRect/>
                    </a:stretch>
                  </pic:blipFill>
                  <pic:spPr>
                    <a:xfrm>
                      <a:off x="0" y="0"/>
                      <a:ext cx="6647620" cy="2752381"/>
                    </a:xfrm>
                    <a:prstGeom prst="rect">
                      <a:avLst/>
                    </a:prstGeom>
                  </pic:spPr>
                </pic:pic>
              </a:graphicData>
            </a:graphic>
          </wp:inline>
        </w:drawing>
      </w:r>
    </w:p>
    <w:p w:rsidR="00B95997" w:rsidRDefault="00F27757" w:rsidP="00432FD0">
      <w:pPr>
        <w:jc w:val="both"/>
        <w:rPr>
          <w:rFonts w:asciiTheme="minorHAnsi" w:hAnsiTheme="minorHAnsi" w:cstheme="minorHAnsi"/>
          <w:b/>
          <w:sz w:val="22"/>
          <w:szCs w:val="22"/>
        </w:rPr>
      </w:pPr>
      <w:r w:rsidRPr="00F27757">
        <w:rPr>
          <w:noProof/>
        </w:rPr>
        <w:drawing>
          <wp:inline distT="0" distB="0" distL="0" distR="0">
            <wp:extent cx="6705600" cy="2771775"/>
            <wp:effectExtent l="19050" t="0" r="0" b="0"/>
            <wp:docPr id="143"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cstate="print"/>
                    <a:stretch>
                      <a:fillRect/>
                    </a:stretch>
                  </pic:blipFill>
                  <pic:spPr>
                    <a:xfrm>
                      <a:off x="0" y="0"/>
                      <a:ext cx="6705600" cy="2771775"/>
                    </a:xfrm>
                    <a:prstGeom prst="rect">
                      <a:avLst/>
                    </a:prstGeom>
                  </pic:spPr>
                </pic:pic>
              </a:graphicData>
            </a:graphic>
          </wp:inline>
        </w:drawing>
      </w:r>
    </w:p>
    <w:p w:rsidR="00F27757" w:rsidRDefault="00F27757" w:rsidP="00432FD0">
      <w:pPr>
        <w:jc w:val="center"/>
        <w:rPr>
          <w:rFonts w:asciiTheme="minorHAnsi" w:hAnsiTheme="minorHAnsi" w:cstheme="minorHAnsi"/>
          <w:b/>
          <w:sz w:val="22"/>
          <w:szCs w:val="22"/>
          <w:u w:val="single"/>
        </w:rPr>
      </w:pPr>
    </w:p>
    <w:p w:rsidR="00432FD0" w:rsidRPr="00CD57B8" w:rsidRDefault="001246CD" w:rsidP="00432FD0">
      <w:pPr>
        <w:jc w:val="center"/>
        <w:rPr>
          <w:rFonts w:asciiTheme="minorHAnsi" w:hAnsiTheme="minorHAnsi" w:cstheme="minorHAnsi"/>
          <w:sz w:val="22"/>
          <w:szCs w:val="22"/>
          <w:u w:val="single"/>
        </w:rPr>
      </w:pPr>
      <w:proofErr w:type="spellStart"/>
      <w:r>
        <w:rPr>
          <w:rFonts w:asciiTheme="minorHAnsi" w:hAnsiTheme="minorHAnsi" w:cstheme="minorHAnsi"/>
          <w:b/>
          <w:sz w:val="22"/>
          <w:szCs w:val="22"/>
          <w:u w:val="single"/>
        </w:rPr>
        <w:t>Moughataa</w:t>
      </w:r>
      <w:proofErr w:type="spellEnd"/>
      <w:r w:rsidR="00432FD0" w:rsidRPr="00CD57B8">
        <w:rPr>
          <w:rFonts w:asciiTheme="minorHAnsi" w:hAnsiTheme="minorHAnsi" w:cstheme="minorHAnsi"/>
          <w:b/>
          <w:sz w:val="22"/>
          <w:szCs w:val="22"/>
          <w:u w:val="single"/>
        </w:rPr>
        <w:t xml:space="preserve"> de </w:t>
      </w:r>
      <w:proofErr w:type="spellStart"/>
      <w:r w:rsidR="00432FD0" w:rsidRPr="00CD57B8">
        <w:rPr>
          <w:rFonts w:asciiTheme="minorHAnsi" w:hAnsiTheme="minorHAnsi" w:cstheme="minorHAnsi"/>
          <w:b/>
          <w:sz w:val="22"/>
          <w:szCs w:val="22"/>
          <w:u w:val="single"/>
        </w:rPr>
        <w:t>Maghama</w:t>
      </w:r>
      <w:proofErr w:type="spellEnd"/>
    </w:p>
    <w:p w:rsidR="00432FD0" w:rsidRPr="00CD57B8" w:rsidRDefault="00432FD0" w:rsidP="00432FD0">
      <w:pPr>
        <w:jc w:val="both"/>
        <w:rPr>
          <w:rFonts w:asciiTheme="minorHAnsi" w:hAnsiTheme="minorHAnsi" w:cstheme="minorHAnsi"/>
          <w:sz w:val="22"/>
          <w:szCs w:val="22"/>
        </w:rPr>
      </w:pPr>
    </w:p>
    <w:p w:rsidR="00432FD0" w:rsidRPr="00CD57B8" w:rsidRDefault="00432FD0" w:rsidP="00432FD0">
      <w:pPr>
        <w:jc w:val="both"/>
        <w:rPr>
          <w:rFonts w:asciiTheme="minorHAnsi" w:hAnsiTheme="minorHAnsi" w:cstheme="minorHAnsi"/>
          <w:sz w:val="22"/>
          <w:szCs w:val="22"/>
        </w:rPr>
      </w:pPr>
      <w:r w:rsidRPr="00CD57B8">
        <w:rPr>
          <w:rFonts w:asciiTheme="minorHAnsi" w:hAnsiTheme="minorHAnsi" w:cstheme="minorHAnsi"/>
          <w:sz w:val="22"/>
          <w:szCs w:val="22"/>
        </w:rPr>
        <w:t xml:space="preserve">Les communes de la </w:t>
      </w:r>
      <w:proofErr w:type="spellStart"/>
      <w:r w:rsidR="001246CD">
        <w:rPr>
          <w:rFonts w:asciiTheme="minorHAnsi" w:hAnsiTheme="minorHAnsi" w:cstheme="minorHAnsi"/>
          <w:sz w:val="22"/>
          <w:szCs w:val="22"/>
        </w:rPr>
        <w:t>Moughataa</w:t>
      </w:r>
      <w:proofErr w:type="spellEnd"/>
      <w:r w:rsidRPr="00CD57B8">
        <w:rPr>
          <w:rFonts w:asciiTheme="minorHAnsi" w:hAnsiTheme="minorHAnsi" w:cstheme="minorHAnsi"/>
          <w:sz w:val="22"/>
          <w:szCs w:val="22"/>
        </w:rPr>
        <w:t xml:space="preserve"> de </w:t>
      </w:r>
      <w:proofErr w:type="spellStart"/>
      <w:r w:rsidRPr="00CD57B8">
        <w:rPr>
          <w:rFonts w:asciiTheme="minorHAnsi" w:hAnsiTheme="minorHAnsi" w:cstheme="minorHAnsi"/>
          <w:sz w:val="22"/>
          <w:szCs w:val="22"/>
        </w:rPr>
        <w:t>Mag</w:t>
      </w:r>
      <w:r w:rsidR="00B95997">
        <w:rPr>
          <w:rFonts w:asciiTheme="minorHAnsi" w:hAnsiTheme="minorHAnsi" w:cstheme="minorHAnsi"/>
          <w:sz w:val="22"/>
          <w:szCs w:val="22"/>
        </w:rPr>
        <w:t>hama</w:t>
      </w:r>
      <w:proofErr w:type="spellEnd"/>
      <w:r w:rsidR="00B95997">
        <w:rPr>
          <w:rFonts w:asciiTheme="minorHAnsi" w:hAnsiTheme="minorHAnsi" w:cstheme="minorHAnsi"/>
          <w:sz w:val="22"/>
          <w:szCs w:val="22"/>
        </w:rPr>
        <w:t xml:space="preserve"> ont bénéficié d’un FRD 2012 pour l’équipement de </w:t>
      </w:r>
      <w:r w:rsidR="00FD5AD7">
        <w:rPr>
          <w:rFonts w:asciiTheme="minorHAnsi" w:hAnsiTheme="minorHAnsi" w:cstheme="minorHAnsi"/>
          <w:sz w:val="22"/>
          <w:szCs w:val="22"/>
        </w:rPr>
        <w:t>49 661 423</w:t>
      </w:r>
      <w:r w:rsidRPr="00CD57B8">
        <w:rPr>
          <w:rFonts w:asciiTheme="minorHAnsi" w:hAnsiTheme="minorHAnsi" w:cstheme="minorHAnsi"/>
          <w:sz w:val="22"/>
          <w:szCs w:val="22"/>
        </w:rPr>
        <w:t xml:space="preserve"> MRO </w:t>
      </w:r>
      <w:r w:rsidR="00FD5AD7">
        <w:rPr>
          <w:rFonts w:asciiTheme="minorHAnsi" w:hAnsiTheme="minorHAnsi" w:cstheme="minorHAnsi"/>
          <w:sz w:val="22"/>
          <w:szCs w:val="22"/>
        </w:rPr>
        <w:t>(+15,56 % par rapport à 2011). Elles ont engagé 46 193 553</w:t>
      </w:r>
      <w:r w:rsidRPr="00CD57B8">
        <w:rPr>
          <w:rFonts w:asciiTheme="minorHAnsi" w:hAnsiTheme="minorHAnsi" w:cstheme="minorHAnsi"/>
          <w:sz w:val="22"/>
          <w:szCs w:val="22"/>
        </w:rPr>
        <w:t xml:space="preserve"> MRO pour la réalisation de </w:t>
      </w:r>
      <w:r w:rsidR="00FD5AD7">
        <w:rPr>
          <w:rFonts w:asciiTheme="minorHAnsi" w:hAnsiTheme="minorHAnsi" w:cstheme="minorHAnsi"/>
          <w:b/>
          <w:sz w:val="22"/>
          <w:szCs w:val="22"/>
        </w:rPr>
        <w:t>30</w:t>
      </w:r>
      <w:r w:rsidRPr="00C762B7">
        <w:rPr>
          <w:rFonts w:asciiTheme="minorHAnsi" w:hAnsiTheme="minorHAnsi" w:cstheme="minorHAnsi"/>
          <w:b/>
          <w:sz w:val="22"/>
          <w:szCs w:val="22"/>
        </w:rPr>
        <w:t xml:space="preserve"> projets</w:t>
      </w:r>
      <w:r w:rsidRPr="00CD57B8">
        <w:rPr>
          <w:rFonts w:asciiTheme="minorHAnsi" w:hAnsiTheme="minorHAnsi" w:cstheme="minorHAnsi"/>
          <w:sz w:val="22"/>
          <w:szCs w:val="22"/>
        </w:rPr>
        <w:t xml:space="preserve">, soit un </w:t>
      </w:r>
      <w:r w:rsidR="00FD5AD7">
        <w:rPr>
          <w:rFonts w:asciiTheme="minorHAnsi" w:hAnsiTheme="minorHAnsi" w:cstheme="minorHAnsi"/>
          <w:b/>
          <w:sz w:val="22"/>
          <w:szCs w:val="22"/>
        </w:rPr>
        <w:t>taux d’absorption de 93,02</w:t>
      </w:r>
      <w:r w:rsidRPr="00CD57B8">
        <w:rPr>
          <w:rFonts w:asciiTheme="minorHAnsi" w:hAnsiTheme="minorHAnsi" w:cstheme="minorHAnsi"/>
          <w:b/>
          <w:sz w:val="22"/>
          <w:szCs w:val="22"/>
        </w:rPr>
        <w:t xml:space="preserve"> %.</w:t>
      </w:r>
    </w:p>
    <w:p w:rsidR="00432FD0" w:rsidRPr="00CD57B8" w:rsidRDefault="00432FD0" w:rsidP="00432FD0">
      <w:pPr>
        <w:jc w:val="both"/>
        <w:rPr>
          <w:rFonts w:asciiTheme="minorHAnsi" w:hAnsiTheme="minorHAnsi" w:cstheme="minorHAnsi"/>
          <w:sz w:val="22"/>
          <w:szCs w:val="22"/>
        </w:rPr>
      </w:pPr>
    </w:p>
    <w:p w:rsidR="00432FD0" w:rsidRDefault="00432FD0" w:rsidP="00432FD0">
      <w:pPr>
        <w:jc w:val="both"/>
        <w:rPr>
          <w:rFonts w:asciiTheme="minorHAnsi" w:hAnsiTheme="minorHAnsi" w:cstheme="minorHAnsi"/>
          <w:sz w:val="22"/>
          <w:szCs w:val="22"/>
        </w:rPr>
      </w:pPr>
      <w:r w:rsidRPr="005C6B78">
        <w:rPr>
          <w:noProof/>
        </w:rPr>
        <w:drawing>
          <wp:inline distT="0" distB="0" distL="0" distR="0">
            <wp:extent cx="3295650" cy="3333750"/>
            <wp:effectExtent l="19050" t="0" r="0" b="0"/>
            <wp:docPr id="195"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cstate="print"/>
                    <a:stretch>
                      <a:fillRect/>
                    </a:stretch>
                  </pic:blipFill>
                  <pic:spPr>
                    <a:xfrm>
                      <a:off x="0" y="0"/>
                      <a:ext cx="3295650" cy="3333750"/>
                    </a:xfrm>
                    <a:prstGeom prst="rect">
                      <a:avLst/>
                    </a:prstGeom>
                  </pic:spPr>
                </pic:pic>
              </a:graphicData>
            </a:graphic>
          </wp:inline>
        </w:drawing>
      </w:r>
      <w:r w:rsidRPr="00E63D27">
        <w:rPr>
          <w:rFonts w:asciiTheme="minorHAnsi" w:hAnsiTheme="minorHAnsi" w:cstheme="minorHAnsi"/>
          <w:noProof/>
          <w:sz w:val="22"/>
          <w:szCs w:val="22"/>
        </w:rPr>
        <w:drawing>
          <wp:inline distT="0" distB="0" distL="0" distR="0">
            <wp:extent cx="3248025" cy="3333750"/>
            <wp:effectExtent l="19050" t="0" r="9525" b="0"/>
            <wp:docPr id="196"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cstate="print"/>
                    <a:stretch>
                      <a:fillRect/>
                    </a:stretch>
                  </pic:blipFill>
                  <pic:spPr>
                    <a:xfrm>
                      <a:off x="0" y="0"/>
                      <a:ext cx="3248025" cy="3333750"/>
                    </a:xfrm>
                    <a:prstGeom prst="rect">
                      <a:avLst/>
                    </a:prstGeom>
                  </pic:spPr>
                </pic:pic>
              </a:graphicData>
            </a:graphic>
          </wp:inline>
        </w:drawing>
      </w:r>
    </w:p>
    <w:p w:rsidR="001D49F8" w:rsidRDefault="001D49F8" w:rsidP="00432FD0">
      <w:pPr>
        <w:jc w:val="both"/>
        <w:rPr>
          <w:rFonts w:asciiTheme="minorHAnsi" w:hAnsiTheme="minorHAnsi" w:cstheme="minorHAnsi"/>
          <w:sz w:val="22"/>
          <w:szCs w:val="22"/>
        </w:rPr>
      </w:pPr>
      <w:r w:rsidRPr="001D49F8">
        <w:rPr>
          <w:noProof/>
          <w:szCs w:val="22"/>
        </w:rPr>
        <w:drawing>
          <wp:inline distT="0" distB="0" distL="0" distR="0">
            <wp:extent cx="6645910" cy="2600325"/>
            <wp:effectExtent l="19050" t="0" r="2540" b="0"/>
            <wp:docPr id="115" name="Imag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30" cstate="print"/>
                    <a:srcRect/>
                    <a:stretch>
                      <a:fillRect/>
                    </a:stretch>
                  </pic:blipFill>
                  <pic:spPr bwMode="auto">
                    <a:xfrm>
                      <a:off x="0" y="0"/>
                      <a:ext cx="6645910" cy="2600325"/>
                    </a:xfrm>
                    <a:prstGeom prst="rect">
                      <a:avLst/>
                    </a:prstGeom>
                    <a:noFill/>
                    <a:ln w="9525">
                      <a:noFill/>
                      <a:miter lim="800000"/>
                      <a:headEnd/>
                      <a:tailEnd/>
                    </a:ln>
                  </pic:spPr>
                </pic:pic>
              </a:graphicData>
            </a:graphic>
          </wp:inline>
        </w:drawing>
      </w:r>
    </w:p>
    <w:p w:rsidR="001D49F8" w:rsidRDefault="001D49F8" w:rsidP="001D49F8">
      <w:pPr>
        <w:jc w:val="both"/>
        <w:rPr>
          <w:rFonts w:asciiTheme="minorHAnsi" w:hAnsiTheme="minorHAnsi" w:cstheme="minorHAnsi"/>
          <w:sz w:val="22"/>
          <w:szCs w:val="22"/>
        </w:rPr>
      </w:pPr>
    </w:p>
    <w:p w:rsidR="001D49F8" w:rsidRDefault="001D49F8" w:rsidP="001D49F8">
      <w:pPr>
        <w:jc w:val="both"/>
        <w:rPr>
          <w:rFonts w:asciiTheme="minorHAnsi" w:hAnsiTheme="minorHAnsi" w:cstheme="minorHAnsi"/>
          <w:sz w:val="22"/>
          <w:szCs w:val="22"/>
        </w:rPr>
      </w:pPr>
      <w:r>
        <w:rPr>
          <w:rFonts w:asciiTheme="minorHAnsi" w:hAnsiTheme="minorHAnsi" w:cstheme="minorHAnsi"/>
          <w:sz w:val="22"/>
          <w:szCs w:val="22"/>
        </w:rPr>
        <w:t xml:space="preserve">Ce taux est à peine satisfaisant, presque au niveau de la moyenne nationale. Et quelque peu décevant par rapport à 2011 où il avait été </w:t>
      </w:r>
      <w:r w:rsidRPr="00CD57B8">
        <w:rPr>
          <w:rFonts w:asciiTheme="minorHAnsi" w:hAnsiTheme="minorHAnsi" w:cstheme="minorHAnsi"/>
          <w:sz w:val="22"/>
          <w:szCs w:val="22"/>
        </w:rPr>
        <w:t>en forte progression. L</w:t>
      </w:r>
      <w:r>
        <w:rPr>
          <w:rFonts w:asciiTheme="minorHAnsi" w:hAnsiTheme="minorHAnsi" w:cstheme="minorHAnsi"/>
          <w:sz w:val="22"/>
          <w:szCs w:val="22"/>
        </w:rPr>
        <w:t>a tendance n’a pas donc pu se maintenir : faut-il y voir la volonté de conserver les crédits pour des projets de plus grande ampleur ? Cela est peu probable dans la mesure où le nombre de projets est passé de 25 à 30, entraînant la chute du montant moyen par projet : 1 997 173 MRO en 2011 pour 1 539 785 MRO en 2012, toutefois au-dessus de la moyenne régionale et nationale.</w:t>
      </w:r>
    </w:p>
    <w:p w:rsidR="001D49F8" w:rsidRDefault="001D49F8" w:rsidP="001D49F8">
      <w:pPr>
        <w:jc w:val="both"/>
        <w:rPr>
          <w:rFonts w:asciiTheme="minorHAnsi" w:hAnsiTheme="minorHAnsi" w:cstheme="minorHAnsi"/>
          <w:sz w:val="22"/>
          <w:szCs w:val="22"/>
        </w:rPr>
      </w:pPr>
      <w:r>
        <w:rPr>
          <w:rFonts w:asciiTheme="minorHAnsi" w:hAnsiTheme="minorHAnsi" w:cstheme="minorHAnsi"/>
          <w:sz w:val="22"/>
          <w:szCs w:val="22"/>
        </w:rPr>
        <w:t>Les secteurs prioritaires sont pour 2012 les suivants :</w:t>
      </w:r>
    </w:p>
    <w:p w:rsidR="001D49F8" w:rsidRDefault="001D49F8" w:rsidP="002F04D1">
      <w:pPr>
        <w:pStyle w:val="Paragraphedeliste"/>
        <w:numPr>
          <w:ilvl w:val="0"/>
          <w:numId w:val="11"/>
        </w:numPr>
        <w:jc w:val="both"/>
        <w:rPr>
          <w:rFonts w:asciiTheme="minorHAnsi" w:hAnsiTheme="minorHAnsi" w:cstheme="minorHAnsi"/>
          <w:sz w:val="22"/>
          <w:szCs w:val="22"/>
        </w:rPr>
      </w:pPr>
      <w:r>
        <w:rPr>
          <w:rFonts w:asciiTheme="minorHAnsi" w:hAnsiTheme="minorHAnsi" w:cstheme="minorHAnsi"/>
          <w:sz w:val="22"/>
          <w:szCs w:val="22"/>
        </w:rPr>
        <w:t>Priorité n°1 : l’hydraulique à hauteur de 27,80% des engagements (7 projets pour un total de 12 844 056 MRO).</w:t>
      </w:r>
    </w:p>
    <w:p w:rsidR="001D49F8" w:rsidRDefault="001D49F8" w:rsidP="002F04D1">
      <w:pPr>
        <w:pStyle w:val="Paragraphedeliste"/>
        <w:numPr>
          <w:ilvl w:val="0"/>
          <w:numId w:val="11"/>
        </w:numPr>
        <w:jc w:val="both"/>
        <w:rPr>
          <w:rFonts w:asciiTheme="minorHAnsi" w:hAnsiTheme="minorHAnsi" w:cstheme="minorHAnsi"/>
          <w:sz w:val="22"/>
          <w:szCs w:val="22"/>
        </w:rPr>
      </w:pPr>
      <w:r>
        <w:rPr>
          <w:rFonts w:asciiTheme="minorHAnsi" w:hAnsiTheme="minorHAnsi" w:cstheme="minorHAnsi"/>
          <w:sz w:val="22"/>
          <w:szCs w:val="22"/>
        </w:rPr>
        <w:t>Priorité n°2 : l’éducation à hauteur de 27,18% des engagements (soit 12 553 932 MRO) répartis sur 9 projets.</w:t>
      </w:r>
    </w:p>
    <w:p w:rsidR="001D49F8" w:rsidRPr="00405748" w:rsidRDefault="001D49F8" w:rsidP="002F04D1">
      <w:pPr>
        <w:pStyle w:val="Paragraphedeliste"/>
        <w:numPr>
          <w:ilvl w:val="0"/>
          <w:numId w:val="11"/>
        </w:numPr>
        <w:jc w:val="both"/>
        <w:rPr>
          <w:rFonts w:asciiTheme="minorHAnsi" w:hAnsiTheme="minorHAnsi" w:cstheme="minorHAnsi"/>
          <w:sz w:val="22"/>
          <w:szCs w:val="22"/>
        </w:rPr>
      </w:pPr>
      <w:r>
        <w:rPr>
          <w:rFonts w:asciiTheme="minorHAnsi" w:hAnsiTheme="minorHAnsi" w:cstheme="minorHAnsi"/>
          <w:sz w:val="22"/>
          <w:szCs w:val="22"/>
        </w:rPr>
        <w:t xml:space="preserve">Priorité n°3 : le secteur du </w:t>
      </w:r>
      <w:proofErr w:type="spellStart"/>
      <w:r>
        <w:rPr>
          <w:rFonts w:asciiTheme="minorHAnsi" w:hAnsiTheme="minorHAnsi" w:cstheme="minorHAnsi"/>
          <w:sz w:val="22"/>
          <w:szCs w:val="22"/>
        </w:rPr>
        <w:t>socio-culturel</w:t>
      </w:r>
      <w:proofErr w:type="spellEnd"/>
      <w:r>
        <w:rPr>
          <w:rFonts w:asciiTheme="minorHAnsi" w:hAnsiTheme="minorHAnsi" w:cstheme="minorHAnsi"/>
          <w:sz w:val="22"/>
          <w:szCs w:val="22"/>
        </w:rPr>
        <w:t xml:space="preserve"> pour 6 783 533 MRO (5 projets recensés), soit 14,69% des engagements.</w:t>
      </w:r>
    </w:p>
    <w:p w:rsidR="001D49F8" w:rsidRPr="00CD57B8" w:rsidRDefault="001D49F8" w:rsidP="00432FD0">
      <w:pPr>
        <w:jc w:val="both"/>
        <w:rPr>
          <w:rFonts w:asciiTheme="minorHAnsi" w:hAnsiTheme="minorHAnsi" w:cstheme="minorHAnsi"/>
          <w:sz w:val="22"/>
          <w:szCs w:val="22"/>
        </w:rPr>
      </w:pPr>
    </w:p>
    <w:p w:rsidR="00432FD0" w:rsidRPr="00CD57B8" w:rsidRDefault="00432FD0" w:rsidP="00432FD0">
      <w:pPr>
        <w:jc w:val="both"/>
        <w:rPr>
          <w:rFonts w:asciiTheme="minorHAnsi" w:hAnsiTheme="minorHAnsi" w:cstheme="minorHAnsi"/>
          <w:b/>
          <w:sz w:val="22"/>
          <w:szCs w:val="22"/>
        </w:rPr>
      </w:pPr>
      <w:r w:rsidRPr="007425E9">
        <w:rPr>
          <w:rFonts w:asciiTheme="minorHAnsi" w:hAnsiTheme="minorHAnsi" w:cstheme="minorHAnsi"/>
          <w:b/>
          <w:noProof/>
          <w:sz w:val="22"/>
          <w:szCs w:val="22"/>
        </w:rPr>
        <w:drawing>
          <wp:inline distT="0" distB="0" distL="0" distR="0">
            <wp:extent cx="6648450" cy="3419475"/>
            <wp:effectExtent l="19050" t="0" r="0" b="0"/>
            <wp:docPr id="198"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1" cstate="print"/>
                    <a:stretch>
                      <a:fillRect/>
                    </a:stretch>
                  </pic:blipFill>
                  <pic:spPr>
                    <a:xfrm>
                      <a:off x="0" y="0"/>
                      <a:ext cx="6647620" cy="3419048"/>
                    </a:xfrm>
                    <a:prstGeom prst="rect">
                      <a:avLst/>
                    </a:prstGeom>
                  </pic:spPr>
                </pic:pic>
              </a:graphicData>
            </a:graphic>
          </wp:inline>
        </w:drawing>
      </w:r>
    </w:p>
    <w:p w:rsidR="00432FD0" w:rsidRPr="00CD57B8" w:rsidRDefault="00432FD0" w:rsidP="00432FD0">
      <w:pPr>
        <w:jc w:val="both"/>
        <w:rPr>
          <w:rFonts w:asciiTheme="minorHAnsi" w:hAnsiTheme="minorHAnsi" w:cstheme="minorHAnsi"/>
          <w:b/>
          <w:sz w:val="22"/>
          <w:szCs w:val="22"/>
        </w:rPr>
      </w:pPr>
    </w:p>
    <w:p w:rsidR="00432FD0" w:rsidRDefault="00F27757" w:rsidP="00432FD0">
      <w:pPr>
        <w:jc w:val="both"/>
        <w:rPr>
          <w:rFonts w:asciiTheme="minorHAnsi" w:hAnsiTheme="minorHAnsi" w:cstheme="minorHAnsi"/>
          <w:i/>
          <w:sz w:val="22"/>
          <w:szCs w:val="22"/>
        </w:rPr>
      </w:pPr>
      <w:r w:rsidRPr="00F27757">
        <w:rPr>
          <w:noProof/>
        </w:rPr>
        <w:drawing>
          <wp:inline distT="0" distB="0" distL="0" distR="0">
            <wp:extent cx="6648450" cy="4133850"/>
            <wp:effectExtent l="19050" t="0" r="0" b="0"/>
            <wp:docPr id="144"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cstate="print"/>
                    <a:stretch>
                      <a:fillRect/>
                    </a:stretch>
                  </pic:blipFill>
                  <pic:spPr>
                    <a:xfrm>
                      <a:off x="0" y="0"/>
                      <a:ext cx="6657542" cy="4139503"/>
                    </a:xfrm>
                    <a:prstGeom prst="rect">
                      <a:avLst/>
                    </a:prstGeom>
                  </pic:spPr>
                </pic:pic>
              </a:graphicData>
            </a:graphic>
          </wp:inline>
        </w:drawing>
      </w:r>
    </w:p>
    <w:p w:rsidR="00432FD0" w:rsidRDefault="00432FD0" w:rsidP="00432FD0">
      <w:pPr>
        <w:jc w:val="both"/>
        <w:rPr>
          <w:rFonts w:asciiTheme="minorHAnsi" w:hAnsiTheme="minorHAnsi" w:cstheme="minorHAnsi"/>
          <w:i/>
          <w:sz w:val="22"/>
          <w:szCs w:val="22"/>
        </w:rPr>
      </w:pPr>
    </w:p>
    <w:p w:rsidR="001D49F8" w:rsidRDefault="001D49F8" w:rsidP="00432FD0">
      <w:pPr>
        <w:jc w:val="both"/>
        <w:rPr>
          <w:rFonts w:asciiTheme="minorHAnsi" w:hAnsiTheme="minorHAnsi" w:cstheme="minorHAnsi"/>
          <w:i/>
          <w:sz w:val="22"/>
          <w:szCs w:val="22"/>
        </w:rPr>
      </w:pPr>
    </w:p>
    <w:p w:rsidR="00F27757" w:rsidRPr="00CD57B8" w:rsidRDefault="00F27757" w:rsidP="00432FD0">
      <w:pPr>
        <w:jc w:val="both"/>
        <w:rPr>
          <w:rFonts w:asciiTheme="minorHAnsi" w:hAnsiTheme="minorHAnsi" w:cstheme="minorHAnsi"/>
          <w:i/>
          <w:sz w:val="22"/>
          <w:szCs w:val="22"/>
        </w:rPr>
      </w:pPr>
    </w:p>
    <w:p w:rsidR="00432FD0" w:rsidRPr="00CD57B8" w:rsidRDefault="001246CD" w:rsidP="00432FD0">
      <w:pPr>
        <w:jc w:val="center"/>
        <w:rPr>
          <w:rFonts w:asciiTheme="minorHAnsi" w:hAnsiTheme="minorHAnsi" w:cstheme="minorHAnsi"/>
          <w:sz w:val="22"/>
          <w:szCs w:val="22"/>
          <w:u w:val="single"/>
        </w:rPr>
      </w:pPr>
      <w:proofErr w:type="spellStart"/>
      <w:r>
        <w:rPr>
          <w:rFonts w:asciiTheme="minorHAnsi" w:hAnsiTheme="minorHAnsi" w:cstheme="minorHAnsi"/>
          <w:b/>
          <w:sz w:val="22"/>
          <w:szCs w:val="22"/>
          <w:u w:val="single"/>
        </w:rPr>
        <w:t>Moughataa</w:t>
      </w:r>
      <w:proofErr w:type="spellEnd"/>
      <w:r w:rsidR="00432FD0" w:rsidRPr="00CD57B8">
        <w:rPr>
          <w:rFonts w:asciiTheme="minorHAnsi" w:hAnsiTheme="minorHAnsi" w:cstheme="minorHAnsi"/>
          <w:b/>
          <w:sz w:val="22"/>
          <w:szCs w:val="22"/>
          <w:u w:val="single"/>
        </w:rPr>
        <w:t xml:space="preserve"> de </w:t>
      </w:r>
      <w:proofErr w:type="spellStart"/>
      <w:r w:rsidR="00432FD0" w:rsidRPr="00CD57B8">
        <w:rPr>
          <w:rFonts w:asciiTheme="minorHAnsi" w:hAnsiTheme="minorHAnsi" w:cstheme="minorHAnsi"/>
          <w:b/>
          <w:sz w:val="22"/>
          <w:szCs w:val="22"/>
          <w:u w:val="single"/>
        </w:rPr>
        <w:t>Monguel</w:t>
      </w:r>
      <w:proofErr w:type="spellEnd"/>
    </w:p>
    <w:p w:rsidR="00432FD0" w:rsidRPr="00CD57B8" w:rsidRDefault="00432FD0" w:rsidP="00432FD0">
      <w:pPr>
        <w:jc w:val="both"/>
        <w:rPr>
          <w:rFonts w:asciiTheme="minorHAnsi" w:hAnsiTheme="minorHAnsi" w:cstheme="minorHAnsi"/>
          <w:sz w:val="22"/>
          <w:szCs w:val="22"/>
        </w:rPr>
      </w:pPr>
    </w:p>
    <w:p w:rsidR="00432FD0" w:rsidRPr="00CD57B8" w:rsidRDefault="00432FD0" w:rsidP="00432FD0">
      <w:pPr>
        <w:jc w:val="both"/>
        <w:rPr>
          <w:rFonts w:asciiTheme="minorHAnsi" w:hAnsiTheme="minorHAnsi" w:cstheme="minorHAnsi"/>
          <w:sz w:val="22"/>
          <w:szCs w:val="22"/>
        </w:rPr>
      </w:pPr>
      <w:r w:rsidRPr="00CD57B8">
        <w:rPr>
          <w:rFonts w:asciiTheme="minorHAnsi" w:hAnsiTheme="minorHAnsi" w:cstheme="minorHAnsi"/>
          <w:sz w:val="22"/>
          <w:szCs w:val="22"/>
        </w:rPr>
        <w:t xml:space="preserve">Les communes de la </w:t>
      </w:r>
      <w:proofErr w:type="spellStart"/>
      <w:r w:rsidR="001246CD">
        <w:rPr>
          <w:rFonts w:asciiTheme="minorHAnsi" w:hAnsiTheme="minorHAnsi" w:cstheme="minorHAnsi"/>
          <w:sz w:val="22"/>
          <w:szCs w:val="22"/>
        </w:rPr>
        <w:t>Moughataa</w:t>
      </w:r>
      <w:proofErr w:type="spellEnd"/>
      <w:r w:rsidRPr="00CD57B8">
        <w:rPr>
          <w:rFonts w:asciiTheme="minorHAnsi" w:hAnsiTheme="minorHAnsi" w:cstheme="minorHAnsi"/>
          <w:sz w:val="22"/>
          <w:szCs w:val="22"/>
        </w:rPr>
        <w:t xml:space="preserve"> de </w:t>
      </w:r>
      <w:proofErr w:type="spellStart"/>
      <w:r w:rsidRPr="00CD57B8">
        <w:rPr>
          <w:rFonts w:asciiTheme="minorHAnsi" w:hAnsiTheme="minorHAnsi" w:cstheme="minorHAnsi"/>
          <w:sz w:val="22"/>
          <w:szCs w:val="22"/>
        </w:rPr>
        <w:t>Mon</w:t>
      </w:r>
      <w:r w:rsidR="002E7079">
        <w:rPr>
          <w:rFonts w:asciiTheme="minorHAnsi" w:hAnsiTheme="minorHAnsi" w:cstheme="minorHAnsi"/>
          <w:sz w:val="22"/>
          <w:szCs w:val="22"/>
        </w:rPr>
        <w:t>guel</w:t>
      </w:r>
      <w:proofErr w:type="spellEnd"/>
      <w:r w:rsidR="002E7079">
        <w:rPr>
          <w:rFonts w:asciiTheme="minorHAnsi" w:hAnsiTheme="minorHAnsi" w:cstheme="minorHAnsi"/>
          <w:sz w:val="22"/>
          <w:szCs w:val="22"/>
        </w:rPr>
        <w:t xml:space="preserve"> ont bénéficié d’un FRD 2012 pour l’équipement de 30 351 365 MRO (+16,57 % par rapport à 2011). Elles ont engagé 36 739 714</w:t>
      </w:r>
      <w:r w:rsidRPr="00CD57B8">
        <w:rPr>
          <w:rFonts w:asciiTheme="minorHAnsi" w:hAnsiTheme="minorHAnsi" w:cstheme="minorHAnsi"/>
          <w:sz w:val="22"/>
          <w:szCs w:val="22"/>
        </w:rPr>
        <w:t xml:space="preserve"> MRO pour la réalisation de </w:t>
      </w:r>
      <w:r w:rsidR="002E7079">
        <w:rPr>
          <w:rFonts w:asciiTheme="minorHAnsi" w:hAnsiTheme="minorHAnsi" w:cstheme="minorHAnsi"/>
          <w:b/>
          <w:sz w:val="22"/>
          <w:szCs w:val="22"/>
        </w:rPr>
        <w:t>51</w:t>
      </w:r>
      <w:r w:rsidRPr="00C762B7">
        <w:rPr>
          <w:rFonts w:asciiTheme="minorHAnsi" w:hAnsiTheme="minorHAnsi" w:cstheme="minorHAnsi"/>
          <w:b/>
          <w:sz w:val="22"/>
          <w:szCs w:val="22"/>
        </w:rPr>
        <w:t xml:space="preserve"> projets</w:t>
      </w:r>
      <w:r w:rsidRPr="00CD57B8">
        <w:rPr>
          <w:rFonts w:asciiTheme="minorHAnsi" w:hAnsiTheme="minorHAnsi" w:cstheme="minorHAnsi"/>
          <w:sz w:val="22"/>
          <w:szCs w:val="22"/>
        </w:rPr>
        <w:t xml:space="preserve">, soit un </w:t>
      </w:r>
      <w:r w:rsidRPr="00CD57B8">
        <w:rPr>
          <w:rFonts w:asciiTheme="minorHAnsi" w:hAnsiTheme="minorHAnsi" w:cstheme="minorHAnsi"/>
          <w:b/>
          <w:sz w:val="22"/>
          <w:szCs w:val="22"/>
        </w:rPr>
        <w:t>taux d’absorption de 1</w:t>
      </w:r>
      <w:r w:rsidR="002E7079">
        <w:rPr>
          <w:rFonts w:asciiTheme="minorHAnsi" w:hAnsiTheme="minorHAnsi" w:cstheme="minorHAnsi"/>
          <w:b/>
          <w:sz w:val="22"/>
          <w:szCs w:val="22"/>
        </w:rPr>
        <w:t>21,05</w:t>
      </w:r>
      <w:r w:rsidRPr="00CD57B8">
        <w:rPr>
          <w:rFonts w:asciiTheme="minorHAnsi" w:hAnsiTheme="minorHAnsi" w:cstheme="minorHAnsi"/>
          <w:b/>
          <w:sz w:val="22"/>
          <w:szCs w:val="22"/>
        </w:rPr>
        <w:t xml:space="preserve"> %.</w:t>
      </w:r>
    </w:p>
    <w:p w:rsidR="00432FD0" w:rsidRPr="00CD57B8" w:rsidRDefault="00432FD0" w:rsidP="00432FD0">
      <w:pPr>
        <w:jc w:val="both"/>
        <w:rPr>
          <w:rFonts w:asciiTheme="minorHAnsi" w:hAnsiTheme="minorHAnsi" w:cstheme="minorHAnsi"/>
          <w:sz w:val="22"/>
          <w:szCs w:val="22"/>
        </w:rPr>
      </w:pPr>
    </w:p>
    <w:p w:rsidR="00432FD0" w:rsidRPr="00CD57B8" w:rsidRDefault="00432FD0" w:rsidP="00432FD0">
      <w:pPr>
        <w:jc w:val="both"/>
        <w:rPr>
          <w:rFonts w:asciiTheme="minorHAnsi" w:hAnsiTheme="minorHAnsi" w:cstheme="minorHAnsi"/>
          <w:sz w:val="22"/>
          <w:szCs w:val="22"/>
        </w:rPr>
      </w:pPr>
    </w:p>
    <w:p w:rsidR="00432FD0" w:rsidRDefault="00432FD0" w:rsidP="00432FD0">
      <w:pPr>
        <w:jc w:val="both"/>
        <w:rPr>
          <w:rFonts w:asciiTheme="minorHAnsi" w:hAnsiTheme="minorHAnsi" w:cstheme="minorHAnsi"/>
          <w:sz w:val="22"/>
          <w:szCs w:val="22"/>
        </w:rPr>
      </w:pPr>
      <w:r w:rsidRPr="005C6B78">
        <w:rPr>
          <w:noProof/>
        </w:rPr>
        <w:drawing>
          <wp:inline distT="0" distB="0" distL="0" distR="0">
            <wp:extent cx="3276600" cy="4419600"/>
            <wp:effectExtent l="19050" t="0" r="0" b="0"/>
            <wp:docPr id="199"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cstate="print"/>
                    <a:stretch>
                      <a:fillRect/>
                    </a:stretch>
                  </pic:blipFill>
                  <pic:spPr>
                    <a:xfrm>
                      <a:off x="0" y="0"/>
                      <a:ext cx="3276190" cy="4419048"/>
                    </a:xfrm>
                    <a:prstGeom prst="rect">
                      <a:avLst/>
                    </a:prstGeom>
                  </pic:spPr>
                </pic:pic>
              </a:graphicData>
            </a:graphic>
          </wp:inline>
        </w:drawing>
      </w:r>
      <w:r w:rsidRPr="00E63D27">
        <w:rPr>
          <w:rFonts w:asciiTheme="minorHAnsi" w:hAnsiTheme="minorHAnsi" w:cstheme="minorHAnsi"/>
          <w:noProof/>
          <w:sz w:val="22"/>
          <w:szCs w:val="22"/>
        </w:rPr>
        <w:drawing>
          <wp:inline distT="0" distB="0" distL="0" distR="0">
            <wp:extent cx="3248025" cy="4419600"/>
            <wp:effectExtent l="19050" t="0" r="9525" b="0"/>
            <wp:docPr id="200"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cstate="print"/>
                    <a:stretch>
                      <a:fillRect/>
                    </a:stretch>
                  </pic:blipFill>
                  <pic:spPr>
                    <a:xfrm>
                      <a:off x="0" y="0"/>
                      <a:ext cx="3248025" cy="4419600"/>
                    </a:xfrm>
                    <a:prstGeom prst="rect">
                      <a:avLst/>
                    </a:prstGeom>
                  </pic:spPr>
                </pic:pic>
              </a:graphicData>
            </a:graphic>
          </wp:inline>
        </w:drawing>
      </w:r>
    </w:p>
    <w:p w:rsidR="001D49F8" w:rsidRDefault="001D49F8" w:rsidP="00432FD0">
      <w:pPr>
        <w:jc w:val="both"/>
        <w:rPr>
          <w:rFonts w:asciiTheme="minorHAnsi" w:hAnsiTheme="minorHAnsi" w:cstheme="minorHAnsi"/>
          <w:sz w:val="22"/>
          <w:szCs w:val="22"/>
        </w:rPr>
      </w:pPr>
      <w:r w:rsidRPr="001D49F8">
        <w:rPr>
          <w:noProof/>
          <w:szCs w:val="22"/>
        </w:rPr>
        <w:drawing>
          <wp:inline distT="0" distB="0" distL="0" distR="0">
            <wp:extent cx="6645910" cy="2447925"/>
            <wp:effectExtent l="19050" t="0" r="2540" b="0"/>
            <wp:docPr id="124" name="Imag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35" cstate="print"/>
                    <a:srcRect/>
                    <a:stretch>
                      <a:fillRect/>
                    </a:stretch>
                  </pic:blipFill>
                  <pic:spPr bwMode="auto">
                    <a:xfrm>
                      <a:off x="0" y="0"/>
                      <a:ext cx="6645910" cy="2447925"/>
                    </a:xfrm>
                    <a:prstGeom prst="rect">
                      <a:avLst/>
                    </a:prstGeom>
                    <a:noFill/>
                    <a:ln w="9525">
                      <a:noFill/>
                      <a:miter lim="800000"/>
                      <a:headEnd/>
                      <a:tailEnd/>
                    </a:ln>
                  </pic:spPr>
                </pic:pic>
              </a:graphicData>
            </a:graphic>
          </wp:inline>
        </w:drawing>
      </w:r>
    </w:p>
    <w:p w:rsidR="001D49F8" w:rsidRDefault="001D49F8" w:rsidP="00432FD0">
      <w:pPr>
        <w:jc w:val="both"/>
        <w:rPr>
          <w:rFonts w:asciiTheme="minorHAnsi" w:hAnsiTheme="minorHAnsi" w:cstheme="minorHAnsi"/>
          <w:sz w:val="22"/>
          <w:szCs w:val="22"/>
        </w:rPr>
      </w:pPr>
    </w:p>
    <w:p w:rsidR="001D49F8" w:rsidRPr="00CD57B8" w:rsidRDefault="001D49F8" w:rsidP="001D49F8">
      <w:pPr>
        <w:jc w:val="both"/>
        <w:rPr>
          <w:rFonts w:asciiTheme="minorHAnsi" w:hAnsiTheme="minorHAnsi" w:cstheme="minorHAnsi"/>
          <w:sz w:val="22"/>
          <w:szCs w:val="22"/>
        </w:rPr>
      </w:pPr>
      <w:r w:rsidRPr="00CD57B8">
        <w:rPr>
          <w:rFonts w:asciiTheme="minorHAnsi" w:hAnsiTheme="minorHAnsi" w:cstheme="minorHAnsi"/>
          <w:sz w:val="22"/>
          <w:szCs w:val="22"/>
        </w:rPr>
        <w:t xml:space="preserve">Le taux d’absorption pour la </w:t>
      </w:r>
      <w:proofErr w:type="spellStart"/>
      <w:r w:rsidR="001246CD">
        <w:rPr>
          <w:rFonts w:asciiTheme="minorHAnsi" w:hAnsiTheme="minorHAnsi" w:cstheme="minorHAnsi"/>
          <w:sz w:val="22"/>
          <w:szCs w:val="22"/>
        </w:rPr>
        <w:t>Moughataa</w:t>
      </w:r>
      <w:proofErr w:type="spellEnd"/>
      <w:r>
        <w:rPr>
          <w:rFonts w:asciiTheme="minorHAnsi" w:hAnsiTheme="minorHAnsi" w:cstheme="minorHAnsi"/>
          <w:sz w:val="22"/>
          <w:szCs w:val="22"/>
        </w:rPr>
        <w:t xml:space="preserve"> de </w:t>
      </w:r>
      <w:proofErr w:type="spellStart"/>
      <w:r>
        <w:rPr>
          <w:rFonts w:asciiTheme="minorHAnsi" w:hAnsiTheme="minorHAnsi" w:cstheme="minorHAnsi"/>
          <w:sz w:val="22"/>
          <w:szCs w:val="22"/>
        </w:rPr>
        <w:t>Monguel</w:t>
      </w:r>
      <w:proofErr w:type="spellEnd"/>
      <w:r>
        <w:rPr>
          <w:rFonts w:asciiTheme="minorHAnsi" w:hAnsiTheme="minorHAnsi" w:cstheme="minorHAnsi"/>
          <w:sz w:val="22"/>
          <w:szCs w:val="22"/>
        </w:rPr>
        <w:t xml:space="preserve"> est depuis 2010</w:t>
      </w:r>
      <w:r w:rsidRPr="00CD57B8">
        <w:rPr>
          <w:rFonts w:asciiTheme="minorHAnsi" w:hAnsiTheme="minorHAnsi" w:cstheme="minorHAnsi"/>
          <w:sz w:val="22"/>
          <w:szCs w:val="22"/>
        </w:rPr>
        <w:t xml:space="preserve"> situé à un niveau élevé et donc tout à fait s</w:t>
      </w:r>
      <w:r>
        <w:rPr>
          <w:rFonts w:asciiTheme="minorHAnsi" w:hAnsiTheme="minorHAnsi" w:cstheme="minorHAnsi"/>
          <w:sz w:val="22"/>
          <w:szCs w:val="22"/>
        </w:rPr>
        <w:t xml:space="preserve">atisfaisant. Il atteint même des sommets en 2012, avec pour résultat l’utilisation </w:t>
      </w:r>
      <w:r w:rsidR="00F27757">
        <w:rPr>
          <w:rFonts w:asciiTheme="minorHAnsi" w:hAnsiTheme="minorHAnsi" w:cstheme="minorHAnsi"/>
          <w:sz w:val="22"/>
          <w:szCs w:val="22"/>
        </w:rPr>
        <w:t xml:space="preserve">conséquente </w:t>
      </w:r>
      <w:r>
        <w:rPr>
          <w:rFonts w:asciiTheme="minorHAnsi" w:hAnsiTheme="minorHAnsi" w:cstheme="minorHAnsi"/>
          <w:sz w:val="22"/>
          <w:szCs w:val="22"/>
        </w:rPr>
        <w:t>des reliquats des exercices antérieurs.</w:t>
      </w:r>
      <w:r w:rsidR="00C37FE5">
        <w:rPr>
          <w:rFonts w:asciiTheme="minorHAnsi" w:hAnsiTheme="minorHAnsi" w:cstheme="minorHAnsi"/>
          <w:sz w:val="22"/>
          <w:szCs w:val="22"/>
        </w:rPr>
        <w:t xml:space="preserve"> Il est</w:t>
      </w:r>
      <w:r w:rsidR="00DB0304">
        <w:rPr>
          <w:rFonts w:asciiTheme="minorHAnsi" w:hAnsiTheme="minorHAnsi" w:cstheme="minorHAnsi"/>
          <w:sz w:val="22"/>
          <w:szCs w:val="22"/>
        </w:rPr>
        <w:t xml:space="preserve"> </w:t>
      </w:r>
      <w:r w:rsidR="00C37FE5">
        <w:rPr>
          <w:rFonts w:asciiTheme="minorHAnsi" w:hAnsiTheme="minorHAnsi" w:cstheme="minorHAnsi"/>
          <w:sz w:val="22"/>
          <w:szCs w:val="22"/>
        </w:rPr>
        <w:t xml:space="preserve">malgré tout  homogène dans la mesure où les Communes de la </w:t>
      </w:r>
      <w:proofErr w:type="spellStart"/>
      <w:r w:rsidR="00C37FE5">
        <w:rPr>
          <w:rFonts w:asciiTheme="minorHAnsi" w:hAnsiTheme="minorHAnsi" w:cstheme="minorHAnsi"/>
          <w:sz w:val="22"/>
          <w:szCs w:val="22"/>
        </w:rPr>
        <w:t>Moughataa</w:t>
      </w:r>
      <w:proofErr w:type="spellEnd"/>
      <w:r w:rsidR="00C37FE5">
        <w:rPr>
          <w:rFonts w:asciiTheme="minorHAnsi" w:hAnsiTheme="minorHAnsi" w:cstheme="minorHAnsi"/>
          <w:sz w:val="22"/>
          <w:szCs w:val="22"/>
        </w:rPr>
        <w:t xml:space="preserve"> voient leur taux compris entre 110,54% et 127,94%.</w:t>
      </w:r>
    </w:p>
    <w:p w:rsidR="001D49F8" w:rsidRPr="00CD57B8" w:rsidRDefault="001D49F8" w:rsidP="001D49F8">
      <w:pPr>
        <w:jc w:val="both"/>
        <w:rPr>
          <w:rFonts w:asciiTheme="minorHAnsi" w:hAnsiTheme="minorHAnsi" w:cstheme="minorHAnsi"/>
          <w:sz w:val="22"/>
          <w:szCs w:val="22"/>
        </w:rPr>
      </w:pPr>
    </w:p>
    <w:p w:rsidR="001D49F8" w:rsidRDefault="001D49F8" w:rsidP="001D49F8">
      <w:pPr>
        <w:jc w:val="both"/>
        <w:rPr>
          <w:rFonts w:asciiTheme="minorHAnsi" w:hAnsiTheme="minorHAnsi" w:cstheme="minorHAnsi"/>
          <w:sz w:val="22"/>
          <w:szCs w:val="22"/>
        </w:rPr>
      </w:pPr>
      <w:r w:rsidRPr="00CD57B8">
        <w:rPr>
          <w:rFonts w:asciiTheme="minorHAnsi" w:hAnsiTheme="minorHAnsi" w:cstheme="minorHAnsi"/>
          <w:sz w:val="22"/>
          <w:szCs w:val="22"/>
        </w:rPr>
        <w:t xml:space="preserve">Le </w:t>
      </w:r>
      <w:r>
        <w:rPr>
          <w:rFonts w:asciiTheme="minorHAnsi" w:hAnsiTheme="minorHAnsi" w:cstheme="minorHAnsi"/>
          <w:sz w:val="22"/>
          <w:szCs w:val="22"/>
        </w:rPr>
        <w:t>montant moyen par projet constaté en 2012 est bien inférieur</w:t>
      </w:r>
      <w:r w:rsidRPr="00CD57B8">
        <w:rPr>
          <w:rFonts w:asciiTheme="minorHAnsi" w:hAnsiTheme="minorHAnsi" w:cstheme="minorHAnsi"/>
          <w:sz w:val="22"/>
          <w:szCs w:val="22"/>
        </w:rPr>
        <w:t xml:space="preserve"> à ceux correspondant aux niveaux régional et national. </w:t>
      </w:r>
      <w:r>
        <w:rPr>
          <w:rFonts w:asciiTheme="minorHAnsi" w:hAnsiTheme="minorHAnsi" w:cstheme="minorHAnsi"/>
          <w:sz w:val="22"/>
          <w:szCs w:val="22"/>
        </w:rPr>
        <w:t>Il est en outre passé de 1 118 270 MRO en 2011 à 720 387 MRO en 2012. Cette baisse s’explique par l’augmentation du nombre de projets : 24 en 2011 contre 51 en 2012.</w:t>
      </w:r>
    </w:p>
    <w:p w:rsidR="001D49F8" w:rsidRDefault="001D49F8" w:rsidP="00432FD0">
      <w:pPr>
        <w:jc w:val="both"/>
        <w:rPr>
          <w:rFonts w:asciiTheme="minorHAnsi" w:hAnsiTheme="minorHAnsi" w:cstheme="minorHAnsi"/>
          <w:sz w:val="22"/>
          <w:szCs w:val="22"/>
        </w:rPr>
      </w:pPr>
    </w:p>
    <w:p w:rsidR="001D49F8" w:rsidRDefault="001D49F8" w:rsidP="001D49F8">
      <w:pPr>
        <w:jc w:val="both"/>
        <w:rPr>
          <w:rFonts w:asciiTheme="minorHAnsi" w:hAnsiTheme="minorHAnsi" w:cstheme="minorHAnsi"/>
          <w:sz w:val="22"/>
          <w:szCs w:val="22"/>
        </w:rPr>
      </w:pPr>
      <w:r>
        <w:rPr>
          <w:rFonts w:asciiTheme="minorHAnsi" w:hAnsiTheme="minorHAnsi" w:cstheme="minorHAnsi"/>
          <w:sz w:val="22"/>
          <w:szCs w:val="22"/>
        </w:rPr>
        <w:t xml:space="preserve">An niveau de la </w:t>
      </w:r>
      <w:proofErr w:type="spellStart"/>
      <w:r w:rsidR="001246CD">
        <w:rPr>
          <w:rFonts w:asciiTheme="minorHAnsi" w:hAnsiTheme="minorHAnsi" w:cstheme="minorHAnsi"/>
          <w:sz w:val="22"/>
          <w:szCs w:val="22"/>
        </w:rPr>
        <w:t>Moughataa</w:t>
      </w:r>
      <w:proofErr w:type="spellEnd"/>
      <w:r>
        <w:rPr>
          <w:rFonts w:asciiTheme="minorHAnsi" w:hAnsiTheme="minorHAnsi" w:cstheme="minorHAnsi"/>
          <w:sz w:val="22"/>
          <w:szCs w:val="22"/>
        </w:rPr>
        <w:t xml:space="preserve"> de </w:t>
      </w:r>
      <w:proofErr w:type="spellStart"/>
      <w:r>
        <w:rPr>
          <w:rFonts w:asciiTheme="minorHAnsi" w:hAnsiTheme="minorHAnsi" w:cstheme="minorHAnsi"/>
          <w:sz w:val="22"/>
          <w:szCs w:val="22"/>
        </w:rPr>
        <w:t>Monguel</w:t>
      </w:r>
      <w:proofErr w:type="spellEnd"/>
      <w:r>
        <w:rPr>
          <w:rFonts w:asciiTheme="minorHAnsi" w:hAnsiTheme="minorHAnsi" w:cstheme="minorHAnsi"/>
          <w:sz w:val="22"/>
          <w:szCs w:val="22"/>
        </w:rPr>
        <w:t>, 13 projets pour la priorité n°1 : appui aux coopératives, associations et ONG pour 12 620 452 MRO, soit 34,35% des engagements.</w:t>
      </w:r>
    </w:p>
    <w:p w:rsidR="001D49F8" w:rsidRDefault="001D49F8" w:rsidP="001D49F8">
      <w:pPr>
        <w:jc w:val="both"/>
        <w:rPr>
          <w:rFonts w:asciiTheme="minorHAnsi" w:hAnsiTheme="minorHAnsi" w:cstheme="minorHAnsi"/>
          <w:sz w:val="22"/>
          <w:szCs w:val="22"/>
        </w:rPr>
      </w:pPr>
      <w:r>
        <w:rPr>
          <w:rFonts w:asciiTheme="minorHAnsi" w:hAnsiTheme="minorHAnsi" w:cstheme="minorHAnsi"/>
          <w:sz w:val="22"/>
          <w:szCs w:val="22"/>
        </w:rPr>
        <w:t>En ce qui concerne la priorité n°2 (secteur de l’hydraulique) : 14 projets pour 8 840 000 MRO, soit 24,06% des engagements.</w:t>
      </w:r>
    </w:p>
    <w:p w:rsidR="001D49F8" w:rsidRDefault="001D49F8" w:rsidP="001D49F8">
      <w:pPr>
        <w:jc w:val="both"/>
        <w:rPr>
          <w:rFonts w:asciiTheme="minorHAnsi" w:hAnsiTheme="minorHAnsi" w:cstheme="minorHAnsi"/>
          <w:i/>
          <w:sz w:val="22"/>
          <w:szCs w:val="22"/>
        </w:rPr>
      </w:pPr>
      <w:r>
        <w:rPr>
          <w:rFonts w:asciiTheme="minorHAnsi" w:hAnsiTheme="minorHAnsi" w:cstheme="minorHAnsi"/>
          <w:sz w:val="22"/>
          <w:szCs w:val="22"/>
        </w:rPr>
        <w:t>L’éducation en troisième priorité : 8 projets se partageant 6 030 000 MRO, soit 16,41% des engagements.</w:t>
      </w:r>
    </w:p>
    <w:p w:rsidR="001D49F8" w:rsidRPr="00CD57B8" w:rsidRDefault="001D49F8" w:rsidP="00432FD0">
      <w:pPr>
        <w:jc w:val="both"/>
        <w:rPr>
          <w:rFonts w:asciiTheme="minorHAnsi" w:hAnsiTheme="minorHAnsi" w:cstheme="minorHAnsi"/>
          <w:sz w:val="22"/>
          <w:szCs w:val="22"/>
        </w:rPr>
      </w:pPr>
    </w:p>
    <w:p w:rsidR="00432FD0" w:rsidRDefault="00432FD0" w:rsidP="00432FD0">
      <w:pPr>
        <w:jc w:val="both"/>
        <w:rPr>
          <w:rFonts w:asciiTheme="minorHAnsi" w:hAnsiTheme="minorHAnsi" w:cstheme="minorHAnsi"/>
          <w:b/>
          <w:sz w:val="22"/>
          <w:szCs w:val="22"/>
        </w:rPr>
      </w:pPr>
      <w:r w:rsidRPr="00C96B57">
        <w:rPr>
          <w:rFonts w:asciiTheme="minorHAnsi" w:hAnsiTheme="minorHAnsi" w:cstheme="minorHAnsi"/>
          <w:b/>
          <w:noProof/>
          <w:sz w:val="22"/>
          <w:szCs w:val="22"/>
        </w:rPr>
        <w:drawing>
          <wp:inline distT="0" distB="0" distL="0" distR="0">
            <wp:extent cx="6543675" cy="2905125"/>
            <wp:effectExtent l="19050" t="0" r="9525" b="0"/>
            <wp:docPr id="201"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cstate="print"/>
                    <a:stretch>
                      <a:fillRect/>
                    </a:stretch>
                  </pic:blipFill>
                  <pic:spPr>
                    <a:xfrm>
                      <a:off x="0" y="0"/>
                      <a:ext cx="6542858" cy="2904762"/>
                    </a:xfrm>
                    <a:prstGeom prst="rect">
                      <a:avLst/>
                    </a:prstGeom>
                  </pic:spPr>
                </pic:pic>
              </a:graphicData>
            </a:graphic>
          </wp:inline>
        </w:drawing>
      </w:r>
    </w:p>
    <w:p w:rsidR="00432FD0" w:rsidRPr="00CD57B8" w:rsidRDefault="00C37FE5" w:rsidP="00432FD0">
      <w:pPr>
        <w:jc w:val="both"/>
        <w:rPr>
          <w:rFonts w:asciiTheme="minorHAnsi" w:hAnsiTheme="minorHAnsi" w:cstheme="minorHAnsi"/>
          <w:b/>
          <w:sz w:val="22"/>
          <w:szCs w:val="22"/>
        </w:rPr>
      </w:pPr>
      <w:r w:rsidRPr="00C37FE5">
        <w:rPr>
          <w:noProof/>
        </w:rPr>
        <w:drawing>
          <wp:inline distT="0" distB="0" distL="0" distR="0">
            <wp:extent cx="6543675" cy="3838575"/>
            <wp:effectExtent l="19050" t="0" r="0" b="0"/>
            <wp:docPr id="147"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cstate="print"/>
                    <a:stretch>
                      <a:fillRect/>
                    </a:stretch>
                  </pic:blipFill>
                  <pic:spPr>
                    <a:xfrm>
                      <a:off x="0" y="0"/>
                      <a:ext cx="6557931" cy="3846938"/>
                    </a:xfrm>
                    <a:prstGeom prst="rect">
                      <a:avLst/>
                    </a:prstGeom>
                  </pic:spPr>
                </pic:pic>
              </a:graphicData>
            </a:graphic>
          </wp:inline>
        </w:drawing>
      </w:r>
    </w:p>
    <w:p w:rsidR="00733A35" w:rsidRDefault="00042974" w:rsidP="00042974">
      <w:pPr>
        <w:spacing w:after="200" w:line="276" w:lineRule="auto"/>
        <w:rPr>
          <w:rFonts w:asciiTheme="minorHAnsi" w:hAnsiTheme="minorHAnsi" w:cstheme="minorHAnsi"/>
        </w:rPr>
      </w:pPr>
      <w:r>
        <w:rPr>
          <w:rFonts w:asciiTheme="minorHAnsi" w:hAnsiTheme="minorHAnsi" w:cstheme="minorHAnsi"/>
        </w:rPr>
        <w:br w:type="page"/>
      </w:r>
    </w:p>
    <w:p w:rsidR="004D63EC" w:rsidRPr="007D7D09" w:rsidRDefault="001246CD" w:rsidP="004D63EC">
      <w:pPr>
        <w:pBdr>
          <w:top w:val="single" w:sz="4" w:space="1" w:color="auto"/>
          <w:left w:val="single" w:sz="4" w:space="4" w:color="auto"/>
          <w:bottom w:val="single" w:sz="4" w:space="2" w:color="auto"/>
          <w:right w:val="single" w:sz="4" w:space="4" w:color="auto"/>
          <w:between w:val="single" w:sz="4" w:space="1" w:color="auto"/>
          <w:bar w:val="single" w:sz="4" w:color="auto"/>
        </w:pBdr>
        <w:shd w:val="clear" w:color="auto" w:fill="92D050"/>
        <w:rPr>
          <w:rFonts w:asciiTheme="minorHAnsi" w:hAnsiTheme="minorHAnsi" w:cstheme="minorHAnsi"/>
          <w:b/>
          <w:smallCaps/>
          <w:sz w:val="28"/>
          <w:szCs w:val="28"/>
        </w:rPr>
      </w:pPr>
      <w:r>
        <w:rPr>
          <w:rFonts w:asciiTheme="minorHAnsi" w:hAnsiTheme="minorHAnsi" w:cstheme="minorHAnsi"/>
          <w:b/>
          <w:smallCaps/>
          <w:sz w:val="28"/>
          <w:szCs w:val="28"/>
        </w:rPr>
        <w:t>Wilaya</w:t>
      </w:r>
      <w:r w:rsidR="004D63EC" w:rsidRPr="007D7D09">
        <w:rPr>
          <w:rFonts w:asciiTheme="minorHAnsi" w:hAnsiTheme="minorHAnsi" w:cstheme="minorHAnsi"/>
          <w:b/>
          <w:smallCaps/>
          <w:sz w:val="28"/>
          <w:szCs w:val="28"/>
        </w:rPr>
        <w:t xml:space="preserve"> du </w:t>
      </w:r>
      <w:proofErr w:type="spellStart"/>
      <w:r w:rsidR="004D63EC">
        <w:rPr>
          <w:rFonts w:asciiTheme="minorHAnsi" w:hAnsiTheme="minorHAnsi" w:cstheme="minorHAnsi"/>
          <w:b/>
          <w:smallCaps/>
          <w:sz w:val="28"/>
          <w:szCs w:val="28"/>
        </w:rPr>
        <w:t>Brakna</w:t>
      </w:r>
      <w:proofErr w:type="spellEnd"/>
    </w:p>
    <w:p w:rsidR="004D63EC" w:rsidRDefault="004D63EC" w:rsidP="004D63EC">
      <w:pPr>
        <w:rPr>
          <w:rFonts w:asciiTheme="minorHAnsi" w:hAnsiTheme="minorHAnsi" w:cstheme="minorHAnsi"/>
          <w:b/>
          <w:smallCaps/>
          <w:sz w:val="28"/>
          <w:szCs w:val="28"/>
        </w:rPr>
      </w:pPr>
    </w:p>
    <w:p w:rsidR="00042974" w:rsidRPr="0083275F" w:rsidRDefault="00042974" w:rsidP="004D63EC">
      <w:pPr>
        <w:rPr>
          <w:rFonts w:asciiTheme="minorHAnsi" w:hAnsiTheme="minorHAnsi" w:cstheme="minorHAnsi"/>
          <w:b/>
          <w:smallCaps/>
          <w:sz w:val="28"/>
          <w:szCs w:val="28"/>
        </w:rPr>
      </w:pPr>
      <w:r w:rsidRPr="00042974">
        <w:rPr>
          <w:noProof/>
        </w:rPr>
        <w:drawing>
          <wp:inline distT="0" distB="0" distL="0" distR="0">
            <wp:extent cx="6715125" cy="3333750"/>
            <wp:effectExtent l="19050" t="0" r="9525" b="0"/>
            <wp:docPr id="259"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8" cstate="print"/>
                    <a:stretch>
                      <a:fillRect/>
                    </a:stretch>
                  </pic:blipFill>
                  <pic:spPr>
                    <a:xfrm>
                      <a:off x="0" y="0"/>
                      <a:ext cx="6715125" cy="3333750"/>
                    </a:xfrm>
                    <a:prstGeom prst="rect">
                      <a:avLst/>
                    </a:prstGeom>
                  </pic:spPr>
                </pic:pic>
              </a:graphicData>
            </a:graphic>
          </wp:inline>
        </w:drawing>
      </w:r>
    </w:p>
    <w:p w:rsidR="004D63EC" w:rsidRPr="003F4E0F" w:rsidRDefault="004D63EC" w:rsidP="004D63EC">
      <w:pPr>
        <w:jc w:val="both"/>
        <w:rPr>
          <w:rFonts w:asciiTheme="minorHAnsi" w:hAnsiTheme="minorHAnsi" w:cstheme="minorHAnsi"/>
          <w:sz w:val="22"/>
          <w:szCs w:val="22"/>
        </w:rPr>
      </w:pPr>
    </w:p>
    <w:p w:rsidR="004D63EC" w:rsidRDefault="004D63EC" w:rsidP="004D63EC">
      <w:pPr>
        <w:jc w:val="both"/>
        <w:rPr>
          <w:rFonts w:asciiTheme="minorHAnsi" w:hAnsiTheme="minorHAnsi" w:cstheme="minorHAnsi"/>
          <w:sz w:val="22"/>
          <w:szCs w:val="22"/>
        </w:rPr>
      </w:pPr>
    </w:p>
    <w:p w:rsidR="00235628" w:rsidRPr="003F4E0F" w:rsidRDefault="00235628" w:rsidP="00235628">
      <w:pPr>
        <w:jc w:val="both"/>
        <w:rPr>
          <w:rFonts w:asciiTheme="minorHAnsi" w:hAnsiTheme="minorHAnsi" w:cstheme="minorHAnsi"/>
          <w:sz w:val="22"/>
          <w:szCs w:val="22"/>
        </w:rPr>
      </w:pPr>
      <w:r w:rsidRPr="003F4E0F">
        <w:rPr>
          <w:rFonts w:asciiTheme="minorHAnsi" w:hAnsiTheme="minorHAnsi" w:cstheme="minorHAnsi"/>
          <w:sz w:val="22"/>
          <w:szCs w:val="22"/>
        </w:rPr>
        <w:t xml:space="preserve">La </w:t>
      </w:r>
      <w:r w:rsidR="001246CD">
        <w:rPr>
          <w:rFonts w:asciiTheme="minorHAnsi" w:hAnsiTheme="minorHAnsi" w:cstheme="minorHAnsi"/>
          <w:sz w:val="22"/>
          <w:szCs w:val="22"/>
        </w:rPr>
        <w:t>Wilaya</w:t>
      </w:r>
      <w:r w:rsidRPr="003F4E0F">
        <w:rPr>
          <w:rFonts w:asciiTheme="minorHAnsi" w:hAnsiTheme="minorHAnsi" w:cstheme="minorHAnsi"/>
          <w:sz w:val="22"/>
          <w:szCs w:val="22"/>
        </w:rPr>
        <w:t xml:space="preserve"> du </w:t>
      </w:r>
      <w:proofErr w:type="spellStart"/>
      <w:r w:rsidRPr="003F4E0F">
        <w:rPr>
          <w:rFonts w:asciiTheme="minorHAnsi" w:hAnsiTheme="minorHAnsi" w:cstheme="minorHAnsi"/>
          <w:sz w:val="22"/>
          <w:szCs w:val="22"/>
        </w:rPr>
        <w:t>Brakna</w:t>
      </w:r>
      <w:proofErr w:type="spellEnd"/>
      <w:r w:rsidRPr="003F4E0F">
        <w:rPr>
          <w:rFonts w:asciiTheme="minorHAnsi" w:hAnsiTheme="minorHAnsi" w:cstheme="minorHAnsi"/>
          <w:sz w:val="22"/>
          <w:szCs w:val="22"/>
        </w:rPr>
        <w:t xml:space="preserve"> </w:t>
      </w:r>
      <w:r>
        <w:rPr>
          <w:rFonts w:asciiTheme="minorHAnsi" w:hAnsiTheme="minorHAnsi" w:cstheme="minorHAnsi"/>
          <w:sz w:val="22"/>
          <w:szCs w:val="22"/>
        </w:rPr>
        <w:t>a bénéficié pour l’exercice 2012</w:t>
      </w:r>
      <w:r w:rsidRPr="003F4E0F">
        <w:rPr>
          <w:rFonts w:asciiTheme="minorHAnsi" w:hAnsiTheme="minorHAnsi" w:cstheme="minorHAnsi"/>
          <w:sz w:val="22"/>
          <w:szCs w:val="22"/>
        </w:rPr>
        <w:t xml:space="preserve"> d’un FRD équipement de </w:t>
      </w:r>
      <w:r>
        <w:rPr>
          <w:rFonts w:asciiTheme="minorHAnsi" w:hAnsiTheme="minorHAnsi" w:cstheme="minorHAnsi"/>
          <w:b/>
          <w:sz w:val="22"/>
          <w:szCs w:val="22"/>
        </w:rPr>
        <w:t>215 304 720</w:t>
      </w:r>
      <w:r w:rsidRPr="003F4E0F">
        <w:rPr>
          <w:rFonts w:asciiTheme="minorHAnsi" w:hAnsiTheme="minorHAnsi" w:cstheme="minorHAnsi"/>
          <w:b/>
          <w:sz w:val="22"/>
          <w:szCs w:val="22"/>
        </w:rPr>
        <w:t xml:space="preserve"> </w:t>
      </w:r>
      <w:proofErr w:type="gramStart"/>
      <w:r w:rsidR="004871EA">
        <w:rPr>
          <w:rFonts w:asciiTheme="minorHAnsi" w:hAnsiTheme="minorHAnsi" w:cstheme="minorHAnsi"/>
          <w:b/>
          <w:sz w:val="22"/>
          <w:szCs w:val="22"/>
        </w:rPr>
        <w:t>ouguiya</w:t>
      </w:r>
      <w:proofErr w:type="gramEnd"/>
      <w:r w:rsidRPr="003F4E0F">
        <w:rPr>
          <w:rFonts w:asciiTheme="minorHAnsi" w:hAnsiTheme="minorHAnsi" w:cstheme="minorHAnsi"/>
          <w:sz w:val="22"/>
          <w:szCs w:val="22"/>
        </w:rPr>
        <w:t xml:space="preserve">, soit une hausse de </w:t>
      </w:r>
      <w:r>
        <w:rPr>
          <w:rFonts w:asciiTheme="minorHAnsi" w:hAnsiTheme="minorHAnsi" w:cstheme="minorHAnsi"/>
          <w:b/>
          <w:sz w:val="22"/>
          <w:szCs w:val="22"/>
        </w:rPr>
        <w:t>16,42</w:t>
      </w:r>
      <w:r w:rsidRPr="003F4E0F">
        <w:rPr>
          <w:rFonts w:asciiTheme="minorHAnsi" w:hAnsiTheme="minorHAnsi" w:cstheme="minorHAnsi"/>
          <w:b/>
          <w:sz w:val="22"/>
          <w:szCs w:val="22"/>
        </w:rPr>
        <w:t xml:space="preserve"> %.</w:t>
      </w:r>
      <w:r>
        <w:rPr>
          <w:rFonts w:asciiTheme="minorHAnsi" w:hAnsiTheme="minorHAnsi" w:cstheme="minorHAnsi"/>
          <w:sz w:val="22"/>
          <w:szCs w:val="22"/>
        </w:rPr>
        <w:t xml:space="preserve"> 199 864 740 </w:t>
      </w:r>
      <w:proofErr w:type="gramStart"/>
      <w:r w:rsidR="004871EA">
        <w:rPr>
          <w:rFonts w:asciiTheme="minorHAnsi" w:hAnsiTheme="minorHAnsi" w:cstheme="minorHAnsi"/>
          <w:sz w:val="22"/>
          <w:szCs w:val="22"/>
        </w:rPr>
        <w:t>ouguiya</w:t>
      </w:r>
      <w:proofErr w:type="gramEnd"/>
      <w:r>
        <w:rPr>
          <w:rFonts w:asciiTheme="minorHAnsi" w:hAnsiTheme="minorHAnsi" w:cstheme="minorHAnsi"/>
          <w:sz w:val="22"/>
          <w:szCs w:val="22"/>
        </w:rPr>
        <w:t xml:space="preserve"> ont été engagés en 2012</w:t>
      </w:r>
      <w:r w:rsidRPr="003F4E0F">
        <w:rPr>
          <w:rFonts w:asciiTheme="minorHAnsi" w:hAnsiTheme="minorHAnsi" w:cstheme="minorHAnsi"/>
          <w:sz w:val="22"/>
          <w:szCs w:val="22"/>
        </w:rPr>
        <w:t xml:space="preserve">, soit un </w:t>
      </w:r>
      <w:r>
        <w:rPr>
          <w:rFonts w:asciiTheme="minorHAnsi" w:hAnsiTheme="minorHAnsi" w:cstheme="minorHAnsi"/>
          <w:b/>
          <w:sz w:val="22"/>
          <w:szCs w:val="22"/>
        </w:rPr>
        <w:t>taux d’absorption de 92,83</w:t>
      </w:r>
      <w:r w:rsidRPr="003F4E0F">
        <w:rPr>
          <w:rFonts w:asciiTheme="minorHAnsi" w:hAnsiTheme="minorHAnsi" w:cstheme="minorHAnsi"/>
          <w:b/>
          <w:sz w:val="22"/>
          <w:szCs w:val="22"/>
        </w:rPr>
        <w:t xml:space="preserve"> %</w:t>
      </w:r>
      <w:r w:rsidRPr="003F4E0F">
        <w:rPr>
          <w:rFonts w:asciiTheme="minorHAnsi" w:hAnsiTheme="minorHAnsi" w:cstheme="minorHAnsi"/>
          <w:sz w:val="22"/>
          <w:szCs w:val="22"/>
        </w:rPr>
        <w:t xml:space="preserve">. </w:t>
      </w:r>
    </w:p>
    <w:p w:rsidR="00235628" w:rsidRPr="003F4E0F" w:rsidRDefault="00235628" w:rsidP="00235628">
      <w:pPr>
        <w:jc w:val="both"/>
        <w:rPr>
          <w:rFonts w:asciiTheme="minorHAnsi" w:hAnsiTheme="minorHAnsi" w:cstheme="minorHAnsi"/>
          <w:sz w:val="22"/>
          <w:szCs w:val="22"/>
        </w:rPr>
      </w:pPr>
      <w:r w:rsidRPr="003F4E0F">
        <w:rPr>
          <w:rFonts w:asciiTheme="minorHAnsi" w:hAnsiTheme="minorHAnsi" w:cstheme="minorHAnsi"/>
          <w:sz w:val="22"/>
          <w:szCs w:val="22"/>
        </w:rPr>
        <w:t>Il</w:t>
      </w:r>
      <w:r>
        <w:rPr>
          <w:rFonts w:asciiTheme="minorHAnsi" w:hAnsiTheme="minorHAnsi" w:cstheme="minorHAnsi"/>
          <w:sz w:val="22"/>
          <w:szCs w:val="22"/>
        </w:rPr>
        <w:t xml:space="preserve"> s’agit d’un taux relativement médiocre si l’on se réfère à la moyenne nationale fixée à 93,62% pour 2012, d’autant plus que le taux d’absorption était de 119,26% en 2011. </w:t>
      </w:r>
    </w:p>
    <w:p w:rsidR="004D63EC" w:rsidRDefault="004D63EC" w:rsidP="004D63EC">
      <w:pPr>
        <w:jc w:val="both"/>
        <w:rPr>
          <w:rFonts w:asciiTheme="minorHAnsi" w:hAnsiTheme="minorHAnsi" w:cstheme="minorHAnsi"/>
          <w:sz w:val="22"/>
          <w:szCs w:val="22"/>
        </w:rPr>
      </w:pPr>
    </w:p>
    <w:p w:rsidR="004D63EC" w:rsidRDefault="004D63EC" w:rsidP="004D63EC">
      <w:pPr>
        <w:jc w:val="both"/>
        <w:rPr>
          <w:rFonts w:asciiTheme="minorHAnsi" w:hAnsiTheme="minorHAnsi" w:cstheme="minorHAnsi"/>
          <w:sz w:val="22"/>
          <w:szCs w:val="22"/>
        </w:rPr>
      </w:pPr>
      <w:r w:rsidRPr="00665A4C">
        <w:rPr>
          <w:noProof/>
          <w:szCs w:val="22"/>
        </w:rPr>
        <w:drawing>
          <wp:inline distT="0" distB="0" distL="0" distR="0">
            <wp:extent cx="6645910" cy="2980263"/>
            <wp:effectExtent l="19050" t="0" r="2540" b="0"/>
            <wp:docPr id="204"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9" cstate="print"/>
                    <a:srcRect/>
                    <a:stretch>
                      <a:fillRect/>
                    </a:stretch>
                  </pic:blipFill>
                  <pic:spPr bwMode="auto">
                    <a:xfrm>
                      <a:off x="0" y="0"/>
                      <a:ext cx="6645910" cy="2980263"/>
                    </a:xfrm>
                    <a:prstGeom prst="rect">
                      <a:avLst/>
                    </a:prstGeom>
                    <a:noFill/>
                    <a:ln w="9525">
                      <a:noFill/>
                      <a:miter lim="800000"/>
                      <a:headEnd/>
                      <a:tailEnd/>
                    </a:ln>
                  </pic:spPr>
                </pic:pic>
              </a:graphicData>
            </a:graphic>
          </wp:inline>
        </w:drawing>
      </w:r>
    </w:p>
    <w:p w:rsidR="004D63EC" w:rsidRDefault="004D63EC" w:rsidP="004D63EC">
      <w:pPr>
        <w:jc w:val="both"/>
        <w:rPr>
          <w:rFonts w:asciiTheme="minorHAnsi" w:hAnsiTheme="minorHAnsi" w:cstheme="minorHAnsi"/>
          <w:sz w:val="22"/>
          <w:szCs w:val="22"/>
        </w:rPr>
      </w:pPr>
    </w:p>
    <w:p w:rsidR="004D63EC" w:rsidRPr="003F4E0F" w:rsidRDefault="00235628" w:rsidP="004D63EC">
      <w:pPr>
        <w:jc w:val="both"/>
        <w:rPr>
          <w:rFonts w:asciiTheme="minorHAnsi" w:hAnsiTheme="minorHAnsi" w:cstheme="minorHAnsi"/>
          <w:sz w:val="22"/>
          <w:szCs w:val="22"/>
        </w:rPr>
      </w:pPr>
      <w:r>
        <w:rPr>
          <w:rFonts w:asciiTheme="minorHAnsi" w:hAnsiTheme="minorHAnsi" w:cstheme="minorHAnsi"/>
          <w:sz w:val="22"/>
          <w:szCs w:val="22"/>
        </w:rPr>
        <w:t xml:space="preserve">La réduction du nombre de projets, passant de 229 en 2011 à 129 en 2012, a permis de faire remonter le montant moyen de l’investissement par projet de </w:t>
      </w:r>
      <w:r w:rsidR="0003419C">
        <w:rPr>
          <w:rFonts w:asciiTheme="minorHAnsi" w:hAnsiTheme="minorHAnsi" w:cstheme="minorHAnsi"/>
          <w:sz w:val="22"/>
          <w:szCs w:val="22"/>
        </w:rPr>
        <w:t>963 145</w:t>
      </w:r>
      <w:r>
        <w:rPr>
          <w:rFonts w:asciiTheme="minorHAnsi" w:hAnsiTheme="minorHAnsi" w:cstheme="minorHAnsi"/>
          <w:sz w:val="22"/>
          <w:szCs w:val="22"/>
        </w:rPr>
        <w:t xml:space="preserve"> MRO à 1 549 339 MRO en 2012</w:t>
      </w:r>
      <w:r w:rsidR="00293181">
        <w:rPr>
          <w:rFonts w:asciiTheme="minorHAnsi" w:hAnsiTheme="minorHAnsi" w:cstheme="minorHAnsi"/>
          <w:sz w:val="22"/>
          <w:szCs w:val="22"/>
        </w:rPr>
        <w:t>, supérieur au montant moyen par projet relevé au niveau national (1 245 534 MRO), ce qui contribue de fait à lutter contre les effets d’une trop grande parcellisation de l’investissement.</w:t>
      </w:r>
    </w:p>
    <w:p w:rsidR="004D63EC" w:rsidRPr="003F4E0F" w:rsidRDefault="004D63EC" w:rsidP="004D63EC">
      <w:pPr>
        <w:jc w:val="both"/>
        <w:rPr>
          <w:rFonts w:asciiTheme="minorHAnsi" w:hAnsiTheme="minorHAnsi" w:cstheme="minorHAnsi"/>
          <w:sz w:val="22"/>
          <w:szCs w:val="22"/>
        </w:rPr>
      </w:pPr>
    </w:p>
    <w:p w:rsidR="004D63EC" w:rsidRPr="003F4E0F" w:rsidRDefault="004D63EC" w:rsidP="004D63EC">
      <w:pPr>
        <w:jc w:val="both"/>
        <w:rPr>
          <w:rFonts w:asciiTheme="minorHAnsi" w:hAnsiTheme="minorHAnsi" w:cstheme="minorHAnsi"/>
          <w:sz w:val="22"/>
          <w:szCs w:val="22"/>
        </w:rPr>
      </w:pPr>
    </w:p>
    <w:p w:rsidR="004D63EC" w:rsidRPr="003F4E0F" w:rsidRDefault="004D63EC" w:rsidP="004D63EC">
      <w:pPr>
        <w:jc w:val="both"/>
        <w:rPr>
          <w:rFonts w:asciiTheme="minorHAnsi" w:hAnsiTheme="minorHAnsi" w:cstheme="minorHAnsi"/>
          <w:sz w:val="22"/>
          <w:szCs w:val="22"/>
        </w:rPr>
      </w:pPr>
      <w:r w:rsidRPr="0023139A">
        <w:rPr>
          <w:noProof/>
          <w:szCs w:val="22"/>
        </w:rPr>
        <w:drawing>
          <wp:inline distT="0" distB="0" distL="0" distR="0">
            <wp:extent cx="6645910" cy="3091307"/>
            <wp:effectExtent l="19050" t="0" r="2540" b="0"/>
            <wp:docPr id="205"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40" cstate="print"/>
                    <a:srcRect/>
                    <a:stretch>
                      <a:fillRect/>
                    </a:stretch>
                  </pic:blipFill>
                  <pic:spPr bwMode="auto">
                    <a:xfrm>
                      <a:off x="0" y="0"/>
                      <a:ext cx="6645910" cy="3091307"/>
                    </a:xfrm>
                    <a:prstGeom prst="rect">
                      <a:avLst/>
                    </a:prstGeom>
                    <a:noFill/>
                    <a:ln w="9525">
                      <a:noFill/>
                      <a:miter lim="800000"/>
                      <a:headEnd/>
                      <a:tailEnd/>
                    </a:ln>
                  </pic:spPr>
                </pic:pic>
              </a:graphicData>
            </a:graphic>
          </wp:inline>
        </w:drawing>
      </w:r>
    </w:p>
    <w:p w:rsidR="004D63EC" w:rsidRPr="003F4E0F" w:rsidRDefault="004D63EC" w:rsidP="004D63EC">
      <w:pPr>
        <w:jc w:val="both"/>
        <w:rPr>
          <w:rFonts w:asciiTheme="minorHAnsi" w:hAnsiTheme="minorHAnsi" w:cstheme="minorHAnsi"/>
          <w:sz w:val="22"/>
          <w:szCs w:val="22"/>
        </w:rPr>
      </w:pPr>
    </w:p>
    <w:p w:rsidR="004D63EC" w:rsidRPr="003F4E0F" w:rsidRDefault="004D63EC" w:rsidP="004D63EC">
      <w:pPr>
        <w:jc w:val="both"/>
        <w:rPr>
          <w:rFonts w:asciiTheme="minorHAnsi" w:hAnsiTheme="minorHAnsi" w:cstheme="minorHAnsi"/>
          <w:sz w:val="22"/>
          <w:szCs w:val="22"/>
        </w:rPr>
      </w:pPr>
      <w:r w:rsidRPr="003F4E0F">
        <w:rPr>
          <w:rFonts w:asciiTheme="minorHAnsi" w:hAnsiTheme="minorHAnsi" w:cstheme="minorHAnsi"/>
          <w:b/>
          <w:sz w:val="22"/>
          <w:szCs w:val="22"/>
        </w:rPr>
        <w:t>En termes de priorités d’investissement</w:t>
      </w:r>
      <w:r w:rsidRPr="003F4E0F">
        <w:rPr>
          <w:rFonts w:asciiTheme="minorHAnsi" w:hAnsiTheme="minorHAnsi" w:cstheme="minorHAnsi"/>
          <w:sz w:val="22"/>
          <w:szCs w:val="22"/>
        </w:rPr>
        <w:t xml:space="preserve">, la </w:t>
      </w:r>
      <w:r w:rsidR="001246CD">
        <w:rPr>
          <w:rFonts w:asciiTheme="minorHAnsi" w:hAnsiTheme="minorHAnsi" w:cstheme="minorHAnsi"/>
          <w:sz w:val="22"/>
          <w:szCs w:val="22"/>
        </w:rPr>
        <w:t>Wilaya</w:t>
      </w:r>
      <w:r w:rsidRPr="003F4E0F">
        <w:rPr>
          <w:rFonts w:asciiTheme="minorHAnsi" w:hAnsiTheme="minorHAnsi" w:cstheme="minorHAnsi"/>
          <w:sz w:val="22"/>
          <w:szCs w:val="22"/>
        </w:rPr>
        <w:t xml:space="preserve"> du </w:t>
      </w:r>
      <w:proofErr w:type="spellStart"/>
      <w:r w:rsidRPr="003F4E0F">
        <w:rPr>
          <w:rFonts w:asciiTheme="minorHAnsi" w:hAnsiTheme="minorHAnsi" w:cstheme="minorHAnsi"/>
          <w:sz w:val="22"/>
          <w:szCs w:val="22"/>
        </w:rPr>
        <w:t>Brakna</w:t>
      </w:r>
      <w:proofErr w:type="spellEnd"/>
      <w:r w:rsidR="000C4FFC">
        <w:rPr>
          <w:rFonts w:asciiTheme="minorHAnsi" w:hAnsiTheme="minorHAnsi" w:cstheme="minorHAnsi"/>
          <w:sz w:val="22"/>
          <w:szCs w:val="22"/>
        </w:rPr>
        <w:t>,</w:t>
      </w:r>
      <w:r w:rsidRPr="003F4E0F">
        <w:rPr>
          <w:rFonts w:asciiTheme="minorHAnsi" w:hAnsiTheme="minorHAnsi" w:cstheme="minorHAnsi"/>
          <w:sz w:val="22"/>
          <w:szCs w:val="22"/>
        </w:rPr>
        <w:t xml:space="preserve"> à l’image du niveau national</w:t>
      </w:r>
      <w:r w:rsidR="000C4FFC">
        <w:rPr>
          <w:rFonts w:asciiTheme="minorHAnsi" w:hAnsiTheme="minorHAnsi" w:cstheme="minorHAnsi"/>
          <w:sz w:val="22"/>
          <w:szCs w:val="22"/>
        </w:rPr>
        <w:t>,</w:t>
      </w:r>
      <w:r w:rsidRPr="003F4E0F">
        <w:rPr>
          <w:rFonts w:asciiTheme="minorHAnsi" w:hAnsiTheme="minorHAnsi" w:cstheme="minorHAnsi"/>
          <w:sz w:val="22"/>
          <w:szCs w:val="22"/>
        </w:rPr>
        <w:t xml:space="preserve"> consacre la part la plus importante de ses engagements au</w:t>
      </w:r>
      <w:r w:rsidR="000C4FFC">
        <w:rPr>
          <w:rFonts w:asciiTheme="minorHAnsi" w:hAnsiTheme="minorHAnsi" w:cstheme="minorHAnsi"/>
          <w:sz w:val="22"/>
          <w:szCs w:val="22"/>
        </w:rPr>
        <w:t xml:space="preserve"> secteur des bâtiments communaux (28,37% des engagements pour 22 projets)</w:t>
      </w:r>
      <w:r w:rsidR="00C37FE5">
        <w:rPr>
          <w:rFonts w:asciiTheme="minorHAnsi" w:hAnsiTheme="minorHAnsi" w:cstheme="minorHAnsi"/>
          <w:sz w:val="22"/>
          <w:szCs w:val="22"/>
        </w:rPr>
        <w:t>. En deuxième</w:t>
      </w:r>
      <w:r w:rsidRPr="003F4E0F">
        <w:rPr>
          <w:rFonts w:asciiTheme="minorHAnsi" w:hAnsiTheme="minorHAnsi" w:cstheme="minorHAnsi"/>
          <w:sz w:val="22"/>
          <w:szCs w:val="22"/>
        </w:rPr>
        <w:t xml:space="preserve"> position se situe le secteur de l’hydraulique</w:t>
      </w:r>
      <w:r w:rsidR="000C4FFC">
        <w:rPr>
          <w:rFonts w:asciiTheme="minorHAnsi" w:hAnsiTheme="minorHAnsi" w:cstheme="minorHAnsi"/>
          <w:sz w:val="22"/>
          <w:szCs w:val="22"/>
        </w:rPr>
        <w:t xml:space="preserve"> (15,77% des engagements soit un total de 31 509 525 MRO répartis en 23 projets)</w:t>
      </w:r>
      <w:r w:rsidRPr="003F4E0F">
        <w:rPr>
          <w:rFonts w:asciiTheme="minorHAnsi" w:hAnsiTheme="minorHAnsi" w:cstheme="minorHAnsi"/>
          <w:sz w:val="22"/>
          <w:szCs w:val="22"/>
        </w:rPr>
        <w:t>, puis en troisiè</w:t>
      </w:r>
      <w:r w:rsidR="000C4FFC">
        <w:rPr>
          <w:rFonts w:asciiTheme="minorHAnsi" w:hAnsiTheme="minorHAnsi" w:cstheme="minorHAnsi"/>
          <w:sz w:val="22"/>
          <w:szCs w:val="22"/>
        </w:rPr>
        <w:t xml:space="preserve">me celui du </w:t>
      </w:r>
      <w:proofErr w:type="spellStart"/>
      <w:r w:rsidR="000C4FFC">
        <w:rPr>
          <w:rFonts w:asciiTheme="minorHAnsi" w:hAnsiTheme="minorHAnsi" w:cstheme="minorHAnsi"/>
          <w:sz w:val="22"/>
          <w:szCs w:val="22"/>
        </w:rPr>
        <w:t>socio-culturel</w:t>
      </w:r>
      <w:proofErr w:type="spellEnd"/>
      <w:r w:rsidR="000C4FFC">
        <w:rPr>
          <w:rFonts w:asciiTheme="minorHAnsi" w:hAnsiTheme="minorHAnsi" w:cstheme="minorHAnsi"/>
          <w:sz w:val="22"/>
          <w:szCs w:val="22"/>
        </w:rPr>
        <w:t xml:space="preserve"> à hauteur de 9,61% à travers 7 projets se répartissant 19 210 366 MRO.</w:t>
      </w:r>
    </w:p>
    <w:p w:rsidR="004D63EC" w:rsidRDefault="004D63EC" w:rsidP="004D63EC">
      <w:pPr>
        <w:jc w:val="both"/>
        <w:rPr>
          <w:rFonts w:asciiTheme="minorHAnsi" w:hAnsiTheme="minorHAnsi" w:cstheme="minorHAnsi"/>
        </w:rPr>
      </w:pPr>
    </w:p>
    <w:p w:rsidR="004D63EC" w:rsidRDefault="004D63EC" w:rsidP="004D63EC">
      <w:pPr>
        <w:jc w:val="both"/>
        <w:rPr>
          <w:rFonts w:asciiTheme="minorHAnsi" w:hAnsiTheme="minorHAnsi" w:cstheme="minorHAnsi"/>
        </w:rPr>
      </w:pPr>
      <w:r w:rsidRPr="0068792F">
        <w:rPr>
          <w:noProof/>
        </w:rPr>
        <w:drawing>
          <wp:inline distT="0" distB="0" distL="0" distR="0">
            <wp:extent cx="6477000" cy="2924175"/>
            <wp:effectExtent l="19050" t="0" r="0" b="0"/>
            <wp:docPr id="206"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1" cstate="print"/>
                    <a:stretch>
                      <a:fillRect/>
                    </a:stretch>
                  </pic:blipFill>
                  <pic:spPr>
                    <a:xfrm>
                      <a:off x="0" y="0"/>
                      <a:ext cx="6476191" cy="2923810"/>
                    </a:xfrm>
                    <a:prstGeom prst="rect">
                      <a:avLst/>
                    </a:prstGeom>
                  </pic:spPr>
                </pic:pic>
              </a:graphicData>
            </a:graphic>
          </wp:inline>
        </w:drawing>
      </w:r>
    </w:p>
    <w:p w:rsidR="004D63EC" w:rsidRDefault="004D63EC" w:rsidP="004D63EC">
      <w:pPr>
        <w:jc w:val="both"/>
        <w:rPr>
          <w:rFonts w:asciiTheme="minorHAnsi" w:hAnsiTheme="minorHAnsi" w:cstheme="minorHAnsi"/>
        </w:rPr>
      </w:pPr>
    </w:p>
    <w:p w:rsidR="004D63EC" w:rsidRDefault="004D63EC" w:rsidP="004D63EC">
      <w:pPr>
        <w:jc w:val="both"/>
        <w:rPr>
          <w:rFonts w:asciiTheme="minorHAnsi" w:hAnsiTheme="minorHAnsi" w:cstheme="minorHAnsi"/>
        </w:rPr>
      </w:pPr>
    </w:p>
    <w:p w:rsidR="004D63EC" w:rsidRPr="000C4FFC" w:rsidRDefault="004D63EC" w:rsidP="000C4FFC">
      <w:pPr>
        <w:jc w:val="both"/>
        <w:rPr>
          <w:rFonts w:asciiTheme="minorHAnsi" w:hAnsiTheme="minorHAnsi" w:cstheme="minorHAnsi"/>
          <w:b/>
          <w:sz w:val="22"/>
          <w:szCs w:val="22"/>
          <w:u w:val="single"/>
        </w:rPr>
      </w:pPr>
      <w:r w:rsidRPr="000C4FFC">
        <w:rPr>
          <w:rFonts w:asciiTheme="minorHAnsi" w:hAnsiTheme="minorHAnsi" w:cstheme="minorHAnsi"/>
          <w:b/>
          <w:sz w:val="22"/>
          <w:szCs w:val="22"/>
          <w:u w:val="single"/>
        </w:rPr>
        <w:t xml:space="preserve">Analyse des données par </w:t>
      </w:r>
      <w:proofErr w:type="spellStart"/>
      <w:r w:rsidR="001246CD">
        <w:rPr>
          <w:rFonts w:asciiTheme="minorHAnsi" w:hAnsiTheme="minorHAnsi" w:cstheme="minorHAnsi"/>
          <w:b/>
          <w:sz w:val="22"/>
          <w:szCs w:val="22"/>
          <w:u w:val="single"/>
        </w:rPr>
        <w:t>Moughataa</w:t>
      </w:r>
      <w:proofErr w:type="spellEnd"/>
    </w:p>
    <w:p w:rsidR="004D63EC" w:rsidRPr="003F4E0F" w:rsidRDefault="004D63EC" w:rsidP="004D63EC">
      <w:pPr>
        <w:pStyle w:val="Paragraphedeliste"/>
        <w:jc w:val="both"/>
        <w:rPr>
          <w:rFonts w:asciiTheme="minorHAnsi" w:hAnsiTheme="minorHAnsi" w:cstheme="minorHAnsi"/>
          <w:b/>
          <w:sz w:val="22"/>
          <w:szCs w:val="22"/>
        </w:rPr>
      </w:pPr>
    </w:p>
    <w:p w:rsidR="004D63EC" w:rsidRPr="003F4E0F" w:rsidRDefault="001246CD" w:rsidP="004D63EC">
      <w:pPr>
        <w:jc w:val="center"/>
        <w:rPr>
          <w:rFonts w:asciiTheme="minorHAnsi" w:hAnsiTheme="minorHAnsi" w:cstheme="minorHAnsi"/>
          <w:sz w:val="22"/>
          <w:szCs w:val="22"/>
          <w:u w:val="single"/>
        </w:rPr>
      </w:pPr>
      <w:proofErr w:type="spellStart"/>
      <w:r>
        <w:rPr>
          <w:rFonts w:asciiTheme="minorHAnsi" w:hAnsiTheme="minorHAnsi" w:cstheme="minorHAnsi"/>
          <w:b/>
          <w:sz w:val="22"/>
          <w:szCs w:val="22"/>
          <w:u w:val="single"/>
        </w:rPr>
        <w:t>Moughataa</w:t>
      </w:r>
      <w:proofErr w:type="spellEnd"/>
      <w:r w:rsidR="000C4FFC">
        <w:rPr>
          <w:rFonts w:asciiTheme="minorHAnsi" w:hAnsiTheme="minorHAnsi" w:cstheme="minorHAnsi"/>
          <w:b/>
          <w:sz w:val="22"/>
          <w:szCs w:val="22"/>
          <w:u w:val="single"/>
        </w:rPr>
        <w:t xml:space="preserve"> d’</w:t>
      </w:r>
      <w:r w:rsidR="004D63EC" w:rsidRPr="003F4E0F">
        <w:rPr>
          <w:rFonts w:asciiTheme="minorHAnsi" w:hAnsiTheme="minorHAnsi" w:cstheme="minorHAnsi"/>
          <w:b/>
          <w:sz w:val="22"/>
          <w:szCs w:val="22"/>
          <w:u w:val="single"/>
        </w:rPr>
        <w:t>Aleg</w:t>
      </w:r>
    </w:p>
    <w:p w:rsidR="004D63EC" w:rsidRPr="003F4E0F" w:rsidRDefault="004D63EC" w:rsidP="004D63EC">
      <w:pPr>
        <w:jc w:val="both"/>
        <w:rPr>
          <w:rFonts w:asciiTheme="minorHAnsi" w:hAnsiTheme="minorHAnsi" w:cstheme="minorHAnsi"/>
          <w:sz w:val="22"/>
          <w:szCs w:val="22"/>
        </w:rPr>
      </w:pPr>
    </w:p>
    <w:p w:rsidR="004D63EC" w:rsidRPr="003F4E0F" w:rsidRDefault="004D63EC" w:rsidP="004D63EC">
      <w:pPr>
        <w:jc w:val="both"/>
        <w:rPr>
          <w:rFonts w:asciiTheme="minorHAnsi" w:hAnsiTheme="minorHAnsi" w:cstheme="minorHAnsi"/>
          <w:sz w:val="22"/>
          <w:szCs w:val="22"/>
        </w:rPr>
      </w:pPr>
      <w:r w:rsidRPr="003F4E0F">
        <w:rPr>
          <w:rFonts w:asciiTheme="minorHAnsi" w:hAnsiTheme="minorHAnsi" w:cstheme="minorHAnsi"/>
          <w:sz w:val="22"/>
          <w:szCs w:val="22"/>
        </w:rPr>
        <w:t>Les communes</w:t>
      </w:r>
      <w:r w:rsidR="000C4FFC">
        <w:rPr>
          <w:rFonts w:asciiTheme="minorHAnsi" w:hAnsiTheme="minorHAnsi" w:cstheme="minorHAnsi"/>
          <w:sz w:val="22"/>
          <w:szCs w:val="22"/>
        </w:rPr>
        <w:t xml:space="preserve"> de la </w:t>
      </w:r>
      <w:proofErr w:type="spellStart"/>
      <w:r w:rsidR="001246CD">
        <w:rPr>
          <w:rFonts w:asciiTheme="minorHAnsi" w:hAnsiTheme="minorHAnsi" w:cstheme="minorHAnsi"/>
          <w:sz w:val="22"/>
          <w:szCs w:val="22"/>
        </w:rPr>
        <w:t>Moughataa</w:t>
      </w:r>
      <w:proofErr w:type="spellEnd"/>
      <w:r w:rsidR="000C4FFC">
        <w:rPr>
          <w:rFonts w:asciiTheme="minorHAnsi" w:hAnsiTheme="minorHAnsi" w:cstheme="minorHAnsi"/>
          <w:sz w:val="22"/>
          <w:szCs w:val="22"/>
        </w:rPr>
        <w:t xml:space="preserve"> d’Aleg ont bénéficié d’un FRD 2012 pour l’équipement de 59 255 447 MRO (+16,18 % par rapport à 2011). Elles ont engagé 54 208 847</w:t>
      </w:r>
      <w:r w:rsidRPr="003F4E0F">
        <w:rPr>
          <w:rFonts w:asciiTheme="minorHAnsi" w:hAnsiTheme="minorHAnsi" w:cstheme="minorHAnsi"/>
          <w:sz w:val="22"/>
          <w:szCs w:val="22"/>
        </w:rPr>
        <w:t xml:space="preserve">MRO pour la réalisation de </w:t>
      </w:r>
      <w:r w:rsidR="000C4FFC">
        <w:rPr>
          <w:rFonts w:asciiTheme="minorHAnsi" w:hAnsiTheme="minorHAnsi" w:cstheme="minorHAnsi"/>
          <w:b/>
          <w:sz w:val="22"/>
          <w:szCs w:val="22"/>
        </w:rPr>
        <w:t>2</w:t>
      </w:r>
      <w:r w:rsidRPr="00C762B7">
        <w:rPr>
          <w:rFonts w:asciiTheme="minorHAnsi" w:hAnsiTheme="minorHAnsi" w:cstheme="minorHAnsi"/>
          <w:b/>
          <w:sz w:val="22"/>
          <w:szCs w:val="22"/>
        </w:rPr>
        <w:t>7 projets</w:t>
      </w:r>
      <w:r w:rsidRPr="003F4E0F">
        <w:rPr>
          <w:rFonts w:asciiTheme="minorHAnsi" w:hAnsiTheme="minorHAnsi" w:cstheme="minorHAnsi"/>
          <w:sz w:val="22"/>
          <w:szCs w:val="22"/>
        </w:rPr>
        <w:t xml:space="preserve">, soit un </w:t>
      </w:r>
      <w:r w:rsidR="000C4FFC">
        <w:rPr>
          <w:rFonts w:asciiTheme="minorHAnsi" w:hAnsiTheme="minorHAnsi" w:cstheme="minorHAnsi"/>
          <w:b/>
          <w:sz w:val="22"/>
          <w:szCs w:val="22"/>
        </w:rPr>
        <w:t>taux d’absorption de 91,48</w:t>
      </w:r>
      <w:r w:rsidRPr="003F4E0F">
        <w:rPr>
          <w:rFonts w:asciiTheme="minorHAnsi" w:hAnsiTheme="minorHAnsi" w:cstheme="minorHAnsi"/>
          <w:b/>
          <w:sz w:val="22"/>
          <w:szCs w:val="22"/>
        </w:rPr>
        <w:t xml:space="preserve"> %.</w:t>
      </w:r>
    </w:p>
    <w:p w:rsidR="004D63EC" w:rsidRDefault="004D63EC" w:rsidP="004D63EC">
      <w:pPr>
        <w:jc w:val="both"/>
        <w:rPr>
          <w:rFonts w:asciiTheme="minorHAnsi" w:hAnsiTheme="minorHAnsi" w:cstheme="minorHAnsi"/>
          <w:sz w:val="22"/>
          <w:szCs w:val="22"/>
        </w:rPr>
      </w:pPr>
      <w:r w:rsidRPr="0068792F">
        <w:rPr>
          <w:noProof/>
        </w:rPr>
        <w:drawing>
          <wp:inline distT="0" distB="0" distL="0" distR="0">
            <wp:extent cx="3457575" cy="4362450"/>
            <wp:effectExtent l="19050" t="0" r="9525" b="0"/>
            <wp:docPr id="207"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2" cstate="print"/>
                    <a:stretch>
                      <a:fillRect/>
                    </a:stretch>
                  </pic:blipFill>
                  <pic:spPr>
                    <a:xfrm>
                      <a:off x="0" y="0"/>
                      <a:ext cx="3457143" cy="4361905"/>
                    </a:xfrm>
                    <a:prstGeom prst="rect">
                      <a:avLst/>
                    </a:prstGeom>
                  </pic:spPr>
                </pic:pic>
              </a:graphicData>
            </a:graphic>
          </wp:inline>
        </w:drawing>
      </w:r>
      <w:r w:rsidRPr="00E63D27">
        <w:rPr>
          <w:rFonts w:asciiTheme="minorHAnsi" w:hAnsiTheme="minorHAnsi" w:cstheme="minorHAnsi"/>
          <w:noProof/>
          <w:sz w:val="22"/>
          <w:szCs w:val="22"/>
        </w:rPr>
        <w:drawing>
          <wp:inline distT="0" distB="0" distL="0" distR="0">
            <wp:extent cx="3095625" cy="4362450"/>
            <wp:effectExtent l="19050" t="0" r="9525" b="0"/>
            <wp:docPr id="210"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3" cstate="print"/>
                    <a:stretch>
                      <a:fillRect/>
                    </a:stretch>
                  </pic:blipFill>
                  <pic:spPr>
                    <a:xfrm>
                      <a:off x="0" y="0"/>
                      <a:ext cx="3095239" cy="4361906"/>
                    </a:xfrm>
                    <a:prstGeom prst="rect">
                      <a:avLst/>
                    </a:prstGeom>
                  </pic:spPr>
                </pic:pic>
              </a:graphicData>
            </a:graphic>
          </wp:inline>
        </w:drawing>
      </w:r>
    </w:p>
    <w:p w:rsidR="00CE6541" w:rsidRDefault="00CE6541" w:rsidP="004D63EC">
      <w:pPr>
        <w:jc w:val="both"/>
        <w:rPr>
          <w:rFonts w:asciiTheme="minorHAnsi" w:hAnsiTheme="minorHAnsi" w:cstheme="minorHAnsi"/>
          <w:sz w:val="22"/>
          <w:szCs w:val="22"/>
        </w:rPr>
      </w:pPr>
      <w:r w:rsidRPr="00CE6541">
        <w:rPr>
          <w:noProof/>
          <w:szCs w:val="22"/>
        </w:rPr>
        <w:drawing>
          <wp:inline distT="0" distB="0" distL="0" distR="0">
            <wp:extent cx="6629400" cy="2276475"/>
            <wp:effectExtent l="19050" t="0" r="0" b="0"/>
            <wp:docPr id="127" name="Imag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44" cstate="print"/>
                    <a:srcRect/>
                    <a:stretch>
                      <a:fillRect/>
                    </a:stretch>
                  </pic:blipFill>
                  <pic:spPr bwMode="auto">
                    <a:xfrm>
                      <a:off x="0" y="0"/>
                      <a:ext cx="6645910" cy="2282144"/>
                    </a:xfrm>
                    <a:prstGeom prst="rect">
                      <a:avLst/>
                    </a:prstGeom>
                    <a:noFill/>
                    <a:ln w="9525">
                      <a:noFill/>
                      <a:miter lim="800000"/>
                      <a:headEnd/>
                      <a:tailEnd/>
                    </a:ln>
                  </pic:spPr>
                </pic:pic>
              </a:graphicData>
            </a:graphic>
          </wp:inline>
        </w:drawing>
      </w:r>
    </w:p>
    <w:p w:rsidR="00CE6541" w:rsidRDefault="00CE6541" w:rsidP="004D63EC">
      <w:pPr>
        <w:jc w:val="both"/>
        <w:rPr>
          <w:rFonts w:asciiTheme="minorHAnsi" w:hAnsiTheme="minorHAnsi" w:cstheme="minorHAnsi"/>
          <w:sz w:val="22"/>
          <w:szCs w:val="22"/>
        </w:rPr>
      </w:pPr>
    </w:p>
    <w:p w:rsidR="00CE6541" w:rsidRPr="003F4E0F" w:rsidRDefault="00CE6541" w:rsidP="00CE6541">
      <w:pPr>
        <w:jc w:val="both"/>
        <w:rPr>
          <w:rFonts w:asciiTheme="minorHAnsi" w:hAnsiTheme="minorHAnsi" w:cstheme="minorHAnsi"/>
          <w:sz w:val="22"/>
          <w:szCs w:val="22"/>
        </w:rPr>
      </w:pPr>
      <w:r>
        <w:rPr>
          <w:rFonts w:asciiTheme="minorHAnsi" w:hAnsiTheme="minorHAnsi" w:cstheme="minorHAnsi"/>
          <w:sz w:val="22"/>
          <w:szCs w:val="22"/>
        </w:rPr>
        <w:t xml:space="preserve">Ce taux est somme toute peu </w:t>
      </w:r>
      <w:r w:rsidRPr="003F4E0F">
        <w:rPr>
          <w:rFonts w:asciiTheme="minorHAnsi" w:hAnsiTheme="minorHAnsi" w:cstheme="minorHAnsi"/>
          <w:sz w:val="22"/>
          <w:szCs w:val="22"/>
        </w:rPr>
        <w:t>satisfaisant</w:t>
      </w:r>
      <w:r>
        <w:rPr>
          <w:rFonts w:asciiTheme="minorHAnsi" w:hAnsiTheme="minorHAnsi" w:cstheme="minorHAnsi"/>
          <w:sz w:val="22"/>
          <w:szCs w:val="22"/>
        </w:rPr>
        <w:t>, surtout après la très bonne performance en 2011 (114,23% d’absorption du FRD)</w:t>
      </w:r>
      <w:r w:rsidRPr="003F4E0F">
        <w:rPr>
          <w:rFonts w:asciiTheme="minorHAnsi" w:hAnsiTheme="minorHAnsi" w:cstheme="minorHAnsi"/>
          <w:sz w:val="22"/>
          <w:szCs w:val="22"/>
        </w:rPr>
        <w:t xml:space="preserve">. </w:t>
      </w:r>
      <w:r>
        <w:rPr>
          <w:rFonts w:asciiTheme="minorHAnsi" w:hAnsiTheme="minorHAnsi" w:cstheme="minorHAnsi"/>
          <w:sz w:val="22"/>
          <w:szCs w:val="22"/>
        </w:rPr>
        <w:t>Il est même inférieur de plus de 2 points à celui constaté pour la moyenne nationale.</w:t>
      </w:r>
    </w:p>
    <w:p w:rsidR="00CE6541" w:rsidRPr="003F4E0F" w:rsidRDefault="00CE6541" w:rsidP="00CE6541">
      <w:pPr>
        <w:jc w:val="both"/>
        <w:rPr>
          <w:rFonts w:asciiTheme="minorHAnsi" w:hAnsiTheme="minorHAnsi" w:cstheme="minorHAnsi"/>
          <w:sz w:val="22"/>
          <w:szCs w:val="22"/>
        </w:rPr>
      </w:pPr>
    </w:p>
    <w:p w:rsidR="00CE6541" w:rsidRDefault="00CE6541" w:rsidP="00CE6541">
      <w:pPr>
        <w:jc w:val="both"/>
        <w:rPr>
          <w:rFonts w:asciiTheme="minorHAnsi" w:hAnsiTheme="minorHAnsi" w:cstheme="minorHAnsi"/>
          <w:sz w:val="22"/>
          <w:szCs w:val="22"/>
        </w:rPr>
      </w:pPr>
      <w:r>
        <w:rPr>
          <w:rFonts w:asciiTheme="minorHAnsi" w:hAnsiTheme="minorHAnsi" w:cstheme="minorHAnsi"/>
          <w:sz w:val="22"/>
          <w:szCs w:val="22"/>
        </w:rPr>
        <w:t>En revanche, l</w:t>
      </w:r>
      <w:r w:rsidRPr="003F4E0F">
        <w:rPr>
          <w:rFonts w:asciiTheme="minorHAnsi" w:hAnsiTheme="minorHAnsi" w:cstheme="minorHAnsi"/>
          <w:sz w:val="22"/>
          <w:szCs w:val="22"/>
        </w:rPr>
        <w:t>e montant mo</w:t>
      </w:r>
      <w:r>
        <w:rPr>
          <w:rFonts w:asciiTheme="minorHAnsi" w:hAnsiTheme="minorHAnsi" w:cstheme="minorHAnsi"/>
          <w:sz w:val="22"/>
          <w:szCs w:val="22"/>
        </w:rPr>
        <w:t>yen par projet est tout à fait remarquable</w:t>
      </w:r>
      <w:r w:rsidRPr="003F4E0F">
        <w:rPr>
          <w:rFonts w:asciiTheme="minorHAnsi" w:hAnsiTheme="minorHAnsi" w:cstheme="minorHAnsi"/>
          <w:sz w:val="22"/>
          <w:szCs w:val="22"/>
        </w:rPr>
        <w:t xml:space="preserve">, </w:t>
      </w:r>
      <w:r>
        <w:rPr>
          <w:rFonts w:asciiTheme="minorHAnsi" w:hAnsiTheme="minorHAnsi" w:cstheme="minorHAnsi"/>
          <w:sz w:val="22"/>
          <w:szCs w:val="22"/>
        </w:rPr>
        <w:t>avec un quasi doublement de 2011 (1 022 073 MRO) à 2012 (2 007 735 MRO), suite à la chute du nombre de projets (passant de 57 à 27).</w:t>
      </w:r>
    </w:p>
    <w:p w:rsidR="00FC2F62" w:rsidRDefault="00FC2F62" w:rsidP="00FC2F62">
      <w:pPr>
        <w:jc w:val="both"/>
        <w:rPr>
          <w:rFonts w:asciiTheme="minorHAnsi" w:hAnsiTheme="minorHAnsi" w:cstheme="minorHAnsi"/>
          <w:sz w:val="22"/>
          <w:szCs w:val="22"/>
        </w:rPr>
      </w:pPr>
      <w:r>
        <w:rPr>
          <w:rFonts w:asciiTheme="minorHAnsi" w:hAnsiTheme="minorHAnsi" w:cstheme="minorHAnsi"/>
          <w:sz w:val="22"/>
          <w:szCs w:val="22"/>
        </w:rPr>
        <w:t>L’élevage, une fois n’est pas</w:t>
      </w:r>
      <w:r w:rsidR="007D2082">
        <w:rPr>
          <w:rFonts w:asciiTheme="minorHAnsi" w:hAnsiTheme="minorHAnsi" w:cstheme="minorHAnsi"/>
          <w:sz w:val="22"/>
          <w:szCs w:val="22"/>
        </w:rPr>
        <w:t xml:space="preserve"> de</w:t>
      </w:r>
      <w:r>
        <w:rPr>
          <w:rFonts w:asciiTheme="minorHAnsi" w:hAnsiTheme="minorHAnsi" w:cstheme="minorHAnsi"/>
          <w:sz w:val="22"/>
          <w:szCs w:val="22"/>
        </w:rPr>
        <w:t xml:space="preserve"> coutume, arrive en première position en ce qui concerne les priorités d’investissement. En effet ce secteur occupe en 2012 la 14</w:t>
      </w:r>
      <w:r w:rsidRPr="00B80A1B">
        <w:rPr>
          <w:rFonts w:asciiTheme="minorHAnsi" w:hAnsiTheme="minorHAnsi" w:cstheme="minorHAnsi"/>
          <w:sz w:val="22"/>
          <w:szCs w:val="22"/>
          <w:vertAlign w:val="superscript"/>
        </w:rPr>
        <w:t>ème</w:t>
      </w:r>
      <w:r>
        <w:rPr>
          <w:rFonts w:asciiTheme="minorHAnsi" w:hAnsiTheme="minorHAnsi" w:cstheme="minorHAnsi"/>
          <w:sz w:val="22"/>
          <w:szCs w:val="22"/>
        </w:rPr>
        <w:t xml:space="preserve"> pl</w:t>
      </w:r>
      <w:r w:rsidR="007D2082">
        <w:rPr>
          <w:rFonts w:asciiTheme="minorHAnsi" w:hAnsiTheme="minorHAnsi" w:cstheme="minorHAnsi"/>
          <w:sz w:val="22"/>
          <w:szCs w:val="22"/>
        </w:rPr>
        <w:t>ace sur 17 au</w:t>
      </w:r>
      <w:r>
        <w:rPr>
          <w:rFonts w:asciiTheme="minorHAnsi" w:hAnsiTheme="minorHAnsi" w:cstheme="minorHAnsi"/>
          <w:sz w:val="22"/>
          <w:szCs w:val="22"/>
        </w:rPr>
        <w:t xml:space="preserve"> classement des secteurs par montants engagés au niveau national. 3 projets se partagent les 10 593 650 MRO engagés, soit 19,54% du total des engagements.</w:t>
      </w:r>
    </w:p>
    <w:p w:rsidR="00FC2F62" w:rsidRDefault="00FC2F62" w:rsidP="00FC2F62">
      <w:pPr>
        <w:jc w:val="both"/>
        <w:rPr>
          <w:rFonts w:asciiTheme="minorHAnsi" w:hAnsiTheme="minorHAnsi" w:cstheme="minorHAnsi"/>
          <w:sz w:val="22"/>
          <w:szCs w:val="22"/>
        </w:rPr>
      </w:pPr>
      <w:r>
        <w:rPr>
          <w:rFonts w:asciiTheme="minorHAnsi" w:hAnsiTheme="minorHAnsi" w:cstheme="minorHAnsi"/>
          <w:sz w:val="22"/>
          <w:szCs w:val="22"/>
        </w:rPr>
        <w:t>En deuxième position se situe le secteur de l’agriculture avec 18,32% des engagements. Les 3 projets y afférents sont ainsi dotés de 9 932 500 MRO.</w:t>
      </w:r>
    </w:p>
    <w:p w:rsidR="00FC2F62" w:rsidRPr="003F4E0F" w:rsidRDefault="00FC2F62" w:rsidP="00FC2F62">
      <w:pPr>
        <w:jc w:val="both"/>
        <w:rPr>
          <w:rFonts w:asciiTheme="minorHAnsi" w:hAnsiTheme="minorHAnsi" w:cstheme="minorHAnsi"/>
          <w:sz w:val="22"/>
          <w:szCs w:val="22"/>
        </w:rPr>
      </w:pPr>
      <w:r>
        <w:rPr>
          <w:rFonts w:asciiTheme="minorHAnsi" w:hAnsiTheme="minorHAnsi" w:cstheme="minorHAnsi"/>
          <w:sz w:val="22"/>
          <w:szCs w:val="22"/>
        </w:rPr>
        <w:t>Le troisième secteur prioritaire concerne les bâtiments communaux, en première position au niveau national, avec 3 projets (17,43% des engagements pour 9 450 000 MRO).</w:t>
      </w:r>
    </w:p>
    <w:p w:rsidR="00CE6541" w:rsidRPr="003F4E0F" w:rsidRDefault="00CE6541" w:rsidP="004D63EC">
      <w:pPr>
        <w:jc w:val="both"/>
        <w:rPr>
          <w:rFonts w:asciiTheme="minorHAnsi" w:hAnsiTheme="minorHAnsi" w:cstheme="minorHAnsi"/>
          <w:sz w:val="22"/>
          <w:szCs w:val="22"/>
        </w:rPr>
      </w:pPr>
    </w:p>
    <w:p w:rsidR="004D63EC" w:rsidRPr="003F4E0F" w:rsidRDefault="004D63EC" w:rsidP="004D63EC">
      <w:pPr>
        <w:jc w:val="both"/>
        <w:rPr>
          <w:rFonts w:asciiTheme="minorHAnsi" w:hAnsiTheme="minorHAnsi" w:cstheme="minorHAnsi"/>
          <w:sz w:val="22"/>
          <w:szCs w:val="22"/>
        </w:rPr>
      </w:pPr>
      <w:r w:rsidRPr="00C96B57">
        <w:rPr>
          <w:rFonts w:asciiTheme="minorHAnsi" w:hAnsiTheme="minorHAnsi" w:cstheme="minorHAnsi"/>
          <w:noProof/>
          <w:sz w:val="22"/>
          <w:szCs w:val="22"/>
        </w:rPr>
        <w:drawing>
          <wp:inline distT="0" distB="0" distL="0" distR="0">
            <wp:extent cx="6638925" cy="2181225"/>
            <wp:effectExtent l="19050" t="0" r="0" b="0"/>
            <wp:docPr id="212"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5" cstate="print"/>
                    <a:stretch>
                      <a:fillRect/>
                    </a:stretch>
                  </pic:blipFill>
                  <pic:spPr>
                    <a:xfrm>
                      <a:off x="0" y="0"/>
                      <a:ext cx="6638096" cy="2180953"/>
                    </a:xfrm>
                    <a:prstGeom prst="rect">
                      <a:avLst/>
                    </a:prstGeom>
                  </pic:spPr>
                </pic:pic>
              </a:graphicData>
            </a:graphic>
          </wp:inline>
        </w:drawing>
      </w:r>
    </w:p>
    <w:p w:rsidR="004D63EC" w:rsidRDefault="00C37FE5" w:rsidP="004D63EC">
      <w:pPr>
        <w:jc w:val="both"/>
        <w:rPr>
          <w:rFonts w:asciiTheme="minorHAnsi" w:hAnsiTheme="minorHAnsi" w:cstheme="minorHAnsi"/>
          <w:sz w:val="22"/>
          <w:szCs w:val="22"/>
        </w:rPr>
      </w:pPr>
      <w:r w:rsidRPr="00C37FE5">
        <w:rPr>
          <w:noProof/>
        </w:rPr>
        <w:drawing>
          <wp:inline distT="0" distB="0" distL="0" distR="0">
            <wp:extent cx="6600825" cy="2343150"/>
            <wp:effectExtent l="19050" t="0" r="9525" b="0"/>
            <wp:docPr id="150"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6" cstate="print"/>
                    <a:stretch>
                      <a:fillRect/>
                    </a:stretch>
                  </pic:blipFill>
                  <pic:spPr>
                    <a:xfrm>
                      <a:off x="0" y="0"/>
                      <a:ext cx="6600825" cy="2343150"/>
                    </a:xfrm>
                    <a:prstGeom prst="rect">
                      <a:avLst/>
                    </a:prstGeom>
                  </pic:spPr>
                </pic:pic>
              </a:graphicData>
            </a:graphic>
          </wp:inline>
        </w:drawing>
      </w:r>
    </w:p>
    <w:p w:rsidR="00FC2F62" w:rsidRPr="003F4E0F" w:rsidRDefault="00FC2F62" w:rsidP="004D63EC">
      <w:pPr>
        <w:jc w:val="both"/>
        <w:rPr>
          <w:rFonts w:asciiTheme="minorHAnsi" w:hAnsiTheme="minorHAnsi" w:cstheme="minorHAnsi"/>
          <w:sz w:val="22"/>
          <w:szCs w:val="22"/>
        </w:rPr>
      </w:pPr>
    </w:p>
    <w:p w:rsidR="004D63EC" w:rsidRPr="003F4E0F" w:rsidRDefault="001246CD" w:rsidP="004D63EC">
      <w:pPr>
        <w:jc w:val="center"/>
        <w:rPr>
          <w:rFonts w:asciiTheme="minorHAnsi" w:hAnsiTheme="minorHAnsi" w:cstheme="minorHAnsi"/>
          <w:sz w:val="22"/>
          <w:szCs w:val="22"/>
          <w:u w:val="single"/>
        </w:rPr>
      </w:pPr>
      <w:proofErr w:type="spellStart"/>
      <w:r>
        <w:rPr>
          <w:rFonts w:asciiTheme="minorHAnsi" w:hAnsiTheme="minorHAnsi" w:cstheme="minorHAnsi"/>
          <w:b/>
          <w:sz w:val="22"/>
          <w:szCs w:val="22"/>
          <w:u w:val="single"/>
        </w:rPr>
        <w:t>Moughataa</w:t>
      </w:r>
      <w:proofErr w:type="spellEnd"/>
      <w:r w:rsidR="004D63EC" w:rsidRPr="003F4E0F">
        <w:rPr>
          <w:rFonts w:asciiTheme="minorHAnsi" w:hAnsiTheme="minorHAnsi" w:cstheme="minorHAnsi"/>
          <w:b/>
          <w:sz w:val="22"/>
          <w:szCs w:val="22"/>
          <w:u w:val="single"/>
        </w:rPr>
        <w:t xml:space="preserve"> de </w:t>
      </w:r>
      <w:proofErr w:type="spellStart"/>
      <w:r w:rsidR="004D63EC" w:rsidRPr="003F4E0F">
        <w:rPr>
          <w:rFonts w:asciiTheme="minorHAnsi" w:hAnsiTheme="minorHAnsi" w:cstheme="minorHAnsi"/>
          <w:b/>
          <w:sz w:val="22"/>
          <w:szCs w:val="22"/>
          <w:u w:val="single"/>
        </w:rPr>
        <w:t>Bababé</w:t>
      </w:r>
      <w:proofErr w:type="spellEnd"/>
    </w:p>
    <w:p w:rsidR="004D63EC" w:rsidRPr="003F4E0F" w:rsidRDefault="004D63EC" w:rsidP="004D63EC">
      <w:pPr>
        <w:jc w:val="both"/>
        <w:rPr>
          <w:rFonts w:asciiTheme="minorHAnsi" w:hAnsiTheme="minorHAnsi" w:cstheme="minorHAnsi"/>
          <w:sz w:val="22"/>
          <w:szCs w:val="22"/>
        </w:rPr>
      </w:pPr>
    </w:p>
    <w:p w:rsidR="004D63EC" w:rsidRPr="00C20A1C" w:rsidRDefault="004D63EC" w:rsidP="004D63EC">
      <w:pPr>
        <w:jc w:val="both"/>
        <w:rPr>
          <w:rFonts w:asciiTheme="minorHAnsi" w:hAnsiTheme="minorHAnsi" w:cstheme="minorHAnsi"/>
          <w:sz w:val="22"/>
          <w:szCs w:val="22"/>
        </w:rPr>
      </w:pPr>
      <w:r w:rsidRPr="003F4E0F">
        <w:rPr>
          <w:rFonts w:asciiTheme="minorHAnsi" w:hAnsiTheme="minorHAnsi" w:cstheme="minorHAnsi"/>
          <w:sz w:val="22"/>
          <w:szCs w:val="22"/>
        </w:rPr>
        <w:t xml:space="preserve">Les communes de la </w:t>
      </w:r>
      <w:proofErr w:type="spellStart"/>
      <w:r w:rsidR="001246CD">
        <w:rPr>
          <w:rFonts w:asciiTheme="minorHAnsi" w:hAnsiTheme="minorHAnsi" w:cstheme="minorHAnsi"/>
          <w:sz w:val="22"/>
          <w:szCs w:val="22"/>
        </w:rPr>
        <w:t>Moughataa</w:t>
      </w:r>
      <w:proofErr w:type="spellEnd"/>
      <w:r w:rsidRPr="003F4E0F">
        <w:rPr>
          <w:rFonts w:asciiTheme="minorHAnsi" w:hAnsiTheme="minorHAnsi" w:cstheme="minorHAnsi"/>
          <w:sz w:val="22"/>
          <w:szCs w:val="22"/>
        </w:rPr>
        <w:t xml:space="preserve"> de </w:t>
      </w:r>
      <w:proofErr w:type="spellStart"/>
      <w:r w:rsidRPr="003F4E0F">
        <w:rPr>
          <w:rFonts w:asciiTheme="minorHAnsi" w:hAnsiTheme="minorHAnsi" w:cstheme="minorHAnsi"/>
          <w:sz w:val="22"/>
          <w:szCs w:val="22"/>
        </w:rPr>
        <w:t>Ba</w:t>
      </w:r>
      <w:r w:rsidR="00C20A1C">
        <w:rPr>
          <w:rFonts w:asciiTheme="minorHAnsi" w:hAnsiTheme="minorHAnsi" w:cstheme="minorHAnsi"/>
          <w:sz w:val="22"/>
          <w:szCs w:val="22"/>
        </w:rPr>
        <w:t>babé</w:t>
      </w:r>
      <w:proofErr w:type="spellEnd"/>
      <w:r w:rsidR="00C20A1C">
        <w:rPr>
          <w:rFonts w:asciiTheme="minorHAnsi" w:hAnsiTheme="minorHAnsi" w:cstheme="minorHAnsi"/>
          <w:sz w:val="22"/>
          <w:szCs w:val="22"/>
        </w:rPr>
        <w:t xml:space="preserve"> ont bénéficié d’un FRD 2012 pour l’équipement de 29 313 248 MRO (+16,67 % par rapport à 2011). Elles ont engagé 29 330 170</w:t>
      </w:r>
      <w:r w:rsidRPr="003F4E0F">
        <w:rPr>
          <w:rFonts w:asciiTheme="minorHAnsi" w:hAnsiTheme="minorHAnsi" w:cstheme="minorHAnsi"/>
          <w:sz w:val="22"/>
          <w:szCs w:val="22"/>
        </w:rPr>
        <w:t xml:space="preserve"> MRO pour la réalisation de </w:t>
      </w:r>
      <w:r w:rsidR="00C20A1C">
        <w:rPr>
          <w:rFonts w:asciiTheme="minorHAnsi" w:hAnsiTheme="minorHAnsi" w:cstheme="minorHAnsi"/>
          <w:b/>
          <w:sz w:val="22"/>
          <w:szCs w:val="22"/>
        </w:rPr>
        <w:t>7</w:t>
      </w:r>
      <w:r w:rsidRPr="00C762B7">
        <w:rPr>
          <w:rFonts w:asciiTheme="minorHAnsi" w:hAnsiTheme="minorHAnsi" w:cstheme="minorHAnsi"/>
          <w:b/>
          <w:sz w:val="22"/>
          <w:szCs w:val="22"/>
        </w:rPr>
        <w:t xml:space="preserve"> projets</w:t>
      </w:r>
      <w:r w:rsidRPr="003F4E0F">
        <w:rPr>
          <w:rFonts w:asciiTheme="minorHAnsi" w:hAnsiTheme="minorHAnsi" w:cstheme="minorHAnsi"/>
          <w:sz w:val="22"/>
          <w:szCs w:val="22"/>
        </w:rPr>
        <w:t xml:space="preserve">, soit un </w:t>
      </w:r>
      <w:r w:rsidR="00C20A1C">
        <w:rPr>
          <w:rFonts w:asciiTheme="minorHAnsi" w:hAnsiTheme="minorHAnsi" w:cstheme="minorHAnsi"/>
          <w:b/>
          <w:sz w:val="22"/>
          <w:szCs w:val="22"/>
        </w:rPr>
        <w:t>taux d’absorption de 100,06</w:t>
      </w:r>
      <w:r w:rsidRPr="003F4E0F">
        <w:rPr>
          <w:rFonts w:asciiTheme="minorHAnsi" w:hAnsiTheme="minorHAnsi" w:cstheme="minorHAnsi"/>
          <w:b/>
          <w:sz w:val="22"/>
          <w:szCs w:val="22"/>
        </w:rPr>
        <w:t xml:space="preserve"> </w:t>
      </w:r>
      <w:r w:rsidRPr="00C20A1C">
        <w:rPr>
          <w:rFonts w:asciiTheme="minorHAnsi" w:hAnsiTheme="minorHAnsi" w:cstheme="minorHAnsi"/>
          <w:sz w:val="22"/>
          <w:szCs w:val="22"/>
        </w:rPr>
        <w:t>%</w:t>
      </w:r>
      <w:r w:rsidR="00C20A1C" w:rsidRPr="00C20A1C">
        <w:rPr>
          <w:rFonts w:asciiTheme="minorHAnsi" w:hAnsiTheme="minorHAnsi" w:cstheme="minorHAnsi"/>
          <w:sz w:val="22"/>
          <w:szCs w:val="22"/>
        </w:rPr>
        <w:t>, taux tout à fait satisfaisant.</w:t>
      </w:r>
    </w:p>
    <w:p w:rsidR="004D63EC" w:rsidRPr="00C20A1C" w:rsidRDefault="004D63EC" w:rsidP="004D63EC">
      <w:pPr>
        <w:jc w:val="both"/>
        <w:rPr>
          <w:rFonts w:asciiTheme="minorHAnsi" w:hAnsiTheme="minorHAnsi" w:cstheme="minorHAnsi"/>
          <w:sz w:val="22"/>
          <w:szCs w:val="22"/>
        </w:rPr>
      </w:pPr>
    </w:p>
    <w:p w:rsidR="004D63EC" w:rsidRDefault="004D63EC" w:rsidP="004D63EC">
      <w:pPr>
        <w:jc w:val="both"/>
        <w:rPr>
          <w:rFonts w:asciiTheme="minorHAnsi" w:hAnsiTheme="minorHAnsi" w:cstheme="minorHAnsi"/>
          <w:sz w:val="22"/>
          <w:szCs w:val="22"/>
        </w:rPr>
      </w:pPr>
      <w:r w:rsidRPr="0068792F">
        <w:rPr>
          <w:noProof/>
        </w:rPr>
        <w:drawing>
          <wp:inline distT="0" distB="0" distL="0" distR="0">
            <wp:extent cx="3314699" cy="3429000"/>
            <wp:effectExtent l="19050" t="0" r="1" b="0"/>
            <wp:docPr id="229"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7" cstate="print"/>
                    <a:stretch>
                      <a:fillRect/>
                    </a:stretch>
                  </pic:blipFill>
                  <pic:spPr>
                    <a:xfrm>
                      <a:off x="0" y="0"/>
                      <a:ext cx="3314286" cy="3428573"/>
                    </a:xfrm>
                    <a:prstGeom prst="rect">
                      <a:avLst/>
                    </a:prstGeom>
                  </pic:spPr>
                </pic:pic>
              </a:graphicData>
            </a:graphic>
          </wp:inline>
        </w:drawing>
      </w:r>
      <w:r w:rsidRPr="00AC0521">
        <w:rPr>
          <w:rFonts w:asciiTheme="minorHAnsi" w:hAnsiTheme="minorHAnsi" w:cstheme="minorHAnsi"/>
          <w:noProof/>
          <w:sz w:val="22"/>
          <w:szCs w:val="22"/>
        </w:rPr>
        <w:drawing>
          <wp:inline distT="0" distB="0" distL="0" distR="0">
            <wp:extent cx="3267075" cy="3429000"/>
            <wp:effectExtent l="19050" t="0" r="9525" b="0"/>
            <wp:docPr id="230"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8" cstate="print"/>
                    <a:stretch>
                      <a:fillRect/>
                    </a:stretch>
                  </pic:blipFill>
                  <pic:spPr>
                    <a:xfrm>
                      <a:off x="0" y="0"/>
                      <a:ext cx="3266667" cy="3428572"/>
                    </a:xfrm>
                    <a:prstGeom prst="rect">
                      <a:avLst/>
                    </a:prstGeom>
                  </pic:spPr>
                </pic:pic>
              </a:graphicData>
            </a:graphic>
          </wp:inline>
        </w:drawing>
      </w:r>
    </w:p>
    <w:p w:rsidR="00FC2F62" w:rsidRDefault="00FC2F62" w:rsidP="004D63EC">
      <w:pPr>
        <w:jc w:val="both"/>
        <w:rPr>
          <w:rFonts w:asciiTheme="minorHAnsi" w:hAnsiTheme="minorHAnsi" w:cstheme="minorHAnsi"/>
          <w:sz w:val="22"/>
          <w:szCs w:val="22"/>
        </w:rPr>
      </w:pPr>
      <w:r w:rsidRPr="00FC2F62">
        <w:rPr>
          <w:noProof/>
          <w:szCs w:val="22"/>
        </w:rPr>
        <w:drawing>
          <wp:inline distT="0" distB="0" distL="0" distR="0">
            <wp:extent cx="6645910" cy="1135977"/>
            <wp:effectExtent l="19050" t="0" r="2540" b="0"/>
            <wp:docPr id="133" name="Imag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49" cstate="print"/>
                    <a:srcRect/>
                    <a:stretch>
                      <a:fillRect/>
                    </a:stretch>
                  </pic:blipFill>
                  <pic:spPr bwMode="auto">
                    <a:xfrm>
                      <a:off x="0" y="0"/>
                      <a:ext cx="6645910" cy="1135977"/>
                    </a:xfrm>
                    <a:prstGeom prst="rect">
                      <a:avLst/>
                    </a:prstGeom>
                    <a:noFill/>
                    <a:ln w="9525">
                      <a:noFill/>
                      <a:miter lim="800000"/>
                      <a:headEnd/>
                      <a:tailEnd/>
                    </a:ln>
                  </pic:spPr>
                </pic:pic>
              </a:graphicData>
            </a:graphic>
          </wp:inline>
        </w:drawing>
      </w:r>
    </w:p>
    <w:p w:rsidR="00FC2F62" w:rsidRDefault="00FC2F62" w:rsidP="004D63EC">
      <w:pPr>
        <w:jc w:val="both"/>
        <w:rPr>
          <w:rFonts w:asciiTheme="minorHAnsi" w:hAnsiTheme="minorHAnsi" w:cstheme="minorHAnsi"/>
          <w:sz w:val="22"/>
          <w:szCs w:val="22"/>
        </w:rPr>
      </w:pPr>
    </w:p>
    <w:p w:rsidR="00FC2F62" w:rsidRPr="003F4E0F" w:rsidRDefault="00FC2F62" w:rsidP="00FC2F62">
      <w:pPr>
        <w:jc w:val="both"/>
        <w:rPr>
          <w:rFonts w:asciiTheme="minorHAnsi" w:hAnsiTheme="minorHAnsi" w:cstheme="minorHAnsi"/>
          <w:sz w:val="22"/>
          <w:szCs w:val="22"/>
        </w:rPr>
      </w:pPr>
      <w:r w:rsidRPr="003F4E0F">
        <w:rPr>
          <w:rFonts w:asciiTheme="minorHAnsi" w:hAnsiTheme="minorHAnsi" w:cstheme="minorHAnsi"/>
          <w:sz w:val="22"/>
          <w:szCs w:val="22"/>
        </w:rPr>
        <w:t xml:space="preserve">Le montant moyen par investissement est </w:t>
      </w:r>
      <w:r>
        <w:rPr>
          <w:rFonts w:asciiTheme="minorHAnsi" w:hAnsiTheme="minorHAnsi" w:cstheme="minorHAnsi"/>
          <w:sz w:val="22"/>
          <w:szCs w:val="22"/>
        </w:rPr>
        <w:t xml:space="preserve">très </w:t>
      </w:r>
      <w:r w:rsidRPr="003F4E0F">
        <w:rPr>
          <w:rFonts w:asciiTheme="minorHAnsi" w:hAnsiTheme="minorHAnsi" w:cstheme="minorHAnsi"/>
          <w:sz w:val="22"/>
          <w:szCs w:val="22"/>
        </w:rPr>
        <w:t>supérieur à la moyenne. Il est par ailleurs en nette progression par ra</w:t>
      </w:r>
      <w:r>
        <w:rPr>
          <w:rFonts w:asciiTheme="minorHAnsi" w:hAnsiTheme="minorHAnsi" w:cstheme="minorHAnsi"/>
          <w:sz w:val="22"/>
          <w:szCs w:val="22"/>
        </w:rPr>
        <w:t>pport à celui de l’exercice 2011 : 4 190 024 MRO en 2012 contre 1 187 607 MRO en 2011. L’augmentation des crédits disponibles a été accompagnée d’une forte diminu</w:t>
      </w:r>
      <w:r w:rsidRPr="003F4E0F">
        <w:rPr>
          <w:rFonts w:asciiTheme="minorHAnsi" w:hAnsiTheme="minorHAnsi" w:cstheme="minorHAnsi"/>
          <w:sz w:val="22"/>
          <w:szCs w:val="22"/>
        </w:rPr>
        <w:t>tion du nombre de projet</w:t>
      </w:r>
      <w:r>
        <w:rPr>
          <w:rFonts w:asciiTheme="minorHAnsi" w:hAnsiTheme="minorHAnsi" w:cstheme="minorHAnsi"/>
          <w:sz w:val="22"/>
          <w:szCs w:val="22"/>
        </w:rPr>
        <w:t>s (de 22 à 7 en 2012)</w:t>
      </w:r>
      <w:r w:rsidRPr="003F4E0F">
        <w:rPr>
          <w:rFonts w:asciiTheme="minorHAnsi" w:hAnsiTheme="minorHAnsi" w:cstheme="minorHAnsi"/>
          <w:sz w:val="22"/>
          <w:szCs w:val="22"/>
        </w:rPr>
        <w:t xml:space="preserve">. Ainsi la parcellisation de l’investissement dans cette </w:t>
      </w:r>
      <w:proofErr w:type="spellStart"/>
      <w:r w:rsidR="001246CD">
        <w:rPr>
          <w:rFonts w:asciiTheme="minorHAnsi" w:hAnsiTheme="minorHAnsi" w:cstheme="minorHAnsi"/>
          <w:sz w:val="22"/>
          <w:szCs w:val="22"/>
        </w:rPr>
        <w:t>Moughataa</w:t>
      </w:r>
      <w:proofErr w:type="spellEnd"/>
      <w:r w:rsidRPr="003F4E0F">
        <w:rPr>
          <w:rFonts w:asciiTheme="minorHAnsi" w:hAnsiTheme="minorHAnsi" w:cstheme="minorHAnsi"/>
          <w:sz w:val="22"/>
          <w:szCs w:val="22"/>
        </w:rPr>
        <w:t xml:space="preserve"> est en </w:t>
      </w:r>
      <w:r>
        <w:rPr>
          <w:rFonts w:asciiTheme="minorHAnsi" w:hAnsiTheme="minorHAnsi" w:cstheme="minorHAnsi"/>
          <w:sz w:val="22"/>
          <w:szCs w:val="22"/>
        </w:rPr>
        <w:t>très nette dimin</w:t>
      </w:r>
      <w:r w:rsidR="00C37FE5">
        <w:rPr>
          <w:rFonts w:asciiTheme="minorHAnsi" w:hAnsiTheme="minorHAnsi" w:cstheme="minorHAnsi"/>
          <w:sz w:val="22"/>
          <w:szCs w:val="22"/>
        </w:rPr>
        <w:t>ution, signe d’une certaine matu</w:t>
      </w:r>
      <w:r>
        <w:rPr>
          <w:rFonts w:asciiTheme="minorHAnsi" w:hAnsiTheme="minorHAnsi" w:cstheme="minorHAnsi"/>
          <w:sz w:val="22"/>
          <w:szCs w:val="22"/>
        </w:rPr>
        <w:t>rité dans les choix opérés.</w:t>
      </w:r>
    </w:p>
    <w:p w:rsidR="00FC2F62" w:rsidRDefault="00FC2F62" w:rsidP="00FC2F62">
      <w:pPr>
        <w:jc w:val="both"/>
        <w:rPr>
          <w:rFonts w:asciiTheme="minorHAnsi" w:hAnsiTheme="minorHAnsi" w:cstheme="minorHAnsi"/>
          <w:sz w:val="22"/>
          <w:szCs w:val="22"/>
        </w:rPr>
      </w:pPr>
      <w:r>
        <w:rPr>
          <w:rFonts w:asciiTheme="minorHAnsi" w:hAnsiTheme="minorHAnsi" w:cstheme="minorHAnsi"/>
          <w:sz w:val="22"/>
          <w:szCs w:val="22"/>
        </w:rPr>
        <w:t>Seulement 3 projets pour le secteur n°1, celui des bâtiments communaux, avec 60,64% des engagements soit 17 786 680 MRO.</w:t>
      </w:r>
    </w:p>
    <w:p w:rsidR="00FC2F62" w:rsidRDefault="00FC2F62" w:rsidP="00FC2F62">
      <w:pPr>
        <w:jc w:val="both"/>
        <w:rPr>
          <w:rFonts w:asciiTheme="minorHAnsi" w:hAnsiTheme="minorHAnsi" w:cstheme="minorHAnsi"/>
          <w:sz w:val="22"/>
          <w:szCs w:val="22"/>
        </w:rPr>
      </w:pPr>
      <w:r>
        <w:rPr>
          <w:rFonts w:asciiTheme="minorHAnsi" w:hAnsiTheme="minorHAnsi" w:cstheme="minorHAnsi"/>
          <w:sz w:val="22"/>
          <w:szCs w:val="22"/>
        </w:rPr>
        <w:t xml:space="preserve">En deuxième position, le secteur </w:t>
      </w:r>
      <w:proofErr w:type="spellStart"/>
      <w:r>
        <w:rPr>
          <w:rFonts w:asciiTheme="minorHAnsi" w:hAnsiTheme="minorHAnsi" w:cstheme="minorHAnsi"/>
          <w:sz w:val="22"/>
          <w:szCs w:val="22"/>
        </w:rPr>
        <w:t>socio-culturel</w:t>
      </w:r>
      <w:proofErr w:type="spellEnd"/>
      <w:r>
        <w:rPr>
          <w:rFonts w:asciiTheme="minorHAnsi" w:hAnsiTheme="minorHAnsi" w:cstheme="minorHAnsi"/>
          <w:sz w:val="22"/>
          <w:szCs w:val="22"/>
        </w:rPr>
        <w:t xml:space="preserve"> avec un projet unique à hauteur de 10 281 490, soit 35,05% des engagements.</w:t>
      </w:r>
    </w:p>
    <w:p w:rsidR="00FC2F62" w:rsidRDefault="00FC2F62" w:rsidP="00FC2F62">
      <w:pPr>
        <w:jc w:val="both"/>
        <w:rPr>
          <w:rFonts w:asciiTheme="minorHAnsi" w:hAnsiTheme="minorHAnsi" w:cstheme="minorHAnsi"/>
          <w:sz w:val="22"/>
          <w:szCs w:val="22"/>
        </w:rPr>
      </w:pPr>
      <w:r>
        <w:rPr>
          <w:rFonts w:asciiTheme="minorHAnsi" w:hAnsiTheme="minorHAnsi" w:cstheme="minorHAnsi"/>
          <w:sz w:val="22"/>
          <w:szCs w:val="22"/>
        </w:rPr>
        <w:t>En troisième position, 2 projets hydrauliques pour 4,09% des engagements, soit un total de 1 200 000 MRO.</w:t>
      </w:r>
    </w:p>
    <w:p w:rsidR="00FC2F62" w:rsidRDefault="00FC2F62" w:rsidP="004D63EC">
      <w:pPr>
        <w:jc w:val="both"/>
        <w:rPr>
          <w:rFonts w:asciiTheme="minorHAnsi" w:hAnsiTheme="minorHAnsi" w:cstheme="minorHAnsi"/>
          <w:sz w:val="22"/>
          <w:szCs w:val="22"/>
        </w:rPr>
      </w:pPr>
    </w:p>
    <w:p w:rsidR="00FC2F62" w:rsidRPr="003F4E0F" w:rsidRDefault="00FC2F62" w:rsidP="004D63EC">
      <w:pPr>
        <w:jc w:val="both"/>
        <w:rPr>
          <w:rFonts w:asciiTheme="minorHAnsi" w:hAnsiTheme="minorHAnsi" w:cstheme="minorHAnsi"/>
          <w:sz w:val="22"/>
          <w:szCs w:val="22"/>
        </w:rPr>
      </w:pPr>
    </w:p>
    <w:p w:rsidR="004D63EC" w:rsidRPr="003F4E0F" w:rsidRDefault="004D63EC" w:rsidP="004D63EC">
      <w:pPr>
        <w:jc w:val="both"/>
        <w:rPr>
          <w:rFonts w:asciiTheme="minorHAnsi" w:hAnsiTheme="minorHAnsi" w:cstheme="minorHAnsi"/>
          <w:b/>
          <w:sz w:val="22"/>
          <w:szCs w:val="22"/>
        </w:rPr>
      </w:pPr>
      <w:r w:rsidRPr="00C96B57">
        <w:rPr>
          <w:rFonts w:asciiTheme="minorHAnsi" w:hAnsiTheme="minorHAnsi" w:cstheme="minorHAnsi"/>
          <w:b/>
          <w:noProof/>
          <w:sz w:val="22"/>
          <w:szCs w:val="22"/>
        </w:rPr>
        <w:drawing>
          <wp:inline distT="0" distB="0" distL="0" distR="0">
            <wp:extent cx="6648450" cy="2809875"/>
            <wp:effectExtent l="19050" t="0" r="0" b="0"/>
            <wp:docPr id="231"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0" cstate="print"/>
                    <a:stretch>
                      <a:fillRect/>
                    </a:stretch>
                  </pic:blipFill>
                  <pic:spPr>
                    <a:xfrm>
                      <a:off x="0" y="0"/>
                      <a:ext cx="6647620" cy="2809524"/>
                    </a:xfrm>
                    <a:prstGeom prst="rect">
                      <a:avLst/>
                    </a:prstGeom>
                  </pic:spPr>
                </pic:pic>
              </a:graphicData>
            </a:graphic>
          </wp:inline>
        </w:drawing>
      </w:r>
    </w:p>
    <w:p w:rsidR="004D63EC" w:rsidRPr="003F4E0F" w:rsidRDefault="00E9595E" w:rsidP="004D63EC">
      <w:pPr>
        <w:jc w:val="both"/>
        <w:rPr>
          <w:rFonts w:asciiTheme="minorHAnsi" w:hAnsiTheme="minorHAnsi" w:cstheme="minorHAnsi"/>
          <w:b/>
          <w:sz w:val="22"/>
          <w:szCs w:val="22"/>
        </w:rPr>
      </w:pPr>
      <w:r w:rsidRPr="00E9595E">
        <w:rPr>
          <w:noProof/>
        </w:rPr>
        <w:drawing>
          <wp:inline distT="0" distB="0" distL="0" distR="0">
            <wp:extent cx="6645910" cy="2600325"/>
            <wp:effectExtent l="19050" t="0" r="2540" b="0"/>
            <wp:docPr id="152"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1" cstate="print"/>
                    <a:stretch>
                      <a:fillRect/>
                    </a:stretch>
                  </pic:blipFill>
                  <pic:spPr>
                    <a:xfrm>
                      <a:off x="0" y="0"/>
                      <a:ext cx="6645910" cy="2600325"/>
                    </a:xfrm>
                    <a:prstGeom prst="rect">
                      <a:avLst/>
                    </a:prstGeom>
                  </pic:spPr>
                </pic:pic>
              </a:graphicData>
            </a:graphic>
          </wp:inline>
        </w:drawing>
      </w:r>
    </w:p>
    <w:p w:rsidR="004D63EC" w:rsidRDefault="004D63EC" w:rsidP="004D63EC">
      <w:pPr>
        <w:jc w:val="both"/>
        <w:rPr>
          <w:rFonts w:asciiTheme="minorHAnsi" w:hAnsiTheme="minorHAnsi" w:cstheme="minorHAnsi"/>
          <w:sz w:val="22"/>
          <w:szCs w:val="22"/>
        </w:rPr>
      </w:pPr>
    </w:p>
    <w:p w:rsidR="00F954B0" w:rsidRDefault="00F954B0" w:rsidP="004D63EC">
      <w:pPr>
        <w:jc w:val="both"/>
        <w:rPr>
          <w:rFonts w:asciiTheme="minorHAnsi" w:hAnsiTheme="minorHAnsi" w:cstheme="minorHAnsi"/>
          <w:sz w:val="22"/>
          <w:szCs w:val="22"/>
        </w:rPr>
      </w:pPr>
    </w:p>
    <w:p w:rsidR="00E9595E" w:rsidRPr="003F4E0F" w:rsidRDefault="00E9595E" w:rsidP="004D63EC">
      <w:pPr>
        <w:jc w:val="both"/>
        <w:rPr>
          <w:rFonts w:asciiTheme="minorHAnsi" w:hAnsiTheme="minorHAnsi" w:cstheme="minorHAnsi"/>
          <w:sz w:val="22"/>
          <w:szCs w:val="22"/>
        </w:rPr>
      </w:pPr>
    </w:p>
    <w:p w:rsidR="004D63EC" w:rsidRPr="003F4E0F" w:rsidRDefault="001246CD" w:rsidP="004D63EC">
      <w:pPr>
        <w:jc w:val="center"/>
        <w:rPr>
          <w:rFonts w:asciiTheme="minorHAnsi" w:hAnsiTheme="minorHAnsi" w:cstheme="minorHAnsi"/>
          <w:sz w:val="22"/>
          <w:szCs w:val="22"/>
          <w:u w:val="single"/>
        </w:rPr>
      </w:pPr>
      <w:proofErr w:type="spellStart"/>
      <w:r>
        <w:rPr>
          <w:rFonts w:asciiTheme="minorHAnsi" w:hAnsiTheme="minorHAnsi" w:cstheme="minorHAnsi"/>
          <w:b/>
          <w:sz w:val="22"/>
          <w:szCs w:val="22"/>
          <w:u w:val="single"/>
        </w:rPr>
        <w:t>Moughataa</w:t>
      </w:r>
      <w:proofErr w:type="spellEnd"/>
      <w:r w:rsidR="004D63EC" w:rsidRPr="003F4E0F">
        <w:rPr>
          <w:rFonts w:asciiTheme="minorHAnsi" w:hAnsiTheme="minorHAnsi" w:cstheme="minorHAnsi"/>
          <w:b/>
          <w:sz w:val="22"/>
          <w:szCs w:val="22"/>
          <w:u w:val="single"/>
        </w:rPr>
        <w:t xml:space="preserve"> de Bogué</w:t>
      </w:r>
    </w:p>
    <w:p w:rsidR="004D63EC" w:rsidRPr="003F4E0F" w:rsidRDefault="004D63EC" w:rsidP="004D63EC">
      <w:pPr>
        <w:jc w:val="both"/>
        <w:rPr>
          <w:rFonts w:asciiTheme="minorHAnsi" w:hAnsiTheme="minorHAnsi" w:cstheme="minorHAnsi"/>
          <w:sz w:val="22"/>
          <w:szCs w:val="22"/>
        </w:rPr>
      </w:pPr>
    </w:p>
    <w:p w:rsidR="004D63EC" w:rsidRPr="003F4E0F" w:rsidRDefault="004D63EC" w:rsidP="004D63EC">
      <w:pPr>
        <w:jc w:val="both"/>
        <w:rPr>
          <w:rFonts w:asciiTheme="minorHAnsi" w:hAnsiTheme="minorHAnsi" w:cstheme="minorHAnsi"/>
          <w:sz w:val="22"/>
          <w:szCs w:val="22"/>
        </w:rPr>
      </w:pPr>
      <w:r w:rsidRPr="003F4E0F">
        <w:rPr>
          <w:rFonts w:asciiTheme="minorHAnsi" w:hAnsiTheme="minorHAnsi" w:cstheme="minorHAnsi"/>
          <w:sz w:val="22"/>
          <w:szCs w:val="22"/>
        </w:rPr>
        <w:t xml:space="preserve">Les communes de la </w:t>
      </w:r>
      <w:proofErr w:type="spellStart"/>
      <w:r w:rsidR="001246CD">
        <w:rPr>
          <w:rFonts w:asciiTheme="minorHAnsi" w:hAnsiTheme="minorHAnsi" w:cstheme="minorHAnsi"/>
          <w:sz w:val="22"/>
          <w:szCs w:val="22"/>
        </w:rPr>
        <w:t>Moughataa</w:t>
      </w:r>
      <w:proofErr w:type="spellEnd"/>
      <w:r w:rsidRPr="003F4E0F">
        <w:rPr>
          <w:rFonts w:asciiTheme="minorHAnsi" w:hAnsiTheme="minorHAnsi" w:cstheme="minorHAnsi"/>
          <w:sz w:val="22"/>
          <w:szCs w:val="22"/>
        </w:rPr>
        <w:t xml:space="preserve"> de B</w:t>
      </w:r>
      <w:r w:rsidR="00F954B0">
        <w:rPr>
          <w:rFonts w:asciiTheme="minorHAnsi" w:hAnsiTheme="minorHAnsi" w:cstheme="minorHAnsi"/>
          <w:sz w:val="22"/>
          <w:szCs w:val="22"/>
        </w:rPr>
        <w:t>ogué ont bénéficié d’un FRD 2012 pour l’équipement de 53 149 574 MRO (+16,20</w:t>
      </w:r>
      <w:r w:rsidRPr="003F4E0F">
        <w:rPr>
          <w:rFonts w:asciiTheme="minorHAnsi" w:hAnsiTheme="minorHAnsi" w:cstheme="minorHAnsi"/>
          <w:sz w:val="22"/>
          <w:szCs w:val="22"/>
        </w:rPr>
        <w:t xml:space="preserve"> % par rapp</w:t>
      </w:r>
      <w:r w:rsidR="00F954B0">
        <w:rPr>
          <w:rFonts w:asciiTheme="minorHAnsi" w:hAnsiTheme="minorHAnsi" w:cstheme="minorHAnsi"/>
          <w:sz w:val="22"/>
          <w:szCs w:val="22"/>
        </w:rPr>
        <w:t>ort à 2011). Elles ont engagé 41 713 913</w:t>
      </w:r>
      <w:r w:rsidRPr="003F4E0F">
        <w:rPr>
          <w:rFonts w:asciiTheme="minorHAnsi" w:hAnsiTheme="minorHAnsi" w:cstheme="minorHAnsi"/>
          <w:sz w:val="22"/>
          <w:szCs w:val="22"/>
        </w:rPr>
        <w:t xml:space="preserve"> MRO pour la réalisation de </w:t>
      </w:r>
      <w:r w:rsidR="00F954B0">
        <w:rPr>
          <w:rFonts w:asciiTheme="minorHAnsi" w:hAnsiTheme="minorHAnsi" w:cstheme="minorHAnsi"/>
          <w:b/>
          <w:sz w:val="22"/>
          <w:szCs w:val="22"/>
        </w:rPr>
        <w:t>29</w:t>
      </w:r>
      <w:r w:rsidRPr="00C762B7">
        <w:rPr>
          <w:rFonts w:asciiTheme="minorHAnsi" w:hAnsiTheme="minorHAnsi" w:cstheme="minorHAnsi"/>
          <w:b/>
          <w:sz w:val="22"/>
          <w:szCs w:val="22"/>
        </w:rPr>
        <w:t xml:space="preserve"> projets</w:t>
      </w:r>
      <w:r w:rsidRPr="003F4E0F">
        <w:rPr>
          <w:rFonts w:asciiTheme="minorHAnsi" w:hAnsiTheme="minorHAnsi" w:cstheme="minorHAnsi"/>
          <w:sz w:val="22"/>
          <w:szCs w:val="22"/>
        </w:rPr>
        <w:t xml:space="preserve">, soit un </w:t>
      </w:r>
      <w:r w:rsidR="00F954B0">
        <w:rPr>
          <w:rFonts w:asciiTheme="minorHAnsi" w:hAnsiTheme="minorHAnsi" w:cstheme="minorHAnsi"/>
          <w:b/>
          <w:sz w:val="22"/>
          <w:szCs w:val="22"/>
        </w:rPr>
        <w:t>taux d’absorption de 78,48</w:t>
      </w:r>
      <w:r w:rsidRPr="003F4E0F">
        <w:rPr>
          <w:rFonts w:asciiTheme="minorHAnsi" w:hAnsiTheme="minorHAnsi" w:cstheme="minorHAnsi"/>
          <w:b/>
          <w:sz w:val="22"/>
          <w:szCs w:val="22"/>
        </w:rPr>
        <w:t xml:space="preserve"> </w:t>
      </w:r>
      <w:r w:rsidRPr="00F954B0">
        <w:rPr>
          <w:rFonts w:asciiTheme="minorHAnsi" w:hAnsiTheme="minorHAnsi" w:cstheme="minorHAnsi"/>
          <w:sz w:val="22"/>
          <w:szCs w:val="22"/>
        </w:rPr>
        <w:t>%</w:t>
      </w:r>
      <w:r w:rsidR="00F954B0" w:rsidRPr="00F954B0">
        <w:rPr>
          <w:rFonts w:asciiTheme="minorHAnsi" w:hAnsiTheme="minorHAnsi" w:cstheme="minorHAnsi"/>
          <w:sz w:val="22"/>
          <w:szCs w:val="22"/>
        </w:rPr>
        <w:t>, taux anormalement bas</w:t>
      </w:r>
      <w:r w:rsidR="00352128">
        <w:rPr>
          <w:rFonts w:asciiTheme="minorHAnsi" w:hAnsiTheme="minorHAnsi" w:cstheme="minorHAnsi"/>
          <w:sz w:val="22"/>
          <w:szCs w:val="22"/>
        </w:rPr>
        <w:t xml:space="preserve">, principalement imputable à la Commune de Dar El </w:t>
      </w:r>
      <w:proofErr w:type="spellStart"/>
      <w:r w:rsidR="00352128">
        <w:rPr>
          <w:rFonts w:asciiTheme="minorHAnsi" w:hAnsiTheme="minorHAnsi" w:cstheme="minorHAnsi"/>
          <w:sz w:val="22"/>
          <w:szCs w:val="22"/>
        </w:rPr>
        <w:t>Barka</w:t>
      </w:r>
      <w:proofErr w:type="spellEnd"/>
      <w:r w:rsidR="00352128">
        <w:rPr>
          <w:rFonts w:asciiTheme="minorHAnsi" w:hAnsiTheme="minorHAnsi" w:cstheme="minorHAnsi"/>
          <w:sz w:val="22"/>
          <w:szCs w:val="22"/>
        </w:rPr>
        <w:t xml:space="preserve"> et ses 42,15%,</w:t>
      </w:r>
      <w:r w:rsidR="00F954B0">
        <w:rPr>
          <w:rFonts w:asciiTheme="minorHAnsi" w:hAnsiTheme="minorHAnsi" w:cstheme="minorHAnsi"/>
          <w:b/>
          <w:sz w:val="22"/>
          <w:szCs w:val="22"/>
        </w:rPr>
        <w:t xml:space="preserve"> </w:t>
      </w:r>
      <w:r w:rsidR="00DE6C9B">
        <w:rPr>
          <w:rFonts w:asciiTheme="minorHAnsi" w:hAnsiTheme="minorHAnsi" w:cstheme="minorHAnsi"/>
          <w:sz w:val="22"/>
          <w:szCs w:val="22"/>
        </w:rPr>
        <w:t>d’autant plus que lesdites communes connaissaient depuis 2010 des taux très élevés d’absorption.</w:t>
      </w:r>
    </w:p>
    <w:p w:rsidR="004D63EC" w:rsidRPr="003F4E0F" w:rsidRDefault="004D63EC" w:rsidP="004D63EC">
      <w:pPr>
        <w:jc w:val="both"/>
        <w:rPr>
          <w:rFonts w:asciiTheme="minorHAnsi" w:hAnsiTheme="minorHAnsi" w:cstheme="minorHAnsi"/>
          <w:sz w:val="22"/>
          <w:szCs w:val="22"/>
        </w:rPr>
      </w:pPr>
    </w:p>
    <w:p w:rsidR="004D63EC" w:rsidRDefault="004D63EC" w:rsidP="004D63EC">
      <w:pPr>
        <w:jc w:val="both"/>
        <w:rPr>
          <w:rFonts w:asciiTheme="minorHAnsi" w:hAnsiTheme="minorHAnsi" w:cstheme="minorHAnsi"/>
          <w:sz w:val="22"/>
          <w:szCs w:val="22"/>
        </w:rPr>
      </w:pPr>
      <w:r w:rsidRPr="006A7821">
        <w:rPr>
          <w:noProof/>
        </w:rPr>
        <w:drawing>
          <wp:inline distT="0" distB="0" distL="0" distR="0">
            <wp:extent cx="3390900" cy="4362450"/>
            <wp:effectExtent l="19050" t="0" r="0" b="0"/>
            <wp:docPr id="232"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cstate="print"/>
                    <a:stretch>
                      <a:fillRect/>
                    </a:stretch>
                  </pic:blipFill>
                  <pic:spPr>
                    <a:xfrm>
                      <a:off x="0" y="0"/>
                      <a:ext cx="3390900" cy="4362450"/>
                    </a:xfrm>
                    <a:prstGeom prst="rect">
                      <a:avLst/>
                    </a:prstGeom>
                  </pic:spPr>
                </pic:pic>
              </a:graphicData>
            </a:graphic>
          </wp:inline>
        </w:drawing>
      </w:r>
      <w:r w:rsidRPr="00AC0521">
        <w:rPr>
          <w:rFonts w:asciiTheme="minorHAnsi" w:hAnsiTheme="minorHAnsi" w:cstheme="minorHAnsi"/>
          <w:noProof/>
          <w:sz w:val="22"/>
          <w:szCs w:val="22"/>
        </w:rPr>
        <w:drawing>
          <wp:inline distT="0" distB="0" distL="0" distR="0">
            <wp:extent cx="3124198" cy="4362450"/>
            <wp:effectExtent l="19050" t="0" r="2" b="0"/>
            <wp:docPr id="233"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3" cstate="print"/>
                    <a:stretch>
                      <a:fillRect/>
                    </a:stretch>
                  </pic:blipFill>
                  <pic:spPr>
                    <a:xfrm>
                      <a:off x="0" y="0"/>
                      <a:ext cx="3123809" cy="4361906"/>
                    </a:xfrm>
                    <a:prstGeom prst="rect">
                      <a:avLst/>
                    </a:prstGeom>
                  </pic:spPr>
                </pic:pic>
              </a:graphicData>
            </a:graphic>
          </wp:inline>
        </w:drawing>
      </w:r>
    </w:p>
    <w:p w:rsidR="00FC2F62" w:rsidRDefault="00FC2F62" w:rsidP="004D63EC">
      <w:pPr>
        <w:jc w:val="both"/>
        <w:rPr>
          <w:rFonts w:asciiTheme="minorHAnsi" w:hAnsiTheme="minorHAnsi" w:cstheme="minorHAnsi"/>
          <w:sz w:val="22"/>
          <w:szCs w:val="22"/>
        </w:rPr>
      </w:pPr>
      <w:r w:rsidRPr="00FC2F62">
        <w:rPr>
          <w:noProof/>
          <w:szCs w:val="22"/>
        </w:rPr>
        <w:drawing>
          <wp:inline distT="0" distB="0" distL="0" distR="0">
            <wp:extent cx="6645910" cy="2124075"/>
            <wp:effectExtent l="19050" t="0" r="2540" b="0"/>
            <wp:docPr id="142" name="Imag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54" cstate="print"/>
                    <a:srcRect/>
                    <a:stretch>
                      <a:fillRect/>
                    </a:stretch>
                  </pic:blipFill>
                  <pic:spPr bwMode="auto">
                    <a:xfrm>
                      <a:off x="0" y="0"/>
                      <a:ext cx="6645910" cy="2124075"/>
                    </a:xfrm>
                    <a:prstGeom prst="rect">
                      <a:avLst/>
                    </a:prstGeom>
                    <a:noFill/>
                    <a:ln w="9525">
                      <a:noFill/>
                      <a:miter lim="800000"/>
                      <a:headEnd/>
                      <a:tailEnd/>
                    </a:ln>
                  </pic:spPr>
                </pic:pic>
              </a:graphicData>
            </a:graphic>
          </wp:inline>
        </w:drawing>
      </w:r>
    </w:p>
    <w:p w:rsidR="00FC2F62" w:rsidRDefault="00FC2F62" w:rsidP="004D63EC">
      <w:pPr>
        <w:jc w:val="both"/>
        <w:rPr>
          <w:rFonts w:asciiTheme="minorHAnsi" w:hAnsiTheme="minorHAnsi" w:cstheme="minorHAnsi"/>
          <w:sz w:val="22"/>
          <w:szCs w:val="22"/>
        </w:rPr>
      </w:pPr>
    </w:p>
    <w:p w:rsidR="009643CE" w:rsidRDefault="009643CE" w:rsidP="00FC2F62">
      <w:pPr>
        <w:jc w:val="both"/>
        <w:rPr>
          <w:rFonts w:asciiTheme="minorHAnsi" w:hAnsiTheme="minorHAnsi" w:cstheme="minorHAnsi"/>
          <w:sz w:val="22"/>
          <w:szCs w:val="22"/>
        </w:rPr>
      </w:pPr>
    </w:p>
    <w:p w:rsidR="00FC2F62" w:rsidRDefault="00FC2F62" w:rsidP="00FC2F62">
      <w:pPr>
        <w:jc w:val="both"/>
        <w:rPr>
          <w:rFonts w:asciiTheme="minorHAnsi" w:hAnsiTheme="minorHAnsi" w:cstheme="minorHAnsi"/>
          <w:sz w:val="22"/>
          <w:szCs w:val="22"/>
        </w:rPr>
      </w:pPr>
      <w:r w:rsidRPr="003F4E0F">
        <w:rPr>
          <w:rFonts w:asciiTheme="minorHAnsi" w:hAnsiTheme="minorHAnsi" w:cstheme="minorHAnsi"/>
          <w:sz w:val="22"/>
          <w:szCs w:val="22"/>
        </w:rPr>
        <w:t>Le montant moyen de</w:t>
      </w:r>
      <w:r w:rsidR="00CE5B16">
        <w:rPr>
          <w:rFonts w:asciiTheme="minorHAnsi" w:hAnsiTheme="minorHAnsi" w:cstheme="minorHAnsi"/>
          <w:sz w:val="22"/>
          <w:szCs w:val="22"/>
        </w:rPr>
        <w:t xml:space="preserve"> l’investissement par projet</w:t>
      </w:r>
      <w:r w:rsidRPr="003F4E0F">
        <w:rPr>
          <w:rFonts w:asciiTheme="minorHAnsi" w:hAnsiTheme="minorHAnsi" w:cstheme="minorHAnsi"/>
          <w:sz w:val="22"/>
          <w:szCs w:val="22"/>
        </w:rPr>
        <w:t xml:space="preserve"> pour la </w:t>
      </w:r>
      <w:proofErr w:type="spellStart"/>
      <w:r w:rsidR="001246CD">
        <w:rPr>
          <w:rFonts w:asciiTheme="minorHAnsi" w:hAnsiTheme="minorHAnsi" w:cstheme="minorHAnsi"/>
          <w:sz w:val="22"/>
          <w:szCs w:val="22"/>
        </w:rPr>
        <w:t>Moughataa</w:t>
      </w:r>
      <w:proofErr w:type="spellEnd"/>
      <w:r w:rsidRPr="003F4E0F">
        <w:rPr>
          <w:rFonts w:asciiTheme="minorHAnsi" w:hAnsiTheme="minorHAnsi" w:cstheme="minorHAnsi"/>
          <w:sz w:val="22"/>
          <w:szCs w:val="22"/>
        </w:rPr>
        <w:t xml:space="preserve"> d</w:t>
      </w:r>
      <w:r>
        <w:rPr>
          <w:rFonts w:asciiTheme="minorHAnsi" w:hAnsiTheme="minorHAnsi" w:cstheme="minorHAnsi"/>
          <w:sz w:val="22"/>
          <w:szCs w:val="22"/>
        </w:rPr>
        <w:t>e Bogué est passé de 2 548 747 MRO en 2011 à 1 438 411 MRO en 2012, avec l’augmentation du nombre de projets (de 24 à 29).</w:t>
      </w:r>
    </w:p>
    <w:p w:rsidR="009643CE" w:rsidRDefault="009643CE" w:rsidP="00FC2F62">
      <w:pPr>
        <w:jc w:val="both"/>
        <w:rPr>
          <w:rFonts w:asciiTheme="minorHAnsi" w:hAnsiTheme="minorHAnsi" w:cstheme="minorHAnsi"/>
          <w:sz w:val="22"/>
          <w:szCs w:val="22"/>
        </w:rPr>
      </w:pPr>
    </w:p>
    <w:p w:rsidR="00FC2F62" w:rsidRDefault="00FC2F62" w:rsidP="00FC2F62">
      <w:pPr>
        <w:jc w:val="both"/>
        <w:rPr>
          <w:rFonts w:asciiTheme="minorHAnsi" w:hAnsiTheme="minorHAnsi" w:cstheme="minorHAnsi"/>
          <w:sz w:val="22"/>
          <w:szCs w:val="22"/>
        </w:rPr>
      </w:pPr>
      <w:r>
        <w:rPr>
          <w:rFonts w:asciiTheme="minorHAnsi" w:hAnsiTheme="minorHAnsi" w:cstheme="minorHAnsi"/>
          <w:sz w:val="22"/>
          <w:szCs w:val="22"/>
        </w:rPr>
        <w:t>Le secteur hydraulique, avec 4 projets, occupe la première position avec 20,23% des engagements, soit 8 437 900 MRO.</w:t>
      </w:r>
    </w:p>
    <w:p w:rsidR="00FC2F62" w:rsidRPr="003F4E0F" w:rsidRDefault="00FC2F62" w:rsidP="00FC2F62">
      <w:pPr>
        <w:jc w:val="both"/>
        <w:rPr>
          <w:rFonts w:asciiTheme="minorHAnsi" w:hAnsiTheme="minorHAnsi" w:cstheme="minorHAnsi"/>
          <w:sz w:val="22"/>
          <w:szCs w:val="22"/>
        </w:rPr>
      </w:pPr>
      <w:r>
        <w:rPr>
          <w:rFonts w:asciiTheme="minorHAnsi" w:hAnsiTheme="minorHAnsi" w:cstheme="minorHAnsi"/>
          <w:sz w:val="22"/>
          <w:szCs w:val="22"/>
        </w:rPr>
        <w:t>Ensuite l’assainissement avec 1 projet unique de grande envergure à hauteur de 7 277 000 MRO, soit 17,45% des engagements ;</w:t>
      </w:r>
    </w:p>
    <w:p w:rsidR="00FC2F62" w:rsidRDefault="00FC2F62" w:rsidP="00FC2F62">
      <w:pPr>
        <w:jc w:val="both"/>
        <w:rPr>
          <w:rFonts w:asciiTheme="minorHAnsi" w:hAnsiTheme="minorHAnsi" w:cstheme="minorHAnsi"/>
          <w:sz w:val="22"/>
          <w:szCs w:val="22"/>
        </w:rPr>
      </w:pPr>
      <w:r>
        <w:rPr>
          <w:rFonts w:asciiTheme="minorHAnsi" w:hAnsiTheme="minorHAnsi" w:cstheme="minorHAnsi"/>
          <w:sz w:val="22"/>
          <w:szCs w:val="22"/>
        </w:rPr>
        <w:t>En troisième position, les bâtiments communaux avec 5 projets à hauteur de 6 120 313 MRO, soit 14,67% des engagements.</w:t>
      </w:r>
    </w:p>
    <w:p w:rsidR="00FC2F62" w:rsidRPr="003F4E0F" w:rsidRDefault="00FC2F62" w:rsidP="004D63EC">
      <w:pPr>
        <w:jc w:val="both"/>
        <w:rPr>
          <w:rFonts w:asciiTheme="minorHAnsi" w:hAnsiTheme="minorHAnsi" w:cstheme="minorHAnsi"/>
          <w:sz w:val="22"/>
          <w:szCs w:val="22"/>
        </w:rPr>
      </w:pPr>
    </w:p>
    <w:p w:rsidR="00FC2F62" w:rsidRDefault="004D63EC" w:rsidP="004D63EC">
      <w:pPr>
        <w:jc w:val="both"/>
        <w:rPr>
          <w:rFonts w:asciiTheme="minorHAnsi" w:hAnsiTheme="minorHAnsi" w:cstheme="minorHAnsi"/>
          <w:b/>
          <w:sz w:val="22"/>
          <w:szCs w:val="22"/>
        </w:rPr>
      </w:pPr>
      <w:r w:rsidRPr="00C96B57">
        <w:rPr>
          <w:rFonts w:asciiTheme="minorHAnsi" w:hAnsiTheme="minorHAnsi" w:cstheme="minorHAnsi"/>
          <w:b/>
          <w:noProof/>
          <w:sz w:val="22"/>
          <w:szCs w:val="22"/>
        </w:rPr>
        <w:drawing>
          <wp:inline distT="0" distB="0" distL="0" distR="0">
            <wp:extent cx="6581775" cy="2219325"/>
            <wp:effectExtent l="19050" t="0" r="0" b="0"/>
            <wp:docPr id="234"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5" cstate="print"/>
                    <a:stretch>
                      <a:fillRect/>
                    </a:stretch>
                  </pic:blipFill>
                  <pic:spPr>
                    <a:xfrm>
                      <a:off x="0" y="0"/>
                      <a:ext cx="6580953" cy="2219048"/>
                    </a:xfrm>
                    <a:prstGeom prst="rect">
                      <a:avLst/>
                    </a:prstGeom>
                  </pic:spPr>
                </pic:pic>
              </a:graphicData>
            </a:graphic>
          </wp:inline>
        </w:drawing>
      </w:r>
    </w:p>
    <w:p w:rsidR="00FC2F62" w:rsidRDefault="00DB5894" w:rsidP="004D63EC">
      <w:pPr>
        <w:jc w:val="both"/>
        <w:rPr>
          <w:rFonts w:asciiTheme="minorHAnsi" w:hAnsiTheme="minorHAnsi" w:cstheme="minorHAnsi"/>
          <w:b/>
          <w:sz w:val="22"/>
          <w:szCs w:val="22"/>
        </w:rPr>
      </w:pPr>
      <w:r w:rsidRPr="00DB5894">
        <w:rPr>
          <w:noProof/>
        </w:rPr>
        <w:drawing>
          <wp:inline distT="0" distB="0" distL="0" distR="0">
            <wp:extent cx="6610350" cy="1981200"/>
            <wp:effectExtent l="19050" t="0" r="0" b="0"/>
            <wp:docPr id="153"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6" cstate="print"/>
                    <a:stretch>
                      <a:fillRect/>
                    </a:stretch>
                  </pic:blipFill>
                  <pic:spPr>
                    <a:xfrm>
                      <a:off x="0" y="0"/>
                      <a:ext cx="6610350" cy="1981200"/>
                    </a:xfrm>
                    <a:prstGeom prst="rect">
                      <a:avLst/>
                    </a:prstGeom>
                  </pic:spPr>
                </pic:pic>
              </a:graphicData>
            </a:graphic>
          </wp:inline>
        </w:drawing>
      </w:r>
    </w:p>
    <w:p w:rsidR="009643CE" w:rsidRPr="003F4E0F" w:rsidRDefault="009643CE" w:rsidP="004D63EC">
      <w:pPr>
        <w:jc w:val="both"/>
        <w:rPr>
          <w:rFonts w:asciiTheme="minorHAnsi" w:hAnsiTheme="minorHAnsi" w:cstheme="minorHAnsi"/>
          <w:sz w:val="22"/>
          <w:szCs w:val="22"/>
        </w:rPr>
      </w:pPr>
    </w:p>
    <w:p w:rsidR="004D63EC" w:rsidRPr="003F4E0F" w:rsidRDefault="001246CD" w:rsidP="004D63EC">
      <w:pPr>
        <w:jc w:val="center"/>
        <w:rPr>
          <w:rFonts w:asciiTheme="minorHAnsi" w:hAnsiTheme="minorHAnsi" w:cstheme="minorHAnsi"/>
          <w:sz w:val="22"/>
          <w:szCs w:val="22"/>
          <w:u w:val="single"/>
        </w:rPr>
      </w:pPr>
      <w:proofErr w:type="spellStart"/>
      <w:r>
        <w:rPr>
          <w:rFonts w:asciiTheme="minorHAnsi" w:hAnsiTheme="minorHAnsi" w:cstheme="minorHAnsi"/>
          <w:b/>
          <w:sz w:val="22"/>
          <w:szCs w:val="22"/>
          <w:u w:val="single"/>
        </w:rPr>
        <w:t>Moughataa</w:t>
      </w:r>
      <w:proofErr w:type="spellEnd"/>
      <w:r w:rsidR="004D63EC" w:rsidRPr="003F4E0F">
        <w:rPr>
          <w:rFonts w:asciiTheme="minorHAnsi" w:hAnsiTheme="minorHAnsi" w:cstheme="minorHAnsi"/>
          <w:b/>
          <w:sz w:val="22"/>
          <w:szCs w:val="22"/>
          <w:u w:val="single"/>
        </w:rPr>
        <w:t xml:space="preserve"> de </w:t>
      </w:r>
      <w:proofErr w:type="spellStart"/>
      <w:r w:rsidR="004D63EC" w:rsidRPr="003F4E0F">
        <w:rPr>
          <w:rFonts w:asciiTheme="minorHAnsi" w:hAnsiTheme="minorHAnsi" w:cstheme="minorHAnsi"/>
          <w:b/>
          <w:sz w:val="22"/>
          <w:szCs w:val="22"/>
          <w:u w:val="single"/>
        </w:rPr>
        <w:t>Maghta</w:t>
      </w:r>
      <w:proofErr w:type="spellEnd"/>
      <w:r w:rsidR="004D63EC" w:rsidRPr="003F4E0F">
        <w:rPr>
          <w:rFonts w:asciiTheme="minorHAnsi" w:hAnsiTheme="minorHAnsi" w:cstheme="minorHAnsi"/>
          <w:b/>
          <w:sz w:val="22"/>
          <w:szCs w:val="22"/>
          <w:u w:val="single"/>
        </w:rPr>
        <w:t xml:space="preserve"> </w:t>
      </w:r>
      <w:proofErr w:type="spellStart"/>
      <w:r w:rsidR="004D63EC" w:rsidRPr="003F4E0F">
        <w:rPr>
          <w:rFonts w:asciiTheme="minorHAnsi" w:hAnsiTheme="minorHAnsi" w:cstheme="minorHAnsi"/>
          <w:b/>
          <w:sz w:val="22"/>
          <w:szCs w:val="22"/>
          <w:u w:val="single"/>
        </w:rPr>
        <w:t>Lahjar</w:t>
      </w:r>
      <w:proofErr w:type="spellEnd"/>
    </w:p>
    <w:p w:rsidR="004D63EC" w:rsidRPr="003F4E0F" w:rsidRDefault="004D63EC" w:rsidP="004D63EC">
      <w:pPr>
        <w:jc w:val="both"/>
        <w:rPr>
          <w:rFonts w:asciiTheme="minorHAnsi" w:hAnsiTheme="minorHAnsi" w:cstheme="minorHAnsi"/>
          <w:sz w:val="22"/>
          <w:szCs w:val="22"/>
        </w:rPr>
      </w:pPr>
    </w:p>
    <w:p w:rsidR="004D63EC" w:rsidRPr="003F4E0F" w:rsidRDefault="004D63EC" w:rsidP="004D63EC">
      <w:pPr>
        <w:jc w:val="both"/>
        <w:rPr>
          <w:rFonts w:asciiTheme="minorHAnsi" w:hAnsiTheme="minorHAnsi" w:cstheme="minorHAnsi"/>
          <w:sz w:val="22"/>
          <w:szCs w:val="22"/>
        </w:rPr>
      </w:pPr>
      <w:r w:rsidRPr="003F4E0F">
        <w:rPr>
          <w:rFonts w:asciiTheme="minorHAnsi" w:hAnsiTheme="minorHAnsi" w:cstheme="minorHAnsi"/>
          <w:sz w:val="22"/>
          <w:szCs w:val="22"/>
        </w:rPr>
        <w:t xml:space="preserve">Les communes de la </w:t>
      </w:r>
      <w:proofErr w:type="spellStart"/>
      <w:r w:rsidR="001246CD">
        <w:rPr>
          <w:rFonts w:asciiTheme="minorHAnsi" w:hAnsiTheme="minorHAnsi" w:cstheme="minorHAnsi"/>
          <w:sz w:val="22"/>
          <w:szCs w:val="22"/>
        </w:rPr>
        <w:t>Moughataa</w:t>
      </w:r>
      <w:proofErr w:type="spellEnd"/>
      <w:r w:rsidRPr="003F4E0F">
        <w:rPr>
          <w:rFonts w:asciiTheme="minorHAnsi" w:hAnsiTheme="minorHAnsi" w:cstheme="minorHAnsi"/>
          <w:sz w:val="22"/>
          <w:szCs w:val="22"/>
        </w:rPr>
        <w:t xml:space="preserve"> de </w:t>
      </w:r>
      <w:proofErr w:type="spellStart"/>
      <w:r w:rsidRPr="003F4E0F">
        <w:rPr>
          <w:rFonts w:asciiTheme="minorHAnsi" w:hAnsiTheme="minorHAnsi" w:cstheme="minorHAnsi"/>
          <w:sz w:val="22"/>
          <w:szCs w:val="22"/>
        </w:rPr>
        <w:t>Maghta</w:t>
      </w:r>
      <w:proofErr w:type="spellEnd"/>
      <w:r w:rsidRPr="003F4E0F">
        <w:rPr>
          <w:rFonts w:asciiTheme="minorHAnsi" w:hAnsiTheme="minorHAnsi" w:cstheme="minorHAnsi"/>
          <w:sz w:val="22"/>
          <w:szCs w:val="22"/>
        </w:rPr>
        <w:t xml:space="preserve"> </w:t>
      </w:r>
      <w:proofErr w:type="spellStart"/>
      <w:r w:rsidRPr="003F4E0F">
        <w:rPr>
          <w:rFonts w:asciiTheme="minorHAnsi" w:hAnsiTheme="minorHAnsi" w:cstheme="minorHAnsi"/>
          <w:sz w:val="22"/>
          <w:szCs w:val="22"/>
        </w:rPr>
        <w:t>La</w:t>
      </w:r>
      <w:r w:rsidR="00A24E4D">
        <w:rPr>
          <w:rFonts w:asciiTheme="minorHAnsi" w:hAnsiTheme="minorHAnsi" w:cstheme="minorHAnsi"/>
          <w:sz w:val="22"/>
          <w:szCs w:val="22"/>
        </w:rPr>
        <w:t>hjar</w:t>
      </w:r>
      <w:proofErr w:type="spellEnd"/>
      <w:r w:rsidR="00A24E4D">
        <w:rPr>
          <w:rFonts w:asciiTheme="minorHAnsi" w:hAnsiTheme="minorHAnsi" w:cstheme="minorHAnsi"/>
          <w:sz w:val="22"/>
          <w:szCs w:val="22"/>
        </w:rPr>
        <w:t xml:space="preserve"> ont bénéficié d’un FRD 2012 pour l’équipement de 40 149 828 MRO (+16,67 % par rapport à 2011</w:t>
      </w:r>
      <w:r w:rsidRPr="003F4E0F">
        <w:rPr>
          <w:rFonts w:asciiTheme="minorHAnsi" w:hAnsiTheme="minorHAnsi" w:cstheme="minorHAnsi"/>
          <w:sz w:val="22"/>
          <w:szCs w:val="22"/>
        </w:rPr>
        <w:t>).  Elles o</w:t>
      </w:r>
      <w:r w:rsidR="00A24E4D">
        <w:rPr>
          <w:rFonts w:asciiTheme="minorHAnsi" w:hAnsiTheme="minorHAnsi" w:cstheme="minorHAnsi"/>
          <w:sz w:val="22"/>
          <w:szCs w:val="22"/>
        </w:rPr>
        <w:t>nt engagé 38 899 411</w:t>
      </w:r>
      <w:r w:rsidRPr="003F4E0F">
        <w:rPr>
          <w:rFonts w:asciiTheme="minorHAnsi" w:hAnsiTheme="minorHAnsi" w:cstheme="minorHAnsi"/>
          <w:sz w:val="22"/>
          <w:szCs w:val="22"/>
        </w:rPr>
        <w:t xml:space="preserve"> MRO pour la réalisation de </w:t>
      </w:r>
      <w:r w:rsidR="00A24E4D">
        <w:rPr>
          <w:rFonts w:asciiTheme="minorHAnsi" w:hAnsiTheme="minorHAnsi" w:cstheme="minorHAnsi"/>
          <w:b/>
          <w:sz w:val="22"/>
          <w:szCs w:val="22"/>
        </w:rPr>
        <w:t>43</w:t>
      </w:r>
      <w:r w:rsidRPr="00C762B7">
        <w:rPr>
          <w:rFonts w:asciiTheme="minorHAnsi" w:hAnsiTheme="minorHAnsi" w:cstheme="minorHAnsi"/>
          <w:b/>
          <w:sz w:val="22"/>
          <w:szCs w:val="22"/>
        </w:rPr>
        <w:t xml:space="preserve"> projets</w:t>
      </w:r>
      <w:r w:rsidRPr="003F4E0F">
        <w:rPr>
          <w:rFonts w:asciiTheme="minorHAnsi" w:hAnsiTheme="minorHAnsi" w:cstheme="minorHAnsi"/>
          <w:sz w:val="22"/>
          <w:szCs w:val="22"/>
        </w:rPr>
        <w:t xml:space="preserve">, soit un </w:t>
      </w:r>
      <w:r w:rsidR="00A24E4D">
        <w:rPr>
          <w:rFonts w:asciiTheme="minorHAnsi" w:hAnsiTheme="minorHAnsi" w:cstheme="minorHAnsi"/>
          <w:b/>
          <w:sz w:val="22"/>
          <w:szCs w:val="22"/>
        </w:rPr>
        <w:t>taux d’absorption de 96,89</w:t>
      </w:r>
      <w:r w:rsidRPr="003F4E0F">
        <w:rPr>
          <w:rFonts w:asciiTheme="minorHAnsi" w:hAnsiTheme="minorHAnsi" w:cstheme="minorHAnsi"/>
          <w:b/>
          <w:sz w:val="22"/>
          <w:szCs w:val="22"/>
        </w:rPr>
        <w:t xml:space="preserve"> %.</w:t>
      </w:r>
      <w:r w:rsidR="00A24E4D">
        <w:rPr>
          <w:rFonts w:asciiTheme="minorHAnsi" w:hAnsiTheme="minorHAnsi" w:cstheme="minorHAnsi"/>
          <w:b/>
          <w:sz w:val="22"/>
          <w:szCs w:val="22"/>
        </w:rPr>
        <w:t xml:space="preserve"> </w:t>
      </w:r>
    </w:p>
    <w:p w:rsidR="004D63EC" w:rsidRDefault="004D63EC" w:rsidP="004D63EC">
      <w:pPr>
        <w:jc w:val="both"/>
        <w:rPr>
          <w:rFonts w:asciiTheme="minorHAnsi" w:hAnsiTheme="minorHAnsi" w:cstheme="minorHAnsi"/>
          <w:sz w:val="22"/>
          <w:szCs w:val="22"/>
        </w:rPr>
      </w:pPr>
      <w:r w:rsidRPr="00EE0675">
        <w:rPr>
          <w:noProof/>
        </w:rPr>
        <w:drawing>
          <wp:inline distT="0" distB="0" distL="0" distR="0">
            <wp:extent cx="3276600" cy="3467100"/>
            <wp:effectExtent l="19050" t="0" r="0" b="0"/>
            <wp:docPr id="235"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7" cstate="print"/>
                    <a:stretch>
                      <a:fillRect/>
                    </a:stretch>
                  </pic:blipFill>
                  <pic:spPr>
                    <a:xfrm>
                      <a:off x="0" y="0"/>
                      <a:ext cx="3276600" cy="3467100"/>
                    </a:xfrm>
                    <a:prstGeom prst="rect">
                      <a:avLst/>
                    </a:prstGeom>
                  </pic:spPr>
                </pic:pic>
              </a:graphicData>
            </a:graphic>
          </wp:inline>
        </w:drawing>
      </w:r>
      <w:r w:rsidRPr="00AC0521">
        <w:rPr>
          <w:rFonts w:asciiTheme="minorHAnsi" w:hAnsiTheme="minorHAnsi" w:cstheme="minorHAnsi"/>
          <w:noProof/>
          <w:sz w:val="22"/>
          <w:szCs w:val="22"/>
        </w:rPr>
        <w:drawing>
          <wp:inline distT="0" distB="0" distL="0" distR="0">
            <wp:extent cx="3314700" cy="3438525"/>
            <wp:effectExtent l="19050" t="0" r="0" b="0"/>
            <wp:docPr id="236"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8" cstate="print"/>
                    <a:stretch>
                      <a:fillRect/>
                    </a:stretch>
                  </pic:blipFill>
                  <pic:spPr>
                    <a:xfrm>
                      <a:off x="0" y="0"/>
                      <a:ext cx="3314287" cy="3438097"/>
                    </a:xfrm>
                    <a:prstGeom prst="rect">
                      <a:avLst/>
                    </a:prstGeom>
                  </pic:spPr>
                </pic:pic>
              </a:graphicData>
            </a:graphic>
          </wp:inline>
        </w:drawing>
      </w:r>
    </w:p>
    <w:p w:rsidR="009643CE" w:rsidRDefault="009643CE" w:rsidP="004D63EC">
      <w:pPr>
        <w:jc w:val="both"/>
        <w:rPr>
          <w:rFonts w:asciiTheme="minorHAnsi" w:hAnsiTheme="minorHAnsi" w:cstheme="minorHAnsi"/>
          <w:sz w:val="22"/>
          <w:szCs w:val="22"/>
        </w:rPr>
      </w:pPr>
      <w:r w:rsidRPr="009643CE">
        <w:rPr>
          <w:noProof/>
          <w:szCs w:val="22"/>
        </w:rPr>
        <w:drawing>
          <wp:inline distT="0" distB="0" distL="0" distR="0">
            <wp:extent cx="6645910" cy="1752600"/>
            <wp:effectExtent l="19050" t="0" r="2540" b="0"/>
            <wp:docPr id="145" name="Imag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59" cstate="print"/>
                    <a:srcRect/>
                    <a:stretch>
                      <a:fillRect/>
                    </a:stretch>
                  </pic:blipFill>
                  <pic:spPr bwMode="auto">
                    <a:xfrm>
                      <a:off x="0" y="0"/>
                      <a:ext cx="6645910" cy="1752600"/>
                    </a:xfrm>
                    <a:prstGeom prst="rect">
                      <a:avLst/>
                    </a:prstGeom>
                    <a:noFill/>
                    <a:ln w="9525">
                      <a:noFill/>
                      <a:miter lim="800000"/>
                      <a:headEnd/>
                      <a:tailEnd/>
                    </a:ln>
                  </pic:spPr>
                </pic:pic>
              </a:graphicData>
            </a:graphic>
          </wp:inline>
        </w:drawing>
      </w:r>
    </w:p>
    <w:p w:rsidR="009643CE" w:rsidRDefault="009643CE" w:rsidP="004D63EC">
      <w:pPr>
        <w:jc w:val="both"/>
        <w:rPr>
          <w:rFonts w:asciiTheme="minorHAnsi" w:hAnsiTheme="minorHAnsi" w:cstheme="minorHAnsi"/>
          <w:sz w:val="22"/>
          <w:szCs w:val="22"/>
        </w:rPr>
      </w:pPr>
    </w:p>
    <w:p w:rsidR="009643CE" w:rsidRPr="003F4E0F" w:rsidRDefault="009643CE" w:rsidP="009643CE">
      <w:pPr>
        <w:jc w:val="both"/>
        <w:rPr>
          <w:rFonts w:asciiTheme="minorHAnsi" w:hAnsiTheme="minorHAnsi" w:cstheme="minorHAnsi"/>
          <w:sz w:val="22"/>
          <w:szCs w:val="22"/>
        </w:rPr>
      </w:pPr>
      <w:r>
        <w:rPr>
          <w:rFonts w:asciiTheme="minorHAnsi" w:hAnsiTheme="minorHAnsi" w:cstheme="minorHAnsi"/>
          <w:sz w:val="22"/>
          <w:szCs w:val="22"/>
        </w:rPr>
        <w:t>Le taux d’absorption 2012</w:t>
      </w:r>
      <w:r w:rsidRPr="003F4E0F">
        <w:rPr>
          <w:rFonts w:asciiTheme="minorHAnsi" w:hAnsiTheme="minorHAnsi" w:cstheme="minorHAnsi"/>
          <w:sz w:val="22"/>
          <w:szCs w:val="22"/>
        </w:rPr>
        <w:t xml:space="preserve"> de la </w:t>
      </w:r>
      <w:proofErr w:type="spellStart"/>
      <w:r w:rsidR="001246CD">
        <w:rPr>
          <w:rFonts w:asciiTheme="minorHAnsi" w:hAnsiTheme="minorHAnsi" w:cstheme="minorHAnsi"/>
          <w:sz w:val="22"/>
          <w:szCs w:val="22"/>
        </w:rPr>
        <w:t>Moughataa</w:t>
      </w:r>
      <w:proofErr w:type="spellEnd"/>
      <w:r w:rsidRPr="003F4E0F">
        <w:rPr>
          <w:rFonts w:asciiTheme="minorHAnsi" w:hAnsiTheme="minorHAnsi" w:cstheme="minorHAnsi"/>
          <w:sz w:val="22"/>
          <w:szCs w:val="22"/>
        </w:rPr>
        <w:t xml:space="preserve"> de </w:t>
      </w:r>
      <w:proofErr w:type="spellStart"/>
      <w:r w:rsidRPr="003F4E0F">
        <w:rPr>
          <w:rFonts w:asciiTheme="minorHAnsi" w:hAnsiTheme="minorHAnsi" w:cstheme="minorHAnsi"/>
          <w:sz w:val="22"/>
          <w:szCs w:val="22"/>
        </w:rPr>
        <w:t>Mag</w:t>
      </w:r>
      <w:r>
        <w:rPr>
          <w:rFonts w:asciiTheme="minorHAnsi" w:hAnsiTheme="minorHAnsi" w:cstheme="minorHAnsi"/>
          <w:sz w:val="22"/>
          <w:szCs w:val="22"/>
        </w:rPr>
        <w:t>hta</w:t>
      </w:r>
      <w:proofErr w:type="spellEnd"/>
      <w:r>
        <w:rPr>
          <w:rFonts w:asciiTheme="minorHAnsi" w:hAnsiTheme="minorHAnsi" w:cstheme="minorHAnsi"/>
          <w:sz w:val="22"/>
          <w:szCs w:val="22"/>
        </w:rPr>
        <w:t xml:space="preserve"> </w:t>
      </w:r>
      <w:proofErr w:type="spellStart"/>
      <w:r>
        <w:rPr>
          <w:rFonts w:asciiTheme="minorHAnsi" w:hAnsiTheme="minorHAnsi" w:cstheme="minorHAnsi"/>
          <w:sz w:val="22"/>
          <w:szCs w:val="22"/>
        </w:rPr>
        <w:t>Lahjar</w:t>
      </w:r>
      <w:proofErr w:type="spellEnd"/>
      <w:r>
        <w:rPr>
          <w:rFonts w:asciiTheme="minorHAnsi" w:hAnsiTheme="minorHAnsi" w:cstheme="minorHAnsi"/>
          <w:sz w:val="22"/>
          <w:szCs w:val="22"/>
        </w:rPr>
        <w:t xml:space="preserve"> est satisfaisant, légèrement supérieur à la moyenne nationale.</w:t>
      </w:r>
    </w:p>
    <w:p w:rsidR="009643CE" w:rsidRPr="003F4E0F" w:rsidRDefault="009643CE" w:rsidP="009643CE">
      <w:pPr>
        <w:jc w:val="both"/>
        <w:rPr>
          <w:rFonts w:asciiTheme="minorHAnsi" w:hAnsiTheme="minorHAnsi" w:cstheme="minorHAnsi"/>
          <w:sz w:val="22"/>
          <w:szCs w:val="22"/>
        </w:rPr>
      </w:pPr>
    </w:p>
    <w:p w:rsidR="009643CE" w:rsidRPr="003F4E0F" w:rsidRDefault="009643CE" w:rsidP="009643CE">
      <w:pPr>
        <w:jc w:val="both"/>
        <w:rPr>
          <w:rFonts w:asciiTheme="minorHAnsi" w:hAnsiTheme="minorHAnsi" w:cstheme="minorHAnsi"/>
          <w:sz w:val="22"/>
          <w:szCs w:val="22"/>
        </w:rPr>
      </w:pPr>
      <w:r w:rsidRPr="003F4E0F">
        <w:rPr>
          <w:rFonts w:asciiTheme="minorHAnsi" w:hAnsiTheme="minorHAnsi" w:cstheme="minorHAnsi"/>
          <w:sz w:val="22"/>
          <w:szCs w:val="22"/>
        </w:rPr>
        <w:t xml:space="preserve">Le montant moyen de </w:t>
      </w:r>
      <w:r w:rsidR="009C69F9">
        <w:rPr>
          <w:rFonts w:asciiTheme="minorHAnsi" w:hAnsiTheme="minorHAnsi" w:cstheme="minorHAnsi"/>
          <w:sz w:val="22"/>
          <w:szCs w:val="22"/>
        </w:rPr>
        <w:t xml:space="preserve">l’investissement par projet </w:t>
      </w:r>
      <w:r w:rsidRPr="003F4E0F">
        <w:rPr>
          <w:rFonts w:asciiTheme="minorHAnsi" w:hAnsiTheme="minorHAnsi" w:cstheme="minorHAnsi"/>
          <w:sz w:val="22"/>
          <w:szCs w:val="22"/>
        </w:rPr>
        <w:t xml:space="preserve">pour la </w:t>
      </w:r>
      <w:proofErr w:type="spellStart"/>
      <w:r w:rsidR="001246CD">
        <w:rPr>
          <w:rFonts w:asciiTheme="minorHAnsi" w:hAnsiTheme="minorHAnsi" w:cstheme="minorHAnsi"/>
          <w:sz w:val="22"/>
          <w:szCs w:val="22"/>
        </w:rPr>
        <w:t>Moughataa</w:t>
      </w:r>
      <w:proofErr w:type="spellEnd"/>
      <w:r>
        <w:rPr>
          <w:rFonts w:asciiTheme="minorHAnsi" w:hAnsiTheme="minorHAnsi" w:cstheme="minorHAnsi"/>
          <w:sz w:val="22"/>
          <w:szCs w:val="22"/>
        </w:rPr>
        <w:t xml:space="preserve"> de </w:t>
      </w:r>
      <w:proofErr w:type="spellStart"/>
      <w:r>
        <w:rPr>
          <w:rFonts w:asciiTheme="minorHAnsi" w:hAnsiTheme="minorHAnsi" w:cstheme="minorHAnsi"/>
          <w:sz w:val="22"/>
          <w:szCs w:val="22"/>
        </w:rPr>
        <w:t>Maghta</w:t>
      </w:r>
      <w:proofErr w:type="spellEnd"/>
      <w:r>
        <w:rPr>
          <w:rFonts w:asciiTheme="minorHAnsi" w:hAnsiTheme="minorHAnsi" w:cstheme="minorHAnsi"/>
          <w:sz w:val="22"/>
          <w:szCs w:val="22"/>
        </w:rPr>
        <w:t xml:space="preserve"> </w:t>
      </w:r>
      <w:proofErr w:type="spellStart"/>
      <w:r>
        <w:rPr>
          <w:rFonts w:asciiTheme="minorHAnsi" w:hAnsiTheme="minorHAnsi" w:cstheme="minorHAnsi"/>
          <w:sz w:val="22"/>
          <w:szCs w:val="22"/>
        </w:rPr>
        <w:t>Lahjar</w:t>
      </w:r>
      <w:proofErr w:type="spellEnd"/>
      <w:r>
        <w:rPr>
          <w:rFonts w:asciiTheme="minorHAnsi" w:hAnsiTheme="minorHAnsi" w:cstheme="minorHAnsi"/>
          <w:sz w:val="22"/>
          <w:szCs w:val="22"/>
        </w:rPr>
        <w:t xml:space="preserve"> est remonté en 2012 (de 655 237 MRO à 904 637 MRO) puisque le nombre de projets, lui, a diminué de 69 à 43.</w:t>
      </w:r>
    </w:p>
    <w:p w:rsidR="009643CE" w:rsidRDefault="009643CE" w:rsidP="009643CE">
      <w:pPr>
        <w:jc w:val="both"/>
        <w:rPr>
          <w:rFonts w:asciiTheme="minorHAnsi" w:hAnsiTheme="minorHAnsi" w:cstheme="minorHAnsi"/>
          <w:sz w:val="22"/>
          <w:szCs w:val="22"/>
        </w:rPr>
      </w:pPr>
      <w:r>
        <w:rPr>
          <w:rFonts w:asciiTheme="minorHAnsi" w:hAnsiTheme="minorHAnsi" w:cstheme="minorHAnsi"/>
          <w:sz w:val="22"/>
          <w:szCs w:val="22"/>
        </w:rPr>
        <w:t>Le secteur prioritaire en 2012 est celui de l’hydraulique, avec 32,15% des engagements et 10 projets se chiffrant à 12 506 200 MRO.</w:t>
      </w:r>
    </w:p>
    <w:p w:rsidR="009643CE" w:rsidRDefault="009643CE" w:rsidP="009643CE">
      <w:pPr>
        <w:jc w:val="both"/>
        <w:rPr>
          <w:rFonts w:asciiTheme="minorHAnsi" w:hAnsiTheme="minorHAnsi" w:cstheme="minorHAnsi"/>
          <w:sz w:val="22"/>
          <w:szCs w:val="22"/>
        </w:rPr>
      </w:pPr>
      <w:r>
        <w:rPr>
          <w:rFonts w:asciiTheme="minorHAnsi" w:hAnsiTheme="minorHAnsi" w:cstheme="minorHAnsi"/>
          <w:sz w:val="22"/>
          <w:szCs w:val="22"/>
        </w:rPr>
        <w:t>En deuxième position, nous relevons le secteur</w:t>
      </w:r>
      <w:r w:rsidR="009C69F9">
        <w:rPr>
          <w:rFonts w:asciiTheme="minorHAnsi" w:hAnsiTheme="minorHAnsi" w:cstheme="minorHAnsi"/>
          <w:sz w:val="22"/>
          <w:szCs w:val="22"/>
        </w:rPr>
        <w:t xml:space="preserve"> de l’éducation avec 8 projets </w:t>
      </w:r>
      <w:r>
        <w:rPr>
          <w:rFonts w:asciiTheme="minorHAnsi" w:hAnsiTheme="minorHAnsi" w:cstheme="minorHAnsi"/>
          <w:sz w:val="22"/>
          <w:szCs w:val="22"/>
        </w:rPr>
        <w:t>pour un coût total de 8 110 000 MRO, soit 20,85% des engagements.</w:t>
      </w:r>
    </w:p>
    <w:p w:rsidR="009643CE" w:rsidRDefault="009643CE" w:rsidP="009643CE">
      <w:pPr>
        <w:jc w:val="both"/>
        <w:rPr>
          <w:rFonts w:asciiTheme="minorHAnsi" w:hAnsiTheme="minorHAnsi" w:cstheme="minorHAnsi"/>
          <w:sz w:val="22"/>
          <w:szCs w:val="22"/>
        </w:rPr>
      </w:pPr>
      <w:r>
        <w:rPr>
          <w:rFonts w:asciiTheme="minorHAnsi" w:hAnsiTheme="minorHAnsi" w:cstheme="minorHAnsi"/>
          <w:sz w:val="22"/>
          <w:szCs w:val="22"/>
        </w:rPr>
        <w:t>Le secteur des bâtiments communaux est en troisième position avec 6 projets pour un montant global de 5 525 000 MRO. Les engagements y afférents sont de l’ordre de 14,20%.</w:t>
      </w:r>
    </w:p>
    <w:p w:rsidR="009643CE" w:rsidRPr="003F4E0F" w:rsidRDefault="009643CE" w:rsidP="004D63EC">
      <w:pPr>
        <w:jc w:val="both"/>
        <w:rPr>
          <w:rFonts w:asciiTheme="minorHAnsi" w:hAnsiTheme="minorHAnsi" w:cstheme="minorHAnsi"/>
          <w:sz w:val="22"/>
          <w:szCs w:val="22"/>
        </w:rPr>
      </w:pPr>
    </w:p>
    <w:p w:rsidR="004D63EC" w:rsidRPr="003F4E0F" w:rsidRDefault="004D63EC" w:rsidP="004D63EC">
      <w:pPr>
        <w:jc w:val="both"/>
        <w:rPr>
          <w:rFonts w:asciiTheme="minorHAnsi" w:hAnsiTheme="minorHAnsi" w:cstheme="minorHAnsi"/>
          <w:b/>
          <w:sz w:val="22"/>
          <w:szCs w:val="22"/>
        </w:rPr>
      </w:pPr>
      <w:r w:rsidRPr="00387ECB">
        <w:rPr>
          <w:rFonts w:asciiTheme="minorHAnsi" w:hAnsiTheme="minorHAnsi" w:cstheme="minorHAnsi"/>
          <w:b/>
          <w:noProof/>
          <w:sz w:val="22"/>
          <w:szCs w:val="22"/>
        </w:rPr>
        <w:drawing>
          <wp:inline distT="0" distB="0" distL="0" distR="0">
            <wp:extent cx="6667500" cy="2514600"/>
            <wp:effectExtent l="19050" t="0" r="0" b="0"/>
            <wp:docPr id="237"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0" cstate="print"/>
                    <a:stretch>
                      <a:fillRect/>
                    </a:stretch>
                  </pic:blipFill>
                  <pic:spPr>
                    <a:xfrm>
                      <a:off x="0" y="0"/>
                      <a:ext cx="6666667" cy="2514286"/>
                    </a:xfrm>
                    <a:prstGeom prst="rect">
                      <a:avLst/>
                    </a:prstGeom>
                  </pic:spPr>
                </pic:pic>
              </a:graphicData>
            </a:graphic>
          </wp:inline>
        </w:drawing>
      </w:r>
    </w:p>
    <w:p w:rsidR="004D63EC" w:rsidRPr="003F4E0F" w:rsidRDefault="009C69F9" w:rsidP="004D63EC">
      <w:pPr>
        <w:jc w:val="both"/>
        <w:rPr>
          <w:rFonts w:asciiTheme="minorHAnsi" w:hAnsiTheme="minorHAnsi" w:cstheme="minorHAnsi"/>
          <w:b/>
          <w:sz w:val="22"/>
          <w:szCs w:val="22"/>
        </w:rPr>
      </w:pPr>
      <w:r w:rsidRPr="009C69F9">
        <w:rPr>
          <w:noProof/>
        </w:rPr>
        <w:drawing>
          <wp:inline distT="0" distB="0" distL="0" distR="0">
            <wp:extent cx="6638925" cy="2628900"/>
            <wp:effectExtent l="19050" t="0" r="9525" b="0"/>
            <wp:docPr id="155"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1" cstate="print"/>
                    <a:stretch>
                      <a:fillRect/>
                    </a:stretch>
                  </pic:blipFill>
                  <pic:spPr>
                    <a:xfrm>
                      <a:off x="0" y="0"/>
                      <a:ext cx="6642064" cy="2630143"/>
                    </a:xfrm>
                    <a:prstGeom prst="rect">
                      <a:avLst/>
                    </a:prstGeom>
                  </pic:spPr>
                </pic:pic>
              </a:graphicData>
            </a:graphic>
          </wp:inline>
        </w:drawing>
      </w:r>
    </w:p>
    <w:p w:rsidR="009C69F9" w:rsidRDefault="009C69F9" w:rsidP="004D63EC">
      <w:pPr>
        <w:jc w:val="center"/>
        <w:rPr>
          <w:rFonts w:asciiTheme="minorHAnsi" w:hAnsiTheme="minorHAnsi" w:cstheme="minorHAnsi"/>
          <w:b/>
          <w:sz w:val="22"/>
          <w:szCs w:val="22"/>
          <w:u w:val="single"/>
        </w:rPr>
      </w:pPr>
    </w:p>
    <w:p w:rsidR="004D63EC" w:rsidRPr="003F4E0F" w:rsidRDefault="001246CD" w:rsidP="004D63EC">
      <w:pPr>
        <w:jc w:val="center"/>
        <w:rPr>
          <w:rFonts w:asciiTheme="minorHAnsi" w:hAnsiTheme="minorHAnsi" w:cstheme="minorHAnsi"/>
          <w:sz w:val="22"/>
          <w:szCs w:val="22"/>
          <w:u w:val="single"/>
        </w:rPr>
      </w:pPr>
      <w:proofErr w:type="spellStart"/>
      <w:r>
        <w:rPr>
          <w:rFonts w:asciiTheme="minorHAnsi" w:hAnsiTheme="minorHAnsi" w:cstheme="minorHAnsi"/>
          <w:b/>
          <w:sz w:val="22"/>
          <w:szCs w:val="22"/>
          <w:u w:val="single"/>
        </w:rPr>
        <w:t>Moughataa</w:t>
      </w:r>
      <w:proofErr w:type="spellEnd"/>
      <w:r w:rsidR="004D63EC" w:rsidRPr="003F4E0F">
        <w:rPr>
          <w:rFonts w:asciiTheme="minorHAnsi" w:hAnsiTheme="minorHAnsi" w:cstheme="minorHAnsi"/>
          <w:b/>
          <w:sz w:val="22"/>
          <w:szCs w:val="22"/>
          <w:u w:val="single"/>
        </w:rPr>
        <w:t xml:space="preserve"> de M’Bagne</w:t>
      </w:r>
    </w:p>
    <w:p w:rsidR="004D63EC" w:rsidRPr="003F4E0F" w:rsidRDefault="004D63EC" w:rsidP="004D63EC">
      <w:pPr>
        <w:jc w:val="both"/>
        <w:rPr>
          <w:rFonts w:asciiTheme="minorHAnsi" w:hAnsiTheme="minorHAnsi" w:cstheme="minorHAnsi"/>
          <w:sz w:val="22"/>
          <w:szCs w:val="22"/>
        </w:rPr>
      </w:pPr>
    </w:p>
    <w:p w:rsidR="004D63EC" w:rsidRPr="003F4E0F" w:rsidRDefault="004D63EC" w:rsidP="004D63EC">
      <w:pPr>
        <w:jc w:val="both"/>
        <w:rPr>
          <w:rFonts w:asciiTheme="minorHAnsi" w:hAnsiTheme="minorHAnsi" w:cstheme="minorHAnsi"/>
          <w:sz w:val="22"/>
          <w:szCs w:val="22"/>
        </w:rPr>
      </w:pPr>
      <w:r w:rsidRPr="003F4E0F">
        <w:rPr>
          <w:rFonts w:asciiTheme="minorHAnsi" w:hAnsiTheme="minorHAnsi" w:cstheme="minorHAnsi"/>
          <w:sz w:val="22"/>
          <w:szCs w:val="22"/>
        </w:rPr>
        <w:t xml:space="preserve">Les communes de la </w:t>
      </w:r>
      <w:proofErr w:type="spellStart"/>
      <w:r w:rsidR="001246CD">
        <w:rPr>
          <w:rFonts w:asciiTheme="minorHAnsi" w:hAnsiTheme="minorHAnsi" w:cstheme="minorHAnsi"/>
          <w:sz w:val="22"/>
          <w:szCs w:val="22"/>
        </w:rPr>
        <w:t>Moughataa</w:t>
      </w:r>
      <w:proofErr w:type="spellEnd"/>
      <w:r w:rsidRPr="003F4E0F">
        <w:rPr>
          <w:rFonts w:asciiTheme="minorHAnsi" w:hAnsiTheme="minorHAnsi" w:cstheme="minorHAnsi"/>
          <w:sz w:val="22"/>
          <w:szCs w:val="22"/>
        </w:rPr>
        <w:t xml:space="preserve"> de M’B</w:t>
      </w:r>
      <w:r w:rsidR="00E23D10">
        <w:rPr>
          <w:rFonts w:asciiTheme="minorHAnsi" w:hAnsiTheme="minorHAnsi" w:cstheme="minorHAnsi"/>
          <w:sz w:val="22"/>
          <w:szCs w:val="22"/>
        </w:rPr>
        <w:t>agne ont bénéficié d’un FRD 2012</w:t>
      </w:r>
      <w:r w:rsidRPr="003F4E0F">
        <w:rPr>
          <w:rFonts w:asciiTheme="minorHAnsi" w:hAnsiTheme="minorHAnsi" w:cstheme="minorHAnsi"/>
          <w:sz w:val="22"/>
          <w:szCs w:val="22"/>
        </w:rPr>
        <w:t xml:space="preserve"> </w:t>
      </w:r>
      <w:r w:rsidR="00E23D10">
        <w:rPr>
          <w:rFonts w:asciiTheme="minorHAnsi" w:hAnsiTheme="minorHAnsi" w:cstheme="minorHAnsi"/>
          <w:sz w:val="22"/>
          <w:szCs w:val="22"/>
        </w:rPr>
        <w:t>pour l’équipement de 33 436 623 MRO (+16,67 % par rapport à 2011). Elles ont engagé 35 712 399</w:t>
      </w:r>
      <w:r w:rsidRPr="003F4E0F">
        <w:rPr>
          <w:rFonts w:asciiTheme="minorHAnsi" w:hAnsiTheme="minorHAnsi" w:cstheme="minorHAnsi"/>
          <w:sz w:val="22"/>
          <w:szCs w:val="22"/>
        </w:rPr>
        <w:t xml:space="preserve"> MRO pour la réalisation de </w:t>
      </w:r>
      <w:r w:rsidR="00E23D10">
        <w:rPr>
          <w:rFonts w:asciiTheme="minorHAnsi" w:hAnsiTheme="minorHAnsi" w:cstheme="minorHAnsi"/>
          <w:b/>
          <w:sz w:val="22"/>
          <w:szCs w:val="22"/>
        </w:rPr>
        <w:t>23</w:t>
      </w:r>
      <w:r w:rsidRPr="00C762B7">
        <w:rPr>
          <w:rFonts w:asciiTheme="minorHAnsi" w:hAnsiTheme="minorHAnsi" w:cstheme="minorHAnsi"/>
          <w:b/>
          <w:sz w:val="22"/>
          <w:szCs w:val="22"/>
        </w:rPr>
        <w:t xml:space="preserve"> projets</w:t>
      </w:r>
      <w:r w:rsidRPr="003F4E0F">
        <w:rPr>
          <w:rFonts w:asciiTheme="minorHAnsi" w:hAnsiTheme="minorHAnsi" w:cstheme="minorHAnsi"/>
          <w:sz w:val="22"/>
          <w:szCs w:val="22"/>
        </w:rPr>
        <w:t xml:space="preserve">, soit un </w:t>
      </w:r>
      <w:r w:rsidR="00E23D10">
        <w:rPr>
          <w:rFonts w:asciiTheme="minorHAnsi" w:hAnsiTheme="minorHAnsi" w:cstheme="minorHAnsi"/>
          <w:b/>
          <w:sz w:val="22"/>
          <w:szCs w:val="22"/>
        </w:rPr>
        <w:t>taux d’absorption de 106,81</w:t>
      </w:r>
      <w:r w:rsidRPr="003F4E0F">
        <w:rPr>
          <w:rFonts w:asciiTheme="minorHAnsi" w:hAnsiTheme="minorHAnsi" w:cstheme="minorHAnsi"/>
          <w:b/>
          <w:sz w:val="22"/>
          <w:szCs w:val="22"/>
        </w:rPr>
        <w:t xml:space="preserve"> %.</w:t>
      </w:r>
    </w:p>
    <w:p w:rsidR="004D63EC" w:rsidRPr="003F4E0F" w:rsidRDefault="004D63EC" w:rsidP="004D63EC">
      <w:pPr>
        <w:jc w:val="both"/>
        <w:rPr>
          <w:rFonts w:asciiTheme="minorHAnsi" w:hAnsiTheme="minorHAnsi" w:cstheme="minorHAnsi"/>
          <w:sz w:val="22"/>
          <w:szCs w:val="22"/>
        </w:rPr>
      </w:pPr>
    </w:p>
    <w:p w:rsidR="004D63EC" w:rsidRDefault="004D63EC" w:rsidP="004D63EC">
      <w:pPr>
        <w:jc w:val="both"/>
        <w:rPr>
          <w:rFonts w:asciiTheme="minorHAnsi" w:hAnsiTheme="minorHAnsi" w:cstheme="minorHAnsi"/>
          <w:sz w:val="22"/>
          <w:szCs w:val="22"/>
        </w:rPr>
      </w:pPr>
      <w:r w:rsidRPr="002C22D4">
        <w:rPr>
          <w:noProof/>
        </w:rPr>
        <w:drawing>
          <wp:inline distT="0" distB="0" distL="0" distR="0">
            <wp:extent cx="3581400" cy="4686300"/>
            <wp:effectExtent l="19050" t="0" r="0" b="0"/>
            <wp:docPr id="238"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2" cstate="print"/>
                    <a:stretch>
                      <a:fillRect/>
                    </a:stretch>
                  </pic:blipFill>
                  <pic:spPr>
                    <a:xfrm>
                      <a:off x="0" y="0"/>
                      <a:ext cx="3580953" cy="4685715"/>
                    </a:xfrm>
                    <a:prstGeom prst="rect">
                      <a:avLst/>
                    </a:prstGeom>
                  </pic:spPr>
                </pic:pic>
              </a:graphicData>
            </a:graphic>
          </wp:inline>
        </w:drawing>
      </w:r>
      <w:r w:rsidRPr="00DE26AB">
        <w:rPr>
          <w:rFonts w:asciiTheme="minorHAnsi" w:hAnsiTheme="minorHAnsi" w:cstheme="minorHAnsi"/>
          <w:noProof/>
          <w:sz w:val="22"/>
          <w:szCs w:val="22"/>
        </w:rPr>
        <w:drawing>
          <wp:inline distT="0" distB="0" distL="0" distR="0">
            <wp:extent cx="2924175" cy="4686300"/>
            <wp:effectExtent l="19050" t="0" r="9525" b="0"/>
            <wp:docPr id="239"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3" cstate="print"/>
                    <a:stretch>
                      <a:fillRect/>
                    </a:stretch>
                  </pic:blipFill>
                  <pic:spPr>
                    <a:xfrm>
                      <a:off x="0" y="0"/>
                      <a:ext cx="2924175" cy="4686300"/>
                    </a:xfrm>
                    <a:prstGeom prst="rect">
                      <a:avLst/>
                    </a:prstGeom>
                  </pic:spPr>
                </pic:pic>
              </a:graphicData>
            </a:graphic>
          </wp:inline>
        </w:drawing>
      </w:r>
    </w:p>
    <w:p w:rsidR="009643CE" w:rsidRDefault="009643CE" w:rsidP="004D63EC">
      <w:pPr>
        <w:jc w:val="both"/>
        <w:rPr>
          <w:rFonts w:asciiTheme="minorHAnsi" w:hAnsiTheme="minorHAnsi" w:cstheme="minorHAnsi"/>
          <w:sz w:val="22"/>
          <w:szCs w:val="22"/>
        </w:rPr>
      </w:pPr>
      <w:r w:rsidRPr="009643CE">
        <w:rPr>
          <w:noProof/>
          <w:szCs w:val="22"/>
        </w:rPr>
        <w:drawing>
          <wp:inline distT="0" distB="0" distL="0" distR="0">
            <wp:extent cx="6637809" cy="2428875"/>
            <wp:effectExtent l="19050" t="0" r="0" b="0"/>
            <wp:docPr id="154" name="Imag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64" cstate="print"/>
                    <a:srcRect/>
                    <a:stretch>
                      <a:fillRect/>
                    </a:stretch>
                  </pic:blipFill>
                  <pic:spPr bwMode="auto">
                    <a:xfrm>
                      <a:off x="0" y="0"/>
                      <a:ext cx="6645910" cy="2431839"/>
                    </a:xfrm>
                    <a:prstGeom prst="rect">
                      <a:avLst/>
                    </a:prstGeom>
                    <a:noFill/>
                    <a:ln w="9525">
                      <a:noFill/>
                      <a:miter lim="800000"/>
                      <a:headEnd/>
                      <a:tailEnd/>
                    </a:ln>
                  </pic:spPr>
                </pic:pic>
              </a:graphicData>
            </a:graphic>
          </wp:inline>
        </w:drawing>
      </w:r>
    </w:p>
    <w:p w:rsidR="009643CE" w:rsidRDefault="009643CE" w:rsidP="009643CE">
      <w:pPr>
        <w:jc w:val="both"/>
        <w:rPr>
          <w:rFonts w:asciiTheme="minorHAnsi" w:hAnsiTheme="minorHAnsi" w:cstheme="minorHAnsi"/>
          <w:sz w:val="22"/>
          <w:szCs w:val="22"/>
        </w:rPr>
      </w:pPr>
    </w:p>
    <w:p w:rsidR="009643CE" w:rsidRPr="003F4E0F" w:rsidRDefault="009643CE" w:rsidP="009643CE">
      <w:pPr>
        <w:jc w:val="both"/>
        <w:rPr>
          <w:rFonts w:asciiTheme="minorHAnsi" w:hAnsiTheme="minorHAnsi" w:cstheme="minorHAnsi"/>
          <w:sz w:val="22"/>
          <w:szCs w:val="22"/>
        </w:rPr>
      </w:pPr>
      <w:r>
        <w:rPr>
          <w:rFonts w:asciiTheme="minorHAnsi" w:hAnsiTheme="minorHAnsi" w:cstheme="minorHAnsi"/>
          <w:sz w:val="22"/>
          <w:szCs w:val="22"/>
        </w:rPr>
        <w:t xml:space="preserve">Les taux d’absorption </w:t>
      </w:r>
      <w:r w:rsidRPr="003F4E0F">
        <w:rPr>
          <w:rFonts w:asciiTheme="minorHAnsi" w:hAnsiTheme="minorHAnsi" w:cstheme="minorHAnsi"/>
          <w:sz w:val="22"/>
          <w:szCs w:val="22"/>
        </w:rPr>
        <w:t xml:space="preserve">de la </w:t>
      </w:r>
      <w:proofErr w:type="spellStart"/>
      <w:r w:rsidR="001246CD">
        <w:rPr>
          <w:rFonts w:asciiTheme="minorHAnsi" w:hAnsiTheme="minorHAnsi" w:cstheme="minorHAnsi"/>
          <w:sz w:val="22"/>
          <w:szCs w:val="22"/>
        </w:rPr>
        <w:t>Moughataa</w:t>
      </w:r>
      <w:proofErr w:type="spellEnd"/>
      <w:r w:rsidR="005512C5">
        <w:rPr>
          <w:rFonts w:asciiTheme="minorHAnsi" w:hAnsiTheme="minorHAnsi" w:cstheme="minorHAnsi"/>
          <w:sz w:val="22"/>
          <w:szCs w:val="22"/>
        </w:rPr>
        <w:t xml:space="preserve"> de M’Bagn</w:t>
      </w:r>
      <w:r>
        <w:rPr>
          <w:rFonts w:asciiTheme="minorHAnsi" w:hAnsiTheme="minorHAnsi" w:cstheme="minorHAnsi"/>
          <w:sz w:val="22"/>
          <w:szCs w:val="22"/>
        </w:rPr>
        <w:t xml:space="preserve">e depuis 2010 </w:t>
      </w:r>
      <w:r w:rsidR="009C69F9">
        <w:rPr>
          <w:rFonts w:asciiTheme="minorHAnsi" w:hAnsiTheme="minorHAnsi" w:cstheme="minorHAnsi"/>
          <w:sz w:val="22"/>
          <w:szCs w:val="22"/>
        </w:rPr>
        <w:t>sont très satisfaisant</w:t>
      </w:r>
      <w:r>
        <w:rPr>
          <w:rFonts w:asciiTheme="minorHAnsi" w:hAnsiTheme="minorHAnsi" w:cstheme="minorHAnsi"/>
          <w:sz w:val="22"/>
          <w:szCs w:val="22"/>
        </w:rPr>
        <w:t>s. Ils permettent ainsi de résorber d’année en année les reliquats accumulés au fil des exercices antérieurs.</w:t>
      </w:r>
    </w:p>
    <w:p w:rsidR="009643CE" w:rsidRDefault="009643CE" w:rsidP="009643CE">
      <w:pPr>
        <w:jc w:val="both"/>
        <w:rPr>
          <w:rFonts w:asciiTheme="minorHAnsi" w:hAnsiTheme="minorHAnsi" w:cstheme="minorHAnsi"/>
          <w:sz w:val="22"/>
          <w:szCs w:val="22"/>
        </w:rPr>
      </w:pPr>
    </w:p>
    <w:p w:rsidR="009643CE" w:rsidRDefault="009643CE" w:rsidP="009643CE">
      <w:pPr>
        <w:jc w:val="both"/>
        <w:rPr>
          <w:rFonts w:asciiTheme="minorHAnsi" w:hAnsiTheme="minorHAnsi" w:cstheme="minorHAnsi"/>
          <w:sz w:val="22"/>
          <w:szCs w:val="22"/>
        </w:rPr>
      </w:pPr>
      <w:r w:rsidRPr="003F4E0F">
        <w:rPr>
          <w:rFonts w:asciiTheme="minorHAnsi" w:hAnsiTheme="minorHAnsi" w:cstheme="minorHAnsi"/>
          <w:sz w:val="22"/>
          <w:szCs w:val="22"/>
        </w:rPr>
        <w:t xml:space="preserve">Le montant moyen de l’investissement par projet pour la </w:t>
      </w:r>
      <w:proofErr w:type="spellStart"/>
      <w:r w:rsidR="001246CD">
        <w:rPr>
          <w:rFonts w:asciiTheme="minorHAnsi" w:hAnsiTheme="minorHAnsi" w:cstheme="minorHAnsi"/>
          <w:sz w:val="22"/>
          <w:szCs w:val="22"/>
        </w:rPr>
        <w:t>Moughataa</w:t>
      </w:r>
      <w:proofErr w:type="spellEnd"/>
      <w:r>
        <w:rPr>
          <w:rFonts w:asciiTheme="minorHAnsi" w:hAnsiTheme="minorHAnsi" w:cstheme="minorHAnsi"/>
          <w:sz w:val="22"/>
          <w:szCs w:val="22"/>
        </w:rPr>
        <w:t xml:space="preserve"> de M’Bagne a fait un bond de 522 690 MRO en 2011 à 1 552 713 MRO en 2012, avec la réduction drastique du nombre de projets (57 en 2011 et seulement 23 en 2012).</w:t>
      </w:r>
    </w:p>
    <w:p w:rsidR="009643CE" w:rsidRPr="003F4E0F" w:rsidRDefault="009643CE" w:rsidP="009643CE">
      <w:pPr>
        <w:jc w:val="both"/>
        <w:rPr>
          <w:rFonts w:asciiTheme="minorHAnsi" w:hAnsiTheme="minorHAnsi" w:cstheme="minorHAnsi"/>
          <w:sz w:val="22"/>
          <w:szCs w:val="22"/>
        </w:rPr>
      </w:pPr>
      <w:r>
        <w:rPr>
          <w:rFonts w:asciiTheme="minorHAnsi" w:hAnsiTheme="minorHAnsi" w:cstheme="minorHAnsi"/>
          <w:sz w:val="22"/>
          <w:szCs w:val="22"/>
        </w:rPr>
        <w:t>Les bâtiments communaux, avec 5 projets se chiffrant à 17 823 654 MRO, occupent la première place du fait des 49,91% engagés dans ce secteur en 2012.</w:t>
      </w:r>
    </w:p>
    <w:p w:rsidR="009643CE" w:rsidRDefault="009643CE" w:rsidP="009643CE">
      <w:pPr>
        <w:jc w:val="both"/>
        <w:rPr>
          <w:rFonts w:asciiTheme="minorHAnsi" w:hAnsiTheme="minorHAnsi" w:cstheme="minorHAnsi"/>
        </w:rPr>
      </w:pPr>
      <w:r>
        <w:rPr>
          <w:rFonts w:asciiTheme="minorHAnsi" w:hAnsiTheme="minorHAnsi" w:cstheme="minorHAnsi"/>
        </w:rPr>
        <w:t>En deuxième position l’hydraulique pour 7 565 425 MRO. 5 projets avec un niveau d’engagements à hauteur de 21,18%.</w:t>
      </w:r>
    </w:p>
    <w:p w:rsidR="009643CE" w:rsidRDefault="009643CE" w:rsidP="009643CE">
      <w:pPr>
        <w:jc w:val="both"/>
        <w:rPr>
          <w:rFonts w:asciiTheme="minorHAnsi" w:hAnsiTheme="minorHAnsi" w:cstheme="minorHAnsi"/>
        </w:rPr>
      </w:pPr>
      <w:r>
        <w:rPr>
          <w:rFonts w:asciiTheme="minorHAnsi" w:hAnsiTheme="minorHAnsi" w:cstheme="minorHAnsi"/>
        </w:rPr>
        <w:t>Enfin, en troisième position avec 13,27% des engagements, le secteur de l’appui aux coopératives, associations et aux ONG : 4 projets à hauteur de 4 739 000 MRO.</w:t>
      </w:r>
    </w:p>
    <w:p w:rsidR="009643CE" w:rsidRPr="003F4E0F" w:rsidRDefault="009643CE" w:rsidP="004D63EC">
      <w:pPr>
        <w:jc w:val="both"/>
        <w:rPr>
          <w:rFonts w:asciiTheme="minorHAnsi" w:hAnsiTheme="minorHAnsi" w:cstheme="minorHAnsi"/>
          <w:sz w:val="22"/>
          <w:szCs w:val="22"/>
        </w:rPr>
      </w:pPr>
    </w:p>
    <w:p w:rsidR="004D63EC" w:rsidRPr="003F4E0F" w:rsidRDefault="004D63EC" w:rsidP="004D63EC">
      <w:pPr>
        <w:jc w:val="both"/>
        <w:rPr>
          <w:rFonts w:asciiTheme="minorHAnsi" w:hAnsiTheme="minorHAnsi" w:cstheme="minorHAnsi"/>
          <w:sz w:val="22"/>
          <w:szCs w:val="22"/>
        </w:rPr>
      </w:pPr>
      <w:r w:rsidRPr="00387ECB">
        <w:rPr>
          <w:rFonts w:asciiTheme="minorHAnsi" w:hAnsiTheme="minorHAnsi" w:cstheme="minorHAnsi"/>
          <w:noProof/>
          <w:sz w:val="22"/>
          <w:szCs w:val="22"/>
        </w:rPr>
        <w:drawing>
          <wp:inline distT="0" distB="0" distL="0" distR="0">
            <wp:extent cx="6638925" cy="3048000"/>
            <wp:effectExtent l="19050" t="0" r="9525" b="0"/>
            <wp:docPr id="240"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5" cstate="print"/>
                    <a:stretch>
                      <a:fillRect/>
                    </a:stretch>
                  </pic:blipFill>
                  <pic:spPr>
                    <a:xfrm>
                      <a:off x="0" y="0"/>
                      <a:ext cx="6638095" cy="3047619"/>
                    </a:xfrm>
                    <a:prstGeom prst="rect">
                      <a:avLst/>
                    </a:prstGeom>
                  </pic:spPr>
                </pic:pic>
              </a:graphicData>
            </a:graphic>
          </wp:inline>
        </w:drawing>
      </w:r>
    </w:p>
    <w:p w:rsidR="004D63EC" w:rsidRDefault="004D63EC" w:rsidP="004D63EC">
      <w:pPr>
        <w:jc w:val="both"/>
        <w:rPr>
          <w:rFonts w:asciiTheme="minorHAnsi" w:hAnsiTheme="minorHAnsi" w:cstheme="minorHAnsi"/>
          <w:sz w:val="22"/>
          <w:szCs w:val="22"/>
        </w:rPr>
      </w:pPr>
    </w:p>
    <w:p w:rsidR="00733A35" w:rsidRDefault="009C69F9" w:rsidP="00A27296">
      <w:pPr>
        <w:jc w:val="both"/>
        <w:rPr>
          <w:rFonts w:asciiTheme="minorHAnsi" w:hAnsiTheme="minorHAnsi" w:cstheme="minorHAnsi"/>
        </w:rPr>
      </w:pPr>
      <w:r w:rsidRPr="009C69F9">
        <w:rPr>
          <w:rFonts w:asciiTheme="minorHAnsi" w:hAnsiTheme="minorHAnsi" w:cstheme="minorHAnsi"/>
          <w:noProof/>
        </w:rPr>
        <w:drawing>
          <wp:inline distT="0" distB="0" distL="0" distR="0">
            <wp:extent cx="6638925" cy="3790950"/>
            <wp:effectExtent l="19050" t="0" r="9525" b="0"/>
            <wp:docPr id="156" name="Image 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166" cstate="print"/>
                    <a:srcRect/>
                    <a:stretch>
                      <a:fillRect/>
                    </a:stretch>
                  </pic:blipFill>
                  <pic:spPr bwMode="auto">
                    <a:xfrm>
                      <a:off x="0" y="0"/>
                      <a:ext cx="6648210" cy="3796252"/>
                    </a:xfrm>
                    <a:prstGeom prst="rect">
                      <a:avLst/>
                    </a:prstGeom>
                    <a:noFill/>
                    <a:ln w="9525">
                      <a:noFill/>
                      <a:miter lim="800000"/>
                      <a:headEnd/>
                      <a:tailEnd/>
                    </a:ln>
                  </pic:spPr>
                </pic:pic>
              </a:graphicData>
            </a:graphic>
          </wp:inline>
        </w:drawing>
      </w:r>
    </w:p>
    <w:p w:rsidR="00074C50" w:rsidRDefault="00074C50" w:rsidP="00A27296">
      <w:pPr>
        <w:jc w:val="both"/>
        <w:rPr>
          <w:rFonts w:asciiTheme="minorHAnsi" w:hAnsiTheme="minorHAnsi" w:cstheme="minorHAnsi"/>
        </w:rPr>
      </w:pPr>
    </w:p>
    <w:p w:rsidR="00074C50" w:rsidRDefault="00074C50">
      <w:pPr>
        <w:spacing w:after="200" w:line="276" w:lineRule="auto"/>
        <w:rPr>
          <w:rFonts w:asciiTheme="minorHAnsi" w:hAnsiTheme="minorHAnsi" w:cstheme="minorHAnsi"/>
        </w:rPr>
      </w:pPr>
      <w:r>
        <w:rPr>
          <w:rFonts w:asciiTheme="minorHAnsi" w:hAnsiTheme="minorHAnsi" w:cstheme="minorHAnsi"/>
        </w:rPr>
        <w:br w:type="page"/>
      </w:r>
    </w:p>
    <w:p w:rsidR="00074C50" w:rsidRPr="00074C50" w:rsidRDefault="001246CD" w:rsidP="00074C5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2D050"/>
        <w:rPr>
          <w:rFonts w:asciiTheme="minorHAnsi" w:hAnsiTheme="minorHAnsi" w:cstheme="minorHAnsi"/>
          <w:b/>
          <w:smallCaps/>
          <w:sz w:val="28"/>
          <w:szCs w:val="28"/>
        </w:rPr>
      </w:pPr>
      <w:r>
        <w:rPr>
          <w:rFonts w:asciiTheme="minorHAnsi" w:hAnsiTheme="minorHAnsi" w:cstheme="minorHAnsi"/>
          <w:b/>
          <w:smallCaps/>
          <w:sz w:val="28"/>
          <w:szCs w:val="28"/>
        </w:rPr>
        <w:t>Wilaya</w:t>
      </w:r>
      <w:r w:rsidR="00074C50" w:rsidRPr="00074C50">
        <w:rPr>
          <w:rFonts w:asciiTheme="minorHAnsi" w:hAnsiTheme="minorHAnsi" w:cstheme="minorHAnsi"/>
          <w:b/>
          <w:smallCaps/>
          <w:sz w:val="28"/>
          <w:szCs w:val="28"/>
        </w:rPr>
        <w:t xml:space="preserve"> du Trarza</w:t>
      </w:r>
    </w:p>
    <w:p w:rsidR="00074C50" w:rsidRDefault="00074C50" w:rsidP="00074C50">
      <w:pPr>
        <w:jc w:val="both"/>
        <w:rPr>
          <w:rFonts w:asciiTheme="minorHAnsi" w:hAnsiTheme="minorHAnsi" w:cstheme="minorHAnsi"/>
        </w:rPr>
      </w:pPr>
    </w:p>
    <w:p w:rsidR="0075346A" w:rsidRDefault="0075346A" w:rsidP="00074C50">
      <w:pPr>
        <w:jc w:val="both"/>
        <w:rPr>
          <w:rFonts w:asciiTheme="minorHAnsi" w:hAnsiTheme="minorHAnsi" w:cstheme="minorHAnsi"/>
        </w:rPr>
      </w:pPr>
      <w:r w:rsidRPr="0075346A">
        <w:rPr>
          <w:noProof/>
        </w:rPr>
        <w:drawing>
          <wp:inline distT="0" distB="0" distL="0" distR="0">
            <wp:extent cx="6734175" cy="3495675"/>
            <wp:effectExtent l="19050" t="0" r="9525" b="0"/>
            <wp:docPr id="262"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7" cstate="print"/>
                    <a:stretch>
                      <a:fillRect/>
                    </a:stretch>
                  </pic:blipFill>
                  <pic:spPr>
                    <a:xfrm>
                      <a:off x="0" y="0"/>
                      <a:ext cx="6734175" cy="3495675"/>
                    </a:xfrm>
                    <a:prstGeom prst="rect">
                      <a:avLst/>
                    </a:prstGeom>
                  </pic:spPr>
                </pic:pic>
              </a:graphicData>
            </a:graphic>
          </wp:inline>
        </w:drawing>
      </w:r>
    </w:p>
    <w:p w:rsidR="00074C50" w:rsidRDefault="00074C50" w:rsidP="00074C50">
      <w:pPr>
        <w:jc w:val="both"/>
        <w:rPr>
          <w:rFonts w:asciiTheme="minorHAnsi" w:hAnsiTheme="minorHAnsi" w:cstheme="minorHAnsi"/>
        </w:rPr>
      </w:pPr>
    </w:p>
    <w:p w:rsidR="00074C50" w:rsidRPr="00205D18" w:rsidRDefault="00074C50" w:rsidP="00074C50">
      <w:pPr>
        <w:jc w:val="both"/>
        <w:rPr>
          <w:rFonts w:asciiTheme="minorHAnsi" w:hAnsiTheme="minorHAnsi" w:cstheme="minorHAnsi"/>
          <w:sz w:val="22"/>
          <w:szCs w:val="22"/>
        </w:rPr>
      </w:pPr>
      <w:r w:rsidRPr="00205D18">
        <w:rPr>
          <w:rFonts w:asciiTheme="minorHAnsi" w:hAnsiTheme="minorHAnsi" w:cstheme="minorHAnsi"/>
          <w:sz w:val="22"/>
          <w:szCs w:val="22"/>
        </w:rPr>
        <w:t xml:space="preserve">La </w:t>
      </w:r>
      <w:r w:rsidR="001246CD">
        <w:rPr>
          <w:rFonts w:asciiTheme="minorHAnsi" w:hAnsiTheme="minorHAnsi" w:cstheme="minorHAnsi"/>
          <w:sz w:val="22"/>
          <w:szCs w:val="22"/>
        </w:rPr>
        <w:t>Wilaya</w:t>
      </w:r>
      <w:r w:rsidRPr="00205D18">
        <w:rPr>
          <w:rFonts w:asciiTheme="minorHAnsi" w:hAnsiTheme="minorHAnsi" w:cstheme="minorHAnsi"/>
          <w:sz w:val="22"/>
          <w:szCs w:val="22"/>
        </w:rPr>
        <w:t xml:space="preserve"> du Trarza </w:t>
      </w:r>
      <w:r>
        <w:rPr>
          <w:rFonts w:asciiTheme="minorHAnsi" w:hAnsiTheme="minorHAnsi" w:cstheme="minorHAnsi"/>
          <w:sz w:val="22"/>
          <w:szCs w:val="22"/>
        </w:rPr>
        <w:t>a bénéficié pour l’exercice 2012</w:t>
      </w:r>
      <w:r w:rsidRPr="00205D18">
        <w:rPr>
          <w:rFonts w:asciiTheme="minorHAnsi" w:hAnsiTheme="minorHAnsi" w:cstheme="minorHAnsi"/>
          <w:sz w:val="22"/>
          <w:szCs w:val="22"/>
        </w:rPr>
        <w:t xml:space="preserve"> d’un FRD équipement de </w:t>
      </w:r>
      <w:r>
        <w:rPr>
          <w:rFonts w:asciiTheme="minorHAnsi" w:hAnsiTheme="minorHAnsi" w:cstheme="minorHAnsi"/>
          <w:b/>
          <w:sz w:val="22"/>
          <w:szCs w:val="22"/>
        </w:rPr>
        <w:t>223 719 214</w:t>
      </w:r>
      <w:r w:rsidRPr="00205D18">
        <w:rPr>
          <w:rFonts w:asciiTheme="minorHAnsi" w:hAnsiTheme="minorHAnsi" w:cstheme="minorHAnsi"/>
          <w:b/>
          <w:sz w:val="22"/>
          <w:szCs w:val="22"/>
        </w:rPr>
        <w:t xml:space="preserve"> </w:t>
      </w:r>
      <w:proofErr w:type="gramStart"/>
      <w:r w:rsidR="004871EA">
        <w:rPr>
          <w:rFonts w:asciiTheme="minorHAnsi" w:hAnsiTheme="minorHAnsi" w:cstheme="minorHAnsi"/>
          <w:b/>
          <w:sz w:val="22"/>
          <w:szCs w:val="22"/>
        </w:rPr>
        <w:t>ouguiya</w:t>
      </w:r>
      <w:proofErr w:type="gramEnd"/>
      <w:r w:rsidRPr="00205D18">
        <w:rPr>
          <w:rFonts w:asciiTheme="minorHAnsi" w:hAnsiTheme="minorHAnsi" w:cstheme="minorHAnsi"/>
          <w:sz w:val="22"/>
          <w:szCs w:val="22"/>
        </w:rPr>
        <w:t xml:space="preserve">, soit une hausse de </w:t>
      </w:r>
      <w:r>
        <w:rPr>
          <w:rFonts w:asciiTheme="minorHAnsi" w:hAnsiTheme="minorHAnsi" w:cstheme="minorHAnsi"/>
          <w:b/>
          <w:sz w:val="22"/>
          <w:szCs w:val="22"/>
        </w:rPr>
        <w:t>16,34</w:t>
      </w:r>
      <w:r w:rsidRPr="00205D18">
        <w:rPr>
          <w:rFonts w:asciiTheme="minorHAnsi" w:hAnsiTheme="minorHAnsi" w:cstheme="minorHAnsi"/>
          <w:b/>
          <w:sz w:val="22"/>
          <w:szCs w:val="22"/>
        </w:rPr>
        <w:t xml:space="preserve"> %.</w:t>
      </w:r>
      <w:r>
        <w:rPr>
          <w:rFonts w:asciiTheme="minorHAnsi" w:hAnsiTheme="minorHAnsi" w:cstheme="minorHAnsi"/>
          <w:sz w:val="22"/>
          <w:szCs w:val="22"/>
        </w:rPr>
        <w:t xml:space="preserve"> 204 998 099 </w:t>
      </w:r>
      <w:proofErr w:type="gramStart"/>
      <w:r w:rsidR="004871EA">
        <w:rPr>
          <w:rFonts w:asciiTheme="minorHAnsi" w:hAnsiTheme="minorHAnsi" w:cstheme="minorHAnsi"/>
          <w:sz w:val="22"/>
          <w:szCs w:val="22"/>
        </w:rPr>
        <w:t>ouguiya</w:t>
      </w:r>
      <w:proofErr w:type="gramEnd"/>
      <w:r>
        <w:rPr>
          <w:rFonts w:asciiTheme="minorHAnsi" w:hAnsiTheme="minorHAnsi" w:cstheme="minorHAnsi"/>
          <w:sz w:val="22"/>
          <w:szCs w:val="22"/>
        </w:rPr>
        <w:t xml:space="preserve"> ont été engagés en 2012</w:t>
      </w:r>
      <w:r w:rsidRPr="00205D18">
        <w:rPr>
          <w:rFonts w:asciiTheme="minorHAnsi" w:hAnsiTheme="minorHAnsi" w:cstheme="minorHAnsi"/>
          <w:sz w:val="22"/>
          <w:szCs w:val="22"/>
        </w:rPr>
        <w:t xml:space="preserve">, soit un </w:t>
      </w:r>
      <w:r>
        <w:rPr>
          <w:rFonts w:asciiTheme="minorHAnsi" w:hAnsiTheme="minorHAnsi" w:cstheme="minorHAnsi"/>
          <w:b/>
          <w:sz w:val="22"/>
          <w:szCs w:val="22"/>
        </w:rPr>
        <w:t>taux d’absorption de 91,63</w:t>
      </w:r>
      <w:r w:rsidRPr="00205D18">
        <w:rPr>
          <w:rFonts w:asciiTheme="minorHAnsi" w:hAnsiTheme="minorHAnsi" w:cstheme="minorHAnsi"/>
          <w:b/>
          <w:sz w:val="22"/>
          <w:szCs w:val="22"/>
        </w:rPr>
        <w:t xml:space="preserve"> </w:t>
      </w:r>
      <w:r w:rsidRPr="00205D18">
        <w:rPr>
          <w:rFonts w:asciiTheme="minorHAnsi" w:hAnsiTheme="minorHAnsi" w:cstheme="minorHAnsi"/>
          <w:sz w:val="22"/>
          <w:szCs w:val="22"/>
        </w:rPr>
        <w:t xml:space="preserve">%. </w:t>
      </w:r>
    </w:p>
    <w:p w:rsidR="00074C50" w:rsidRDefault="00923C42" w:rsidP="00074C50">
      <w:pPr>
        <w:jc w:val="both"/>
        <w:rPr>
          <w:rFonts w:asciiTheme="minorHAnsi" w:hAnsiTheme="minorHAnsi" w:cstheme="minorHAnsi"/>
          <w:sz w:val="22"/>
          <w:szCs w:val="22"/>
        </w:rPr>
      </w:pPr>
      <w:r>
        <w:rPr>
          <w:rFonts w:asciiTheme="minorHAnsi" w:hAnsiTheme="minorHAnsi" w:cstheme="minorHAnsi"/>
          <w:sz w:val="22"/>
          <w:szCs w:val="22"/>
        </w:rPr>
        <w:t xml:space="preserve">Ce taux, sans être inquiétant, devra faire l’objet d’une analyse plus détaillée : par exemple, savoir pourquoi la </w:t>
      </w:r>
      <w:proofErr w:type="spellStart"/>
      <w:r w:rsidR="001246CD">
        <w:rPr>
          <w:rFonts w:asciiTheme="minorHAnsi" w:hAnsiTheme="minorHAnsi" w:cstheme="minorHAnsi"/>
          <w:sz w:val="22"/>
          <w:szCs w:val="22"/>
        </w:rPr>
        <w:t>Moughataa</w:t>
      </w:r>
      <w:proofErr w:type="spellEnd"/>
      <w:r>
        <w:rPr>
          <w:rFonts w:asciiTheme="minorHAnsi" w:hAnsiTheme="minorHAnsi" w:cstheme="minorHAnsi"/>
          <w:sz w:val="22"/>
          <w:szCs w:val="22"/>
        </w:rPr>
        <w:t xml:space="preserve"> de Boutilimit connaît un taux d’absorption si bas de 71,73%.</w:t>
      </w:r>
    </w:p>
    <w:p w:rsidR="00074C50" w:rsidRDefault="00074C50" w:rsidP="00074C50">
      <w:pPr>
        <w:jc w:val="both"/>
        <w:rPr>
          <w:rFonts w:asciiTheme="minorHAnsi" w:hAnsiTheme="minorHAnsi" w:cstheme="minorHAnsi"/>
          <w:sz w:val="22"/>
          <w:szCs w:val="22"/>
        </w:rPr>
      </w:pPr>
    </w:p>
    <w:p w:rsidR="00074C50" w:rsidRDefault="00074C50" w:rsidP="00074C50">
      <w:pPr>
        <w:jc w:val="both"/>
        <w:rPr>
          <w:rFonts w:asciiTheme="minorHAnsi" w:hAnsiTheme="minorHAnsi" w:cstheme="minorHAnsi"/>
          <w:sz w:val="22"/>
          <w:szCs w:val="22"/>
        </w:rPr>
      </w:pPr>
      <w:r w:rsidRPr="00364926">
        <w:rPr>
          <w:noProof/>
          <w:szCs w:val="22"/>
        </w:rPr>
        <w:drawing>
          <wp:inline distT="0" distB="0" distL="0" distR="0">
            <wp:extent cx="6645910" cy="2980263"/>
            <wp:effectExtent l="19050" t="0" r="2540" b="0"/>
            <wp:docPr id="243"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8" cstate="print"/>
                    <a:srcRect/>
                    <a:stretch>
                      <a:fillRect/>
                    </a:stretch>
                  </pic:blipFill>
                  <pic:spPr bwMode="auto">
                    <a:xfrm>
                      <a:off x="0" y="0"/>
                      <a:ext cx="6645910" cy="2980263"/>
                    </a:xfrm>
                    <a:prstGeom prst="rect">
                      <a:avLst/>
                    </a:prstGeom>
                    <a:noFill/>
                    <a:ln w="9525">
                      <a:noFill/>
                      <a:miter lim="800000"/>
                      <a:headEnd/>
                      <a:tailEnd/>
                    </a:ln>
                  </pic:spPr>
                </pic:pic>
              </a:graphicData>
            </a:graphic>
          </wp:inline>
        </w:drawing>
      </w:r>
    </w:p>
    <w:p w:rsidR="00074C50" w:rsidRDefault="00074C50" w:rsidP="00074C50">
      <w:pPr>
        <w:jc w:val="both"/>
        <w:rPr>
          <w:rFonts w:asciiTheme="minorHAnsi" w:hAnsiTheme="minorHAnsi" w:cstheme="minorHAnsi"/>
          <w:sz w:val="22"/>
          <w:szCs w:val="22"/>
        </w:rPr>
      </w:pPr>
    </w:p>
    <w:p w:rsidR="00074C50" w:rsidRDefault="00923C42" w:rsidP="00074C50">
      <w:pPr>
        <w:jc w:val="both"/>
        <w:rPr>
          <w:rFonts w:asciiTheme="minorHAnsi" w:hAnsiTheme="minorHAnsi" w:cstheme="minorHAnsi"/>
          <w:sz w:val="22"/>
          <w:szCs w:val="22"/>
        </w:rPr>
      </w:pPr>
      <w:r>
        <w:rPr>
          <w:rFonts w:asciiTheme="minorHAnsi" w:hAnsiTheme="minorHAnsi" w:cstheme="minorHAnsi"/>
          <w:sz w:val="22"/>
          <w:szCs w:val="22"/>
        </w:rPr>
        <w:t xml:space="preserve">Le montant moyen de l’investissement est également assez bas comparé à la moyenne nationale (1 051 272 MRO pour la </w:t>
      </w:r>
      <w:r w:rsidR="001246CD">
        <w:rPr>
          <w:rFonts w:asciiTheme="minorHAnsi" w:hAnsiTheme="minorHAnsi" w:cstheme="minorHAnsi"/>
          <w:sz w:val="22"/>
          <w:szCs w:val="22"/>
        </w:rPr>
        <w:t>Wilaya</w:t>
      </w:r>
      <w:r>
        <w:rPr>
          <w:rFonts w:asciiTheme="minorHAnsi" w:hAnsiTheme="minorHAnsi" w:cstheme="minorHAnsi"/>
          <w:sz w:val="22"/>
          <w:szCs w:val="22"/>
        </w:rPr>
        <w:t xml:space="preserve"> e</w:t>
      </w:r>
      <w:r w:rsidR="00C530B9">
        <w:rPr>
          <w:rFonts w:asciiTheme="minorHAnsi" w:hAnsiTheme="minorHAnsi" w:cstheme="minorHAnsi"/>
          <w:sz w:val="22"/>
          <w:szCs w:val="22"/>
        </w:rPr>
        <w:t>t 1 245 534 au niveau national)</w:t>
      </w:r>
      <w:r>
        <w:rPr>
          <w:rFonts w:asciiTheme="minorHAnsi" w:hAnsiTheme="minorHAnsi" w:cstheme="minorHAnsi"/>
          <w:sz w:val="22"/>
          <w:szCs w:val="22"/>
        </w:rPr>
        <w:t>. Pourtant, le nombre de projets a baissé de 226 à 195 et a permis</w:t>
      </w:r>
      <w:r w:rsidR="006C2FF2">
        <w:rPr>
          <w:rFonts w:asciiTheme="minorHAnsi" w:hAnsiTheme="minorHAnsi" w:cstheme="minorHAnsi"/>
          <w:sz w:val="22"/>
          <w:szCs w:val="22"/>
        </w:rPr>
        <w:t xml:space="preserve"> au montant par projet d’augmenter significativement : passant de 836 239 MRO en 2011 à 1 051 272 MRO en 2012.</w:t>
      </w:r>
    </w:p>
    <w:p w:rsidR="00074C50" w:rsidRDefault="00074C50" w:rsidP="00074C50">
      <w:pPr>
        <w:jc w:val="both"/>
        <w:rPr>
          <w:rFonts w:asciiTheme="minorHAnsi" w:hAnsiTheme="minorHAnsi" w:cstheme="minorHAnsi"/>
          <w:sz w:val="22"/>
          <w:szCs w:val="22"/>
        </w:rPr>
      </w:pPr>
    </w:p>
    <w:p w:rsidR="00074C50" w:rsidRDefault="00074C50" w:rsidP="00074C50">
      <w:pPr>
        <w:jc w:val="both"/>
        <w:rPr>
          <w:rFonts w:asciiTheme="minorHAnsi" w:hAnsiTheme="minorHAnsi" w:cstheme="minorHAnsi"/>
          <w:sz w:val="22"/>
          <w:szCs w:val="22"/>
        </w:rPr>
      </w:pPr>
      <w:r w:rsidRPr="00B800AD">
        <w:rPr>
          <w:noProof/>
          <w:szCs w:val="22"/>
        </w:rPr>
        <w:drawing>
          <wp:inline distT="0" distB="0" distL="0" distR="0">
            <wp:extent cx="6124575" cy="3686175"/>
            <wp:effectExtent l="19050" t="0" r="9525" b="0"/>
            <wp:docPr id="244"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9" cstate="print"/>
                    <a:srcRect/>
                    <a:stretch>
                      <a:fillRect/>
                    </a:stretch>
                  </pic:blipFill>
                  <pic:spPr bwMode="auto">
                    <a:xfrm>
                      <a:off x="0" y="0"/>
                      <a:ext cx="6124575" cy="3686175"/>
                    </a:xfrm>
                    <a:prstGeom prst="rect">
                      <a:avLst/>
                    </a:prstGeom>
                    <a:noFill/>
                    <a:ln w="9525">
                      <a:noFill/>
                      <a:miter lim="800000"/>
                      <a:headEnd/>
                      <a:tailEnd/>
                    </a:ln>
                  </pic:spPr>
                </pic:pic>
              </a:graphicData>
            </a:graphic>
          </wp:inline>
        </w:drawing>
      </w:r>
    </w:p>
    <w:p w:rsidR="00074C50" w:rsidRDefault="00074C50" w:rsidP="00074C50">
      <w:pPr>
        <w:jc w:val="both"/>
        <w:rPr>
          <w:rFonts w:asciiTheme="minorHAnsi" w:hAnsiTheme="minorHAnsi" w:cstheme="minorHAnsi"/>
          <w:sz w:val="22"/>
          <w:szCs w:val="22"/>
        </w:rPr>
      </w:pPr>
    </w:p>
    <w:p w:rsidR="00074C50" w:rsidRDefault="00074C50" w:rsidP="00074C50">
      <w:pPr>
        <w:jc w:val="both"/>
        <w:rPr>
          <w:rFonts w:asciiTheme="minorHAnsi" w:hAnsiTheme="minorHAnsi" w:cstheme="minorHAnsi"/>
          <w:sz w:val="22"/>
          <w:szCs w:val="22"/>
        </w:rPr>
      </w:pPr>
      <w:r w:rsidRPr="00205D18">
        <w:rPr>
          <w:rFonts w:asciiTheme="minorHAnsi" w:hAnsiTheme="minorHAnsi" w:cstheme="minorHAnsi"/>
          <w:b/>
          <w:sz w:val="22"/>
          <w:szCs w:val="22"/>
        </w:rPr>
        <w:t>En termes de priorités d’investissement</w:t>
      </w:r>
      <w:r w:rsidRPr="00205D18">
        <w:rPr>
          <w:rFonts w:asciiTheme="minorHAnsi" w:hAnsiTheme="minorHAnsi" w:cstheme="minorHAnsi"/>
          <w:sz w:val="22"/>
          <w:szCs w:val="22"/>
        </w:rPr>
        <w:t xml:space="preserve">, la </w:t>
      </w:r>
      <w:r w:rsidR="001246CD">
        <w:rPr>
          <w:rFonts w:asciiTheme="minorHAnsi" w:hAnsiTheme="minorHAnsi" w:cstheme="minorHAnsi"/>
          <w:sz w:val="22"/>
          <w:szCs w:val="22"/>
        </w:rPr>
        <w:t>Wilaya</w:t>
      </w:r>
      <w:r w:rsidRPr="00205D18">
        <w:rPr>
          <w:rFonts w:asciiTheme="minorHAnsi" w:hAnsiTheme="minorHAnsi" w:cstheme="minorHAnsi"/>
          <w:sz w:val="22"/>
          <w:szCs w:val="22"/>
        </w:rPr>
        <w:t xml:space="preserve"> du Trarza correspond aux grandes ten</w:t>
      </w:r>
      <w:r w:rsidR="006C2FF2">
        <w:rPr>
          <w:rFonts w:asciiTheme="minorHAnsi" w:hAnsiTheme="minorHAnsi" w:cstheme="minorHAnsi"/>
          <w:sz w:val="22"/>
          <w:szCs w:val="22"/>
        </w:rPr>
        <w:t>dances nationales : éducation,</w:t>
      </w:r>
      <w:r w:rsidRPr="00205D18">
        <w:rPr>
          <w:rFonts w:asciiTheme="minorHAnsi" w:hAnsiTheme="minorHAnsi" w:cstheme="minorHAnsi"/>
          <w:sz w:val="22"/>
          <w:szCs w:val="22"/>
        </w:rPr>
        <w:t xml:space="preserve"> hydraulique</w:t>
      </w:r>
      <w:r w:rsidR="006C2FF2">
        <w:rPr>
          <w:rFonts w:asciiTheme="minorHAnsi" w:hAnsiTheme="minorHAnsi" w:cstheme="minorHAnsi"/>
          <w:sz w:val="22"/>
          <w:szCs w:val="22"/>
        </w:rPr>
        <w:t>, bâtiments communaux</w:t>
      </w:r>
      <w:r w:rsidRPr="00205D18">
        <w:rPr>
          <w:rFonts w:asciiTheme="minorHAnsi" w:hAnsiTheme="minorHAnsi" w:cstheme="minorHAnsi"/>
          <w:sz w:val="22"/>
          <w:szCs w:val="22"/>
        </w:rPr>
        <w:t>.</w:t>
      </w:r>
      <w:r w:rsidR="006C2FF2">
        <w:rPr>
          <w:rFonts w:asciiTheme="minorHAnsi" w:hAnsiTheme="minorHAnsi" w:cstheme="minorHAnsi"/>
          <w:sz w:val="22"/>
          <w:szCs w:val="22"/>
        </w:rPr>
        <w:t xml:space="preserve"> Mais pas forcément dans le même ordre :</w:t>
      </w:r>
    </w:p>
    <w:p w:rsidR="006C2FF2" w:rsidRDefault="006C2FF2" w:rsidP="00074C50">
      <w:pPr>
        <w:jc w:val="both"/>
        <w:rPr>
          <w:rFonts w:asciiTheme="minorHAnsi" w:hAnsiTheme="minorHAnsi" w:cstheme="minorHAnsi"/>
          <w:sz w:val="22"/>
          <w:szCs w:val="22"/>
        </w:rPr>
      </w:pPr>
      <w:r>
        <w:rPr>
          <w:rFonts w:asciiTheme="minorHAnsi" w:hAnsiTheme="minorHAnsi" w:cstheme="minorHAnsi"/>
          <w:sz w:val="22"/>
          <w:szCs w:val="22"/>
        </w:rPr>
        <w:t>Le secteur de l’hydraulique occupe la première place avec 64 projets pour un montant global engagé de 70 008 895 MRO (34,15% des engagements).</w:t>
      </w:r>
    </w:p>
    <w:p w:rsidR="006C2FF2" w:rsidRDefault="006C2FF2" w:rsidP="00074C50">
      <w:pPr>
        <w:jc w:val="both"/>
        <w:rPr>
          <w:rFonts w:asciiTheme="minorHAnsi" w:hAnsiTheme="minorHAnsi" w:cstheme="minorHAnsi"/>
          <w:sz w:val="22"/>
          <w:szCs w:val="22"/>
        </w:rPr>
      </w:pPr>
      <w:r>
        <w:rPr>
          <w:rFonts w:asciiTheme="minorHAnsi" w:hAnsiTheme="minorHAnsi" w:cstheme="minorHAnsi"/>
          <w:sz w:val="22"/>
          <w:szCs w:val="22"/>
        </w:rPr>
        <w:t>Ensuite vient le secteur de l’éducation avec 33 projets se chiffrant à 29 813 877 MRO (14,54% des engagements).</w:t>
      </w:r>
    </w:p>
    <w:p w:rsidR="006C2FF2" w:rsidRPr="006C2FF2" w:rsidRDefault="006C2FF2" w:rsidP="00074C50">
      <w:pPr>
        <w:jc w:val="both"/>
        <w:rPr>
          <w:rFonts w:asciiTheme="minorHAnsi" w:hAnsiTheme="minorHAnsi" w:cstheme="minorHAnsi"/>
          <w:sz w:val="22"/>
          <w:szCs w:val="22"/>
        </w:rPr>
      </w:pPr>
      <w:r>
        <w:rPr>
          <w:rFonts w:asciiTheme="minorHAnsi" w:hAnsiTheme="minorHAnsi" w:cstheme="minorHAnsi"/>
          <w:sz w:val="22"/>
          <w:szCs w:val="22"/>
        </w:rPr>
        <w:t>En troisième position,</w:t>
      </w:r>
      <w:r w:rsidR="005E7231">
        <w:rPr>
          <w:rFonts w:asciiTheme="minorHAnsi" w:hAnsiTheme="minorHAnsi" w:cstheme="minorHAnsi"/>
          <w:sz w:val="22"/>
          <w:szCs w:val="22"/>
        </w:rPr>
        <w:t xml:space="preserve"> les bâtiments communaux avec 18 projets (21 831 820 MRO, soit 10,65% des engagements).</w:t>
      </w:r>
    </w:p>
    <w:p w:rsidR="00074C50" w:rsidRDefault="00074C50" w:rsidP="00074C50">
      <w:pPr>
        <w:jc w:val="both"/>
        <w:rPr>
          <w:rFonts w:asciiTheme="minorHAnsi" w:hAnsiTheme="minorHAnsi" w:cstheme="minorHAnsi"/>
        </w:rPr>
      </w:pPr>
    </w:p>
    <w:p w:rsidR="00074C50" w:rsidRDefault="00074C50" w:rsidP="00074C50">
      <w:pPr>
        <w:jc w:val="both"/>
        <w:rPr>
          <w:rFonts w:asciiTheme="minorHAnsi" w:hAnsiTheme="minorHAnsi" w:cstheme="minorHAnsi"/>
        </w:rPr>
      </w:pPr>
      <w:r w:rsidRPr="003E0F11">
        <w:rPr>
          <w:noProof/>
        </w:rPr>
        <w:drawing>
          <wp:inline distT="0" distB="0" distL="0" distR="0">
            <wp:extent cx="6372225" cy="3810000"/>
            <wp:effectExtent l="19050" t="0" r="9525" b="0"/>
            <wp:docPr id="245"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0" cstate="print"/>
                    <a:stretch>
                      <a:fillRect/>
                    </a:stretch>
                  </pic:blipFill>
                  <pic:spPr>
                    <a:xfrm>
                      <a:off x="0" y="0"/>
                      <a:ext cx="6371429" cy="3809524"/>
                    </a:xfrm>
                    <a:prstGeom prst="rect">
                      <a:avLst/>
                    </a:prstGeom>
                  </pic:spPr>
                </pic:pic>
              </a:graphicData>
            </a:graphic>
          </wp:inline>
        </w:drawing>
      </w:r>
    </w:p>
    <w:p w:rsidR="00074C50" w:rsidRDefault="00074C50" w:rsidP="00074C50">
      <w:pPr>
        <w:jc w:val="both"/>
        <w:rPr>
          <w:rFonts w:asciiTheme="minorHAnsi" w:hAnsiTheme="minorHAnsi" w:cstheme="minorHAnsi"/>
        </w:rPr>
      </w:pPr>
    </w:p>
    <w:p w:rsidR="005E7231" w:rsidRDefault="005E7231" w:rsidP="005E7231">
      <w:pPr>
        <w:jc w:val="both"/>
        <w:rPr>
          <w:rFonts w:asciiTheme="minorHAnsi" w:hAnsiTheme="minorHAnsi" w:cstheme="minorHAnsi"/>
          <w:b/>
          <w:sz w:val="22"/>
          <w:szCs w:val="22"/>
        </w:rPr>
      </w:pPr>
    </w:p>
    <w:p w:rsidR="00074C50" w:rsidRPr="005E7231" w:rsidRDefault="00074C50" w:rsidP="005E7231">
      <w:pPr>
        <w:jc w:val="both"/>
        <w:rPr>
          <w:rFonts w:asciiTheme="minorHAnsi" w:hAnsiTheme="minorHAnsi" w:cstheme="minorHAnsi"/>
          <w:b/>
          <w:sz w:val="22"/>
          <w:szCs w:val="22"/>
          <w:u w:val="single"/>
        </w:rPr>
      </w:pPr>
      <w:r w:rsidRPr="005E7231">
        <w:rPr>
          <w:rFonts w:asciiTheme="minorHAnsi" w:hAnsiTheme="minorHAnsi" w:cstheme="minorHAnsi"/>
          <w:b/>
          <w:sz w:val="22"/>
          <w:szCs w:val="22"/>
          <w:u w:val="single"/>
        </w:rPr>
        <w:t xml:space="preserve">Analyse des données par </w:t>
      </w:r>
      <w:proofErr w:type="spellStart"/>
      <w:r w:rsidR="001246CD">
        <w:rPr>
          <w:rFonts w:asciiTheme="minorHAnsi" w:hAnsiTheme="minorHAnsi" w:cstheme="minorHAnsi"/>
          <w:b/>
          <w:sz w:val="22"/>
          <w:szCs w:val="22"/>
          <w:u w:val="single"/>
        </w:rPr>
        <w:t>Moughataa</w:t>
      </w:r>
      <w:proofErr w:type="spellEnd"/>
    </w:p>
    <w:p w:rsidR="00074C50" w:rsidRPr="00F030BE" w:rsidRDefault="00074C50" w:rsidP="00074C50">
      <w:pPr>
        <w:pStyle w:val="Paragraphedeliste"/>
        <w:jc w:val="both"/>
        <w:rPr>
          <w:rFonts w:asciiTheme="minorHAnsi" w:hAnsiTheme="minorHAnsi" w:cstheme="minorHAnsi"/>
          <w:b/>
          <w:sz w:val="22"/>
          <w:szCs w:val="22"/>
        </w:rPr>
      </w:pPr>
    </w:p>
    <w:p w:rsidR="00074C50" w:rsidRPr="00F030BE" w:rsidRDefault="001246CD" w:rsidP="00074C50">
      <w:pPr>
        <w:jc w:val="center"/>
        <w:rPr>
          <w:rFonts w:asciiTheme="minorHAnsi" w:hAnsiTheme="minorHAnsi" w:cstheme="minorHAnsi"/>
          <w:sz w:val="22"/>
          <w:szCs w:val="22"/>
          <w:u w:val="single"/>
        </w:rPr>
      </w:pPr>
      <w:proofErr w:type="spellStart"/>
      <w:r>
        <w:rPr>
          <w:rFonts w:asciiTheme="minorHAnsi" w:hAnsiTheme="minorHAnsi" w:cstheme="minorHAnsi"/>
          <w:b/>
          <w:sz w:val="22"/>
          <w:szCs w:val="22"/>
          <w:u w:val="single"/>
        </w:rPr>
        <w:t>Moughataa</w:t>
      </w:r>
      <w:proofErr w:type="spellEnd"/>
      <w:r w:rsidR="00074C50" w:rsidRPr="00F030BE">
        <w:rPr>
          <w:rFonts w:asciiTheme="minorHAnsi" w:hAnsiTheme="minorHAnsi" w:cstheme="minorHAnsi"/>
          <w:b/>
          <w:sz w:val="22"/>
          <w:szCs w:val="22"/>
          <w:u w:val="single"/>
        </w:rPr>
        <w:t xml:space="preserve"> de Rosso</w:t>
      </w:r>
    </w:p>
    <w:p w:rsidR="00074C50" w:rsidRPr="00F030BE" w:rsidRDefault="00074C50" w:rsidP="00074C50">
      <w:pPr>
        <w:jc w:val="both"/>
        <w:rPr>
          <w:rFonts w:asciiTheme="minorHAnsi" w:hAnsiTheme="minorHAnsi" w:cstheme="minorHAnsi"/>
          <w:sz w:val="22"/>
          <w:szCs w:val="22"/>
        </w:rPr>
      </w:pPr>
    </w:p>
    <w:p w:rsidR="00074C50" w:rsidRDefault="00074C50" w:rsidP="00074C50">
      <w:pPr>
        <w:jc w:val="both"/>
        <w:rPr>
          <w:rFonts w:asciiTheme="minorHAnsi" w:hAnsiTheme="minorHAnsi" w:cstheme="minorHAnsi"/>
          <w:sz w:val="22"/>
          <w:szCs w:val="22"/>
        </w:rPr>
      </w:pPr>
      <w:r w:rsidRPr="00F030BE">
        <w:rPr>
          <w:rFonts w:asciiTheme="minorHAnsi" w:hAnsiTheme="minorHAnsi" w:cstheme="minorHAnsi"/>
          <w:sz w:val="22"/>
          <w:szCs w:val="22"/>
        </w:rPr>
        <w:t xml:space="preserve">Les communes de la </w:t>
      </w:r>
      <w:proofErr w:type="spellStart"/>
      <w:r w:rsidR="001246CD">
        <w:rPr>
          <w:rFonts w:asciiTheme="minorHAnsi" w:hAnsiTheme="minorHAnsi" w:cstheme="minorHAnsi"/>
          <w:sz w:val="22"/>
          <w:szCs w:val="22"/>
        </w:rPr>
        <w:t>Moughataa</w:t>
      </w:r>
      <w:proofErr w:type="spellEnd"/>
      <w:r w:rsidR="005E7231">
        <w:rPr>
          <w:rFonts w:asciiTheme="minorHAnsi" w:hAnsiTheme="minorHAnsi" w:cstheme="minorHAnsi"/>
          <w:sz w:val="22"/>
          <w:szCs w:val="22"/>
        </w:rPr>
        <w:t xml:space="preserve"> de Rosso ont bénéficié d’un FRD 2012</w:t>
      </w:r>
      <w:r w:rsidRPr="00F030BE">
        <w:rPr>
          <w:rFonts w:asciiTheme="minorHAnsi" w:hAnsiTheme="minorHAnsi" w:cstheme="minorHAnsi"/>
          <w:sz w:val="22"/>
          <w:szCs w:val="22"/>
        </w:rPr>
        <w:t xml:space="preserve"> </w:t>
      </w:r>
      <w:r w:rsidR="005E7231">
        <w:rPr>
          <w:rFonts w:asciiTheme="minorHAnsi" w:hAnsiTheme="minorHAnsi" w:cstheme="minorHAnsi"/>
          <w:sz w:val="22"/>
          <w:szCs w:val="22"/>
        </w:rPr>
        <w:t>pour l’équipement de 46 252 130 MRO (+19,01 % par rapport à 2011). Elles ont engagé 44 171 070</w:t>
      </w:r>
      <w:r w:rsidRPr="00F030BE">
        <w:rPr>
          <w:rFonts w:asciiTheme="minorHAnsi" w:hAnsiTheme="minorHAnsi" w:cstheme="minorHAnsi"/>
          <w:sz w:val="22"/>
          <w:szCs w:val="22"/>
        </w:rPr>
        <w:t xml:space="preserve"> MRO pour la réalisation de </w:t>
      </w:r>
      <w:r w:rsidR="005E7231">
        <w:rPr>
          <w:rFonts w:asciiTheme="minorHAnsi" w:hAnsiTheme="minorHAnsi" w:cstheme="minorHAnsi"/>
          <w:b/>
          <w:sz w:val="22"/>
          <w:szCs w:val="22"/>
        </w:rPr>
        <w:t>15</w:t>
      </w:r>
      <w:r w:rsidRPr="00473AF2">
        <w:rPr>
          <w:rFonts w:asciiTheme="minorHAnsi" w:hAnsiTheme="minorHAnsi" w:cstheme="minorHAnsi"/>
          <w:b/>
          <w:sz w:val="22"/>
          <w:szCs w:val="22"/>
        </w:rPr>
        <w:t xml:space="preserve"> projets</w:t>
      </w:r>
      <w:r w:rsidRPr="00F030BE">
        <w:rPr>
          <w:rFonts w:asciiTheme="minorHAnsi" w:hAnsiTheme="minorHAnsi" w:cstheme="minorHAnsi"/>
          <w:sz w:val="22"/>
          <w:szCs w:val="22"/>
        </w:rPr>
        <w:t xml:space="preserve">, soit un </w:t>
      </w:r>
      <w:r w:rsidR="005E7231">
        <w:rPr>
          <w:rFonts w:asciiTheme="minorHAnsi" w:hAnsiTheme="minorHAnsi" w:cstheme="minorHAnsi"/>
          <w:b/>
          <w:sz w:val="22"/>
          <w:szCs w:val="22"/>
        </w:rPr>
        <w:t>taux d’absorption de 95,50</w:t>
      </w:r>
      <w:r w:rsidRPr="00473AF2">
        <w:rPr>
          <w:rFonts w:asciiTheme="minorHAnsi" w:hAnsiTheme="minorHAnsi" w:cstheme="minorHAnsi"/>
          <w:b/>
          <w:sz w:val="22"/>
          <w:szCs w:val="22"/>
        </w:rPr>
        <w:t xml:space="preserve"> %.</w:t>
      </w:r>
      <w:r w:rsidR="005E7231">
        <w:rPr>
          <w:rFonts w:asciiTheme="minorHAnsi" w:hAnsiTheme="minorHAnsi" w:cstheme="minorHAnsi"/>
          <w:b/>
          <w:sz w:val="22"/>
          <w:szCs w:val="22"/>
        </w:rPr>
        <w:t xml:space="preserve"> </w:t>
      </w:r>
      <w:r w:rsidR="005E7231">
        <w:rPr>
          <w:rFonts w:asciiTheme="minorHAnsi" w:hAnsiTheme="minorHAnsi" w:cstheme="minorHAnsi"/>
          <w:sz w:val="22"/>
          <w:szCs w:val="22"/>
        </w:rPr>
        <w:t>Ce taux d’absorption est satisfaisant et supérieur à la moyenne nationale</w:t>
      </w:r>
      <w:r w:rsidRPr="00F030BE">
        <w:rPr>
          <w:rFonts w:asciiTheme="minorHAnsi" w:hAnsiTheme="minorHAnsi" w:cstheme="minorHAnsi"/>
          <w:sz w:val="22"/>
          <w:szCs w:val="22"/>
        </w:rPr>
        <w:t xml:space="preserve">. </w:t>
      </w:r>
    </w:p>
    <w:p w:rsidR="005E7231" w:rsidRPr="00F030BE" w:rsidRDefault="005E7231" w:rsidP="00074C50">
      <w:pPr>
        <w:jc w:val="both"/>
        <w:rPr>
          <w:rFonts w:asciiTheme="minorHAnsi" w:hAnsiTheme="minorHAnsi" w:cstheme="minorHAnsi"/>
          <w:sz w:val="22"/>
          <w:szCs w:val="22"/>
        </w:rPr>
      </w:pPr>
    </w:p>
    <w:p w:rsidR="00074C50" w:rsidRDefault="00074C50" w:rsidP="00074C50">
      <w:pPr>
        <w:jc w:val="both"/>
        <w:rPr>
          <w:rFonts w:asciiTheme="minorHAnsi" w:hAnsiTheme="minorHAnsi" w:cstheme="minorHAnsi"/>
          <w:b/>
          <w:sz w:val="22"/>
          <w:szCs w:val="22"/>
        </w:rPr>
      </w:pPr>
      <w:r w:rsidRPr="005D36A1">
        <w:rPr>
          <w:noProof/>
        </w:rPr>
        <w:drawing>
          <wp:inline distT="0" distB="0" distL="0" distR="0">
            <wp:extent cx="3324225" cy="4105275"/>
            <wp:effectExtent l="19050" t="0" r="9525" b="0"/>
            <wp:docPr id="246"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1" cstate="print"/>
                    <a:stretch>
                      <a:fillRect/>
                    </a:stretch>
                  </pic:blipFill>
                  <pic:spPr>
                    <a:xfrm>
                      <a:off x="0" y="0"/>
                      <a:ext cx="3324225" cy="4105275"/>
                    </a:xfrm>
                    <a:prstGeom prst="rect">
                      <a:avLst/>
                    </a:prstGeom>
                  </pic:spPr>
                </pic:pic>
              </a:graphicData>
            </a:graphic>
          </wp:inline>
        </w:drawing>
      </w:r>
      <w:r w:rsidRPr="00160713">
        <w:rPr>
          <w:rFonts w:asciiTheme="minorHAnsi" w:hAnsiTheme="minorHAnsi" w:cstheme="minorHAnsi"/>
          <w:b/>
          <w:noProof/>
          <w:sz w:val="22"/>
          <w:szCs w:val="22"/>
        </w:rPr>
        <w:drawing>
          <wp:inline distT="0" distB="0" distL="0" distR="0">
            <wp:extent cx="3248025" cy="4105274"/>
            <wp:effectExtent l="19050" t="0" r="9525" b="0"/>
            <wp:docPr id="247"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2" cstate="print"/>
                    <a:stretch>
                      <a:fillRect/>
                    </a:stretch>
                  </pic:blipFill>
                  <pic:spPr>
                    <a:xfrm>
                      <a:off x="0" y="0"/>
                      <a:ext cx="3248025" cy="4105274"/>
                    </a:xfrm>
                    <a:prstGeom prst="rect">
                      <a:avLst/>
                    </a:prstGeom>
                  </pic:spPr>
                </pic:pic>
              </a:graphicData>
            </a:graphic>
          </wp:inline>
        </w:drawing>
      </w:r>
    </w:p>
    <w:p w:rsidR="009643CE" w:rsidRDefault="009643CE" w:rsidP="00074C50">
      <w:pPr>
        <w:jc w:val="both"/>
        <w:rPr>
          <w:rFonts w:asciiTheme="minorHAnsi" w:hAnsiTheme="minorHAnsi" w:cstheme="minorHAnsi"/>
          <w:b/>
          <w:sz w:val="22"/>
          <w:szCs w:val="22"/>
        </w:rPr>
      </w:pPr>
      <w:r w:rsidRPr="009643CE">
        <w:rPr>
          <w:noProof/>
          <w:szCs w:val="22"/>
        </w:rPr>
        <w:drawing>
          <wp:inline distT="0" distB="0" distL="0" distR="0">
            <wp:extent cx="6614086" cy="1876425"/>
            <wp:effectExtent l="19050" t="0" r="0" b="0"/>
            <wp:docPr id="157" name="Imag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73" cstate="print"/>
                    <a:srcRect/>
                    <a:stretch>
                      <a:fillRect/>
                    </a:stretch>
                  </pic:blipFill>
                  <pic:spPr bwMode="auto">
                    <a:xfrm>
                      <a:off x="0" y="0"/>
                      <a:ext cx="6645910" cy="1885454"/>
                    </a:xfrm>
                    <a:prstGeom prst="rect">
                      <a:avLst/>
                    </a:prstGeom>
                    <a:noFill/>
                    <a:ln w="9525">
                      <a:noFill/>
                      <a:miter lim="800000"/>
                      <a:headEnd/>
                      <a:tailEnd/>
                    </a:ln>
                  </pic:spPr>
                </pic:pic>
              </a:graphicData>
            </a:graphic>
          </wp:inline>
        </w:drawing>
      </w:r>
    </w:p>
    <w:p w:rsidR="009643CE" w:rsidRDefault="009643CE" w:rsidP="009643CE">
      <w:pPr>
        <w:jc w:val="both"/>
        <w:rPr>
          <w:rFonts w:asciiTheme="minorHAnsi" w:hAnsiTheme="minorHAnsi" w:cstheme="minorHAnsi"/>
          <w:b/>
          <w:sz w:val="22"/>
          <w:szCs w:val="22"/>
        </w:rPr>
      </w:pPr>
    </w:p>
    <w:p w:rsidR="009643CE" w:rsidRDefault="009643CE" w:rsidP="009643CE">
      <w:pPr>
        <w:jc w:val="both"/>
        <w:rPr>
          <w:rFonts w:asciiTheme="minorHAnsi" w:hAnsiTheme="minorHAnsi" w:cstheme="minorHAnsi"/>
          <w:sz w:val="22"/>
          <w:szCs w:val="22"/>
        </w:rPr>
      </w:pPr>
      <w:r w:rsidRPr="00F030BE">
        <w:rPr>
          <w:rFonts w:asciiTheme="minorHAnsi" w:hAnsiTheme="minorHAnsi" w:cstheme="minorHAnsi"/>
          <w:b/>
          <w:sz w:val="22"/>
          <w:szCs w:val="22"/>
        </w:rPr>
        <w:t>Le montant moye</w:t>
      </w:r>
      <w:r>
        <w:rPr>
          <w:rFonts w:asciiTheme="minorHAnsi" w:hAnsiTheme="minorHAnsi" w:cstheme="minorHAnsi"/>
          <w:b/>
          <w:sz w:val="22"/>
          <w:szCs w:val="22"/>
        </w:rPr>
        <w:t xml:space="preserve">n de l’investissement est </w:t>
      </w:r>
      <w:r w:rsidRPr="00F030BE">
        <w:rPr>
          <w:rFonts w:asciiTheme="minorHAnsi" w:hAnsiTheme="minorHAnsi" w:cstheme="minorHAnsi"/>
          <w:b/>
          <w:sz w:val="22"/>
          <w:szCs w:val="22"/>
        </w:rPr>
        <w:t>élevé</w:t>
      </w:r>
      <w:r w:rsidR="009F75C6">
        <w:rPr>
          <w:rFonts w:asciiTheme="minorHAnsi" w:hAnsiTheme="minorHAnsi" w:cstheme="minorHAnsi"/>
          <w:sz w:val="22"/>
          <w:szCs w:val="22"/>
        </w:rPr>
        <w:t xml:space="preserve"> au regard de </w:t>
      </w:r>
      <w:r w:rsidRPr="00F030BE">
        <w:rPr>
          <w:rFonts w:asciiTheme="minorHAnsi" w:hAnsiTheme="minorHAnsi" w:cstheme="minorHAnsi"/>
          <w:sz w:val="22"/>
          <w:szCs w:val="22"/>
        </w:rPr>
        <w:t xml:space="preserve">celui correspondant au niveau national. </w:t>
      </w:r>
      <w:r>
        <w:rPr>
          <w:rFonts w:asciiTheme="minorHAnsi" w:hAnsiTheme="minorHAnsi" w:cstheme="minorHAnsi"/>
          <w:sz w:val="22"/>
          <w:szCs w:val="22"/>
        </w:rPr>
        <w:t xml:space="preserve">La réduction du nombre de projets, passant de 20 à 15 a permis de faire augmenter le montant par projet à un niveau intéressant : de 1 688 734 MRO en 2011 à 2 944 738 MRO en 2012. </w:t>
      </w:r>
    </w:p>
    <w:p w:rsidR="009643CE" w:rsidRDefault="009643CE" w:rsidP="009643CE">
      <w:pPr>
        <w:jc w:val="both"/>
        <w:rPr>
          <w:rFonts w:asciiTheme="minorHAnsi" w:hAnsiTheme="minorHAnsi" w:cstheme="minorHAnsi"/>
          <w:sz w:val="22"/>
          <w:szCs w:val="22"/>
        </w:rPr>
      </w:pPr>
      <w:r>
        <w:rPr>
          <w:rFonts w:asciiTheme="minorHAnsi" w:hAnsiTheme="minorHAnsi" w:cstheme="minorHAnsi"/>
          <w:sz w:val="22"/>
          <w:szCs w:val="22"/>
        </w:rPr>
        <w:t>En termes de priorités d’investissement :</w:t>
      </w:r>
    </w:p>
    <w:p w:rsidR="009643CE" w:rsidRDefault="009643CE" w:rsidP="002F04D1">
      <w:pPr>
        <w:pStyle w:val="Paragraphedeliste"/>
        <w:numPr>
          <w:ilvl w:val="0"/>
          <w:numId w:val="11"/>
        </w:numPr>
        <w:jc w:val="both"/>
        <w:rPr>
          <w:rFonts w:asciiTheme="minorHAnsi" w:hAnsiTheme="minorHAnsi" w:cstheme="minorHAnsi"/>
          <w:sz w:val="22"/>
          <w:szCs w:val="22"/>
        </w:rPr>
      </w:pPr>
      <w:r>
        <w:rPr>
          <w:rFonts w:asciiTheme="minorHAnsi" w:hAnsiTheme="minorHAnsi" w:cstheme="minorHAnsi"/>
          <w:sz w:val="22"/>
          <w:szCs w:val="22"/>
        </w:rPr>
        <w:t xml:space="preserve">En premier lieu, 27,05% pour </w:t>
      </w:r>
      <w:r w:rsidR="00663DEA">
        <w:rPr>
          <w:rFonts w:asciiTheme="minorHAnsi" w:hAnsiTheme="minorHAnsi" w:cstheme="minorHAnsi"/>
          <w:sz w:val="22"/>
          <w:szCs w:val="22"/>
        </w:rPr>
        <w:t>le secteur de l’hydraulique à hauteur de</w:t>
      </w:r>
      <w:r>
        <w:rPr>
          <w:rFonts w:asciiTheme="minorHAnsi" w:hAnsiTheme="minorHAnsi" w:cstheme="minorHAnsi"/>
          <w:sz w:val="22"/>
          <w:szCs w:val="22"/>
        </w:rPr>
        <w:t xml:space="preserve"> 11 950 000 M</w:t>
      </w:r>
      <w:r w:rsidRPr="00CF2177">
        <w:rPr>
          <w:rFonts w:asciiTheme="minorHAnsi" w:hAnsiTheme="minorHAnsi" w:cstheme="minorHAnsi"/>
          <w:sz w:val="22"/>
          <w:szCs w:val="22"/>
        </w:rPr>
        <w:t>RO engagés</w:t>
      </w:r>
      <w:r w:rsidR="00663DEA">
        <w:rPr>
          <w:rFonts w:asciiTheme="minorHAnsi" w:hAnsiTheme="minorHAnsi" w:cstheme="minorHAnsi"/>
          <w:sz w:val="22"/>
          <w:szCs w:val="22"/>
        </w:rPr>
        <w:t>,</w:t>
      </w:r>
      <w:r w:rsidRPr="00CF2177">
        <w:rPr>
          <w:rFonts w:asciiTheme="minorHAnsi" w:hAnsiTheme="minorHAnsi" w:cstheme="minorHAnsi"/>
          <w:sz w:val="22"/>
          <w:szCs w:val="22"/>
        </w:rPr>
        <w:t xml:space="preserve"> correspondant à 2 projets conséquents.</w:t>
      </w:r>
    </w:p>
    <w:p w:rsidR="009643CE" w:rsidRDefault="009643CE" w:rsidP="002F04D1">
      <w:pPr>
        <w:pStyle w:val="Paragraphedeliste"/>
        <w:numPr>
          <w:ilvl w:val="0"/>
          <w:numId w:val="11"/>
        </w:numPr>
        <w:jc w:val="both"/>
        <w:rPr>
          <w:rFonts w:asciiTheme="minorHAnsi" w:hAnsiTheme="minorHAnsi" w:cstheme="minorHAnsi"/>
          <w:sz w:val="22"/>
          <w:szCs w:val="22"/>
        </w:rPr>
      </w:pPr>
      <w:r>
        <w:rPr>
          <w:rFonts w:asciiTheme="minorHAnsi" w:hAnsiTheme="minorHAnsi" w:cstheme="minorHAnsi"/>
          <w:sz w:val="22"/>
          <w:szCs w:val="22"/>
        </w:rPr>
        <w:t>L’éducation occupe la deuxième place avec 16,38% des engagements. 3 projets pour 7 233 420 MRO.</w:t>
      </w:r>
    </w:p>
    <w:p w:rsidR="009643CE" w:rsidRPr="00CF2177" w:rsidRDefault="009643CE" w:rsidP="002F04D1">
      <w:pPr>
        <w:pStyle w:val="Paragraphedeliste"/>
        <w:numPr>
          <w:ilvl w:val="0"/>
          <w:numId w:val="11"/>
        </w:numPr>
        <w:jc w:val="both"/>
        <w:rPr>
          <w:rFonts w:asciiTheme="minorHAnsi" w:hAnsiTheme="minorHAnsi" w:cstheme="minorHAnsi"/>
          <w:sz w:val="22"/>
          <w:szCs w:val="22"/>
        </w:rPr>
      </w:pPr>
      <w:r>
        <w:rPr>
          <w:rFonts w:asciiTheme="minorHAnsi" w:hAnsiTheme="minorHAnsi" w:cstheme="minorHAnsi"/>
          <w:sz w:val="22"/>
          <w:szCs w:val="22"/>
        </w:rPr>
        <w:t>En troisième position, la santé avec 1 projet de 6 250 000 MRO (14,15% des engagements).</w:t>
      </w:r>
    </w:p>
    <w:p w:rsidR="009643CE" w:rsidRPr="00F030BE" w:rsidRDefault="009643CE" w:rsidP="009643CE">
      <w:pPr>
        <w:jc w:val="both"/>
        <w:rPr>
          <w:rFonts w:asciiTheme="minorHAnsi" w:hAnsiTheme="minorHAnsi" w:cstheme="minorHAnsi"/>
          <w:sz w:val="22"/>
          <w:szCs w:val="22"/>
        </w:rPr>
      </w:pPr>
    </w:p>
    <w:p w:rsidR="009643CE" w:rsidRPr="00F030BE" w:rsidRDefault="009643CE" w:rsidP="00074C50">
      <w:pPr>
        <w:jc w:val="both"/>
        <w:rPr>
          <w:rFonts w:asciiTheme="minorHAnsi" w:hAnsiTheme="minorHAnsi" w:cstheme="minorHAnsi"/>
          <w:b/>
          <w:sz w:val="22"/>
          <w:szCs w:val="22"/>
        </w:rPr>
      </w:pPr>
    </w:p>
    <w:p w:rsidR="00074C50" w:rsidRDefault="00074C50" w:rsidP="00074C50">
      <w:pPr>
        <w:jc w:val="both"/>
        <w:rPr>
          <w:rFonts w:asciiTheme="minorHAnsi" w:hAnsiTheme="minorHAnsi" w:cstheme="minorHAnsi"/>
          <w:b/>
          <w:sz w:val="22"/>
          <w:szCs w:val="22"/>
        </w:rPr>
      </w:pPr>
      <w:r w:rsidRPr="00160713">
        <w:rPr>
          <w:rFonts w:asciiTheme="minorHAnsi" w:hAnsiTheme="minorHAnsi" w:cstheme="minorHAnsi"/>
          <w:b/>
          <w:noProof/>
          <w:sz w:val="22"/>
          <w:szCs w:val="22"/>
        </w:rPr>
        <w:drawing>
          <wp:inline distT="0" distB="0" distL="0" distR="0">
            <wp:extent cx="6629397" cy="2295525"/>
            <wp:effectExtent l="19050" t="0" r="3" b="0"/>
            <wp:docPr id="248"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4" cstate="print"/>
                    <a:stretch>
                      <a:fillRect/>
                    </a:stretch>
                  </pic:blipFill>
                  <pic:spPr>
                    <a:xfrm>
                      <a:off x="0" y="0"/>
                      <a:ext cx="6628572" cy="2295239"/>
                    </a:xfrm>
                    <a:prstGeom prst="rect">
                      <a:avLst/>
                    </a:prstGeom>
                  </pic:spPr>
                </pic:pic>
              </a:graphicData>
            </a:graphic>
          </wp:inline>
        </w:drawing>
      </w:r>
    </w:p>
    <w:p w:rsidR="00131269" w:rsidRDefault="009F75C6" w:rsidP="009F75C6">
      <w:pPr>
        <w:rPr>
          <w:rFonts w:asciiTheme="minorHAnsi" w:hAnsiTheme="minorHAnsi" w:cstheme="minorHAnsi"/>
          <w:b/>
          <w:sz w:val="22"/>
          <w:szCs w:val="22"/>
          <w:u w:val="single"/>
        </w:rPr>
      </w:pPr>
      <w:r w:rsidRPr="009F75C6">
        <w:rPr>
          <w:noProof/>
        </w:rPr>
        <w:drawing>
          <wp:inline distT="0" distB="0" distL="0" distR="0">
            <wp:extent cx="6581775" cy="1752600"/>
            <wp:effectExtent l="19050" t="0" r="9525" b="0"/>
            <wp:docPr id="158"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5" cstate="print"/>
                    <a:stretch>
                      <a:fillRect/>
                    </a:stretch>
                  </pic:blipFill>
                  <pic:spPr>
                    <a:xfrm>
                      <a:off x="0" y="0"/>
                      <a:ext cx="6581775" cy="1752600"/>
                    </a:xfrm>
                    <a:prstGeom prst="rect">
                      <a:avLst/>
                    </a:prstGeom>
                  </pic:spPr>
                </pic:pic>
              </a:graphicData>
            </a:graphic>
          </wp:inline>
        </w:drawing>
      </w:r>
    </w:p>
    <w:p w:rsidR="00131269" w:rsidRDefault="00131269" w:rsidP="00131269">
      <w:pPr>
        <w:rPr>
          <w:rFonts w:asciiTheme="minorHAnsi" w:hAnsiTheme="minorHAnsi" w:cstheme="minorHAnsi"/>
          <w:b/>
          <w:sz w:val="22"/>
          <w:szCs w:val="22"/>
          <w:u w:val="single"/>
        </w:rPr>
      </w:pPr>
    </w:p>
    <w:p w:rsidR="00074C50" w:rsidRPr="00F030BE" w:rsidRDefault="001246CD" w:rsidP="00074C50">
      <w:pPr>
        <w:jc w:val="center"/>
        <w:rPr>
          <w:rFonts w:asciiTheme="minorHAnsi" w:hAnsiTheme="minorHAnsi" w:cstheme="minorHAnsi"/>
          <w:sz w:val="22"/>
          <w:szCs w:val="22"/>
          <w:u w:val="single"/>
        </w:rPr>
      </w:pPr>
      <w:proofErr w:type="spellStart"/>
      <w:r>
        <w:rPr>
          <w:rFonts w:asciiTheme="minorHAnsi" w:hAnsiTheme="minorHAnsi" w:cstheme="minorHAnsi"/>
          <w:b/>
          <w:sz w:val="22"/>
          <w:szCs w:val="22"/>
          <w:u w:val="single"/>
        </w:rPr>
        <w:t>Moughataa</w:t>
      </w:r>
      <w:proofErr w:type="spellEnd"/>
      <w:r w:rsidR="00074C50" w:rsidRPr="00F030BE">
        <w:rPr>
          <w:rFonts w:asciiTheme="minorHAnsi" w:hAnsiTheme="minorHAnsi" w:cstheme="minorHAnsi"/>
          <w:b/>
          <w:sz w:val="22"/>
          <w:szCs w:val="22"/>
          <w:u w:val="single"/>
        </w:rPr>
        <w:t xml:space="preserve"> de Boutilimit</w:t>
      </w:r>
    </w:p>
    <w:p w:rsidR="00074C50" w:rsidRPr="00F030BE" w:rsidRDefault="00074C50" w:rsidP="00074C50">
      <w:pPr>
        <w:jc w:val="both"/>
        <w:rPr>
          <w:rFonts w:asciiTheme="minorHAnsi" w:hAnsiTheme="minorHAnsi" w:cstheme="minorHAnsi"/>
          <w:sz w:val="22"/>
          <w:szCs w:val="22"/>
        </w:rPr>
      </w:pPr>
    </w:p>
    <w:p w:rsidR="00074C50" w:rsidRPr="00473AF2" w:rsidRDefault="00074C50" w:rsidP="00074C50">
      <w:pPr>
        <w:jc w:val="both"/>
        <w:rPr>
          <w:rFonts w:asciiTheme="minorHAnsi" w:hAnsiTheme="minorHAnsi" w:cstheme="minorHAnsi"/>
          <w:b/>
          <w:sz w:val="22"/>
          <w:szCs w:val="22"/>
        </w:rPr>
      </w:pPr>
      <w:r w:rsidRPr="00F030BE">
        <w:rPr>
          <w:rFonts w:asciiTheme="minorHAnsi" w:hAnsiTheme="minorHAnsi" w:cstheme="minorHAnsi"/>
          <w:sz w:val="22"/>
          <w:szCs w:val="22"/>
        </w:rPr>
        <w:t xml:space="preserve">Les communes de la </w:t>
      </w:r>
      <w:proofErr w:type="spellStart"/>
      <w:r w:rsidR="001246CD">
        <w:rPr>
          <w:rFonts w:asciiTheme="minorHAnsi" w:hAnsiTheme="minorHAnsi" w:cstheme="minorHAnsi"/>
          <w:sz w:val="22"/>
          <w:szCs w:val="22"/>
        </w:rPr>
        <w:t>Moughataa</w:t>
      </w:r>
      <w:proofErr w:type="spellEnd"/>
      <w:r w:rsidRPr="00F030BE">
        <w:rPr>
          <w:rFonts w:asciiTheme="minorHAnsi" w:hAnsiTheme="minorHAnsi" w:cstheme="minorHAnsi"/>
          <w:sz w:val="22"/>
          <w:szCs w:val="22"/>
        </w:rPr>
        <w:t xml:space="preserve"> de Boutilimit ont bénéficié d’un FRD 201</w:t>
      </w:r>
      <w:r w:rsidR="00CF2177">
        <w:rPr>
          <w:rFonts w:asciiTheme="minorHAnsi" w:hAnsiTheme="minorHAnsi" w:cstheme="minorHAnsi"/>
          <w:sz w:val="22"/>
          <w:szCs w:val="22"/>
        </w:rPr>
        <w:t>2 pour l’équipement de 46 715 388 MRO (+14,78 % par rapport à 2011). Elles ont engagé 33 506 715</w:t>
      </w:r>
      <w:r w:rsidRPr="00F030BE">
        <w:rPr>
          <w:rFonts w:asciiTheme="minorHAnsi" w:hAnsiTheme="minorHAnsi" w:cstheme="minorHAnsi"/>
          <w:sz w:val="22"/>
          <w:szCs w:val="22"/>
        </w:rPr>
        <w:t xml:space="preserve"> MRO pour la réalisation de </w:t>
      </w:r>
      <w:r w:rsidR="00266AB6">
        <w:rPr>
          <w:rFonts w:asciiTheme="minorHAnsi" w:hAnsiTheme="minorHAnsi" w:cstheme="minorHAnsi"/>
          <w:b/>
          <w:sz w:val="22"/>
          <w:szCs w:val="22"/>
        </w:rPr>
        <w:t>2</w:t>
      </w:r>
      <w:r w:rsidRPr="00473AF2">
        <w:rPr>
          <w:rFonts w:asciiTheme="minorHAnsi" w:hAnsiTheme="minorHAnsi" w:cstheme="minorHAnsi"/>
          <w:b/>
          <w:sz w:val="22"/>
          <w:szCs w:val="22"/>
        </w:rPr>
        <w:t>3 projets</w:t>
      </w:r>
      <w:r w:rsidRPr="00F030BE">
        <w:rPr>
          <w:rFonts w:asciiTheme="minorHAnsi" w:hAnsiTheme="minorHAnsi" w:cstheme="minorHAnsi"/>
          <w:sz w:val="22"/>
          <w:szCs w:val="22"/>
        </w:rPr>
        <w:t xml:space="preserve">, soit un </w:t>
      </w:r>
      <w:r w:rsidR="00266AB6">
        <w:rPr>
          <w:rFonts w:asciiTheme="minorHAnsi" w:hAnsiTheme="minorHAnsi" w:cstheme="minorHAnsi"/>
          <w:b/>
          <w:sz w:val="22"/>
          <w:szCs w:val="22"/>
        </w:rPr>
        <w:t>taux d’absorption de 71,73</w:t>
      </w:r>
      <w:r w:rsidRPr="00473AF2">
        <w:rPr>
          <w:rFonts w:asciiTheme="minorHAnsi" w:hAnsiTheme="minorHAnsi" w:cstheme="minorHAnsi"/>
          <w:b/>
          <w:sz w:val="22"/>
          <w:szCs w:val="22"/>
        </w:rPr>
        <w:t xml:space="preserve"> %.</w:t>
      </w:r>
    </w:p>
    <w:p w:rsidR="00074C50" w:rsidRPr="00F030BE" w:rsidRDefault="00074C50" w:rsidP="00074C50">
      <w:pPr>
        <w:jc w:val="both"/>
        <w:rPr>
          <w:rFonts w:asciiTheme="minorHAnsi" w:hAnsiTheme="minorHAnsi" w:cstheme="minorHAnsi"/>
          <w:sz w:val="22"/>
          <w:szCs w:val="22"/>
        </w:rPr>
      </w:pPr>
    </w:p>
    <w:p w:rsidR="00074C50" w:rsidRPr="00F030BE" w:rsidRDefault="00266AB6" w:rsidP="00074C50">
      <w:pPr>
        <w:jc w:val="both"/>
        <w:rPr>
          <w:rFonts w:asciiTheme="minorHAnsi" w:hAnsiTheme="minorHAnsi" w:cstheme="minorHAnsi"/>
          <w:sz w:val="22"/>
          <w:szCs w:val="22"/>
        </w:rPr>
      </w:pPr>
      <w:r>
        <w:rPr>
          <w:rFonts w:asciiTheme="minorHAnsi" w:hAnsiTheme="minorHAnsi" w:cstheme="minorHAnsi"/>
          <w:sz w:val="22"/>
          <w:szCs w:val="22"/>
        </w:rPr>
        <w:t>Ce taux d’absorption est peu satisfaisant : i</w:t>
      </w:r>
      <w:r w:rsidR="00074C50" w:rsidRPr="00F030BE">
        <w:rPr>
          <w:rFonts w:asciiTheme="minorHAnsi" w:hAnsiTheme="minorHAnsi" w:cstheme="minorHAnsi"/>
          <w:sz w:val="22"/>
          <w:szCs w:val="22"/>
        </w:rPr>
        <w:t>nférieur aux taux régional et national pour l’exercice étudié</w:t>
      </w:r>
      <w:r>
        <w:rPr>
          <w:rFonts w:asciiTheme="minorHAnsi" w:hAnsiTheme="minorHAnsi" w:cstheme="minorHAnsi"/>
          <w:sz w:val="22"/>
          <w:szCs w:val="22"/>
        </w:rPr>
        <w:t xml:space="preserve"> et en régression par rapport à</w:t>
      </w:r>
      <w:r w:rsidR="00074C50" w:rsidRPr="00F030BE">
        <w:rPr>
          <w:rFonts w:asciiTheme="minorHAnsi" w:hAnsiTheme="minorHAnsi" w:cstheme="minorHAnsi"/>
          <w:sz w:val="22"/>
          <w:szCs w:val="22"/>
        </w:rPr>
        <w:t xml:space="preserve"> ceux des deux exercices précédents</w:t>
      </w:r>
      <w:r w:rsidR="00663DEA">
        <w:rPr>
          <w:rFonts w:asciiTheme="minorHAnsi" w:hAnsiTheme="minorHAnsi" w:cstheme="minorHAnsi"/>
          <w:sz w:val="22"/>
          <w:szCs w:val="22"/>
        </w:rPr>
        <w:t xml:space="preserve">. Une analyse plus fine des taux par commune nous apprend que c’est Boutilimit avec seulement 26,53% de taux d’absorption qui tire vers le bas la moyenne constatée au niveau de la </w:t>
      </w:r>
      <w:proofErr w:type="spellStart"/>
      <w:r w:rsidR="00663DEA">
        <w:rPr>
          <w:rFonts w:asciiTheme="minorHAnsi" w:hAnsiTheme="minorHAnsi" w:cstheme="minorHAnsi"/>
          <w:sz w:val="22"/>
          <w:szCs w:val="22"/>
        </w:rPr>
        <w:t>Moughataa</w:t>
      </w:r>
      <w:proofErr w:type="spellEnd"/>
      <w:r w:rsidR="00663DEA">
        <w:rPr>
          <w:rFonts w:asciiTheme="minorHAnsi" w:hAnsiTheme="minorHAnsi" w:cstheme="minorHAnsi"/>
          <w:sz w:val="22"/>
          <w:szCs w:val="22"/>
        </w:rPr>
        <w:t>. Stratégie d’accumulation des crédits à confirmer donc.</w:t>
      </w:r>
    </w:p>
    <w:p w:rsidR="00131269" w:rsidRDefault="00131269" w:rsidP="00131269">
      <w:pPr>
        <w:jc w:val="both"/>
        <w:rPr>
          <w:rFonts w:asciiTheme="minorHAnsi" w:hAnsiTheme="minorHAnsi" w:cstheme="minorHAnsi"/>
          <w:b/>
          <w:sz w:val="22"/>
          <w:szCs w:val="22"/>
        </w:rPr>
      </w:pPr>
    </w:p>
    <w:p w:rsidR="00074C50" w:rsidRDefault="00074C50" w:rsidP="00074C50">
      <w:pPr>
        <w:jc w:val="both"/>
        <w:rPr>
          <w:rFonts w:asciiTheme="minorHAnsi" w:hAnsiTheme="minorHAnsi" w:cstheme="minorHAnsi"/>
          <w:b/>
          <w:sz w:val="22"/>
          <w:szCs w:val="22"/>
        </w:rPr>
      </w:pPr>
      <w:r w:rsidRPr="005D36A1">
        <w:rPr>
          <w:noProof/>
        </w:rPr>
        <w:drawing>
          <wp:inline distT="0" distB="0" distL="0" distR="0">
            <wp:extent cx="3352800" cy="2867025"/>
            <wp:effectExtent l="19050" t="0" r="0" b="0"/>
            <wp:docPr id="249"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6" cstate="print"/>
                    <a:stretch>
                      <a:fillRect/>
                    </a:stretch>
                  </pic:blipFill>
                  <pic:spPr>
                    <a:xfrm>
                      <a:off x="0" y="0"/>
                      <a:ext cx="3352382" cy="2866668"/>
                    </a:xfrm>
                    <a:prstGeom prst="rect">
                      <a:avLst/>
                    </a:prstGeom>
                  </pic:spPr>
                </pic:pic>
              </a:graphicData>
            </a:graphic>
          </wp:inline>
        </w:drawing>
      </w:r>
      <w:r w:rsidRPr="00160713">
        <w:rPr>
          <w:rFonts w:asciiTheme="minorHAnsi" w:hAnsiTheme="minorHAnsi" w:cstheme="minorHAnsi"/>
          <w:b/>
          <w:noProof/>
          <w:sz w:val="22"/>
          <w:szCs w:val="22"/>
        </w:rPr>
        <w:drawing>
          <wp:inline distT="0" distB="0" distL="0" distR="0">
            <wp:extent cx="3209925" cy="2867025"/>
            <wp:effectExtent l="19050" t="0" r="9525" b="0"/>
            <wp:docPr id="250"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7" cstate="print"/>
                    <a:stretch>
                      <a:fillRect/>
                    </a:stretch>
                  </pic:blipFill>
                  <pic:spPr>
                    <a:xfrm>
                      <a:off x="0" y="0"/>
                      <a:ext cx="3209925" cy="2867025"/>
                    </a:xfrm>
                    <a:prstGeom prst="rect">
                      <a:avLst/>
                    </a:prstGeom>
                  </pic:spPr>
                </pic:pic>
              </a:graphicData>
            </a:graphic>
          </wp:inline>
        </w:drawing>
      </w:r>
    </w:p>
    <w:p w:rsidR="00131269" w:rsidRDefault="00131269" w:rsidP="00074C50">
      <w:pPr>
        <w:jc w:val="both"/>
        <w:rPr>
          <w:rFonts w:asciiTheme="minorHAnsi" w:hAnsiTheme="minorHAnsi" w:cstheme="minorHAnsi"/>
          <w:b/>
          <w:sz w:val="22"/>
          <w:szCs w:val="22"/>
        </w:rPr>
      </w:pPr>
      <w:r w:rsidRPr="00131269">
        <w:rPr>
          <w:noProof/>
          <w:szCs w:val="22"/>
        </w:rPr>
        <w:drawing>
          <wp:inline distT="0" distB="0" distL="0" distR="0">
            <wp:extent cx="6643103" cy="2371725"/>
            <wp:effectExtent l="19050" t="0" r="5347" b="0"/>
            <wp:docPr id="81" name="Imag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78" cstate="print"/>
                    <a:srcRect/>
                    <a:stretch>
                      <a:fillRect/>
                    </a:stretch>
                  </pic:blipFill>
                  <pic:spPr bwMode="auto">
                    <a:xfrm>
                      <a:off x="0" y="0"/>
                      <a:ext cx="6645910" cy="2372727"/>
                    </a:xfrm>
                    <a:prstGeom prst="rect">
                      <a:avLst/>
                    </a:prstGeom>
                    <a:noFill/>
                    <a:ln w="9525">
                      <a:noFill/>
                      <a:miter lim="800000"/>
                      <a:headEnd/>
                      <a:tailEnd/>
                    </a:ln>
                  </pic:spPr>
                </pic:pic>
              </a:graphicData>
            </a:graphic>
          </wp:inline>
        </w:drawing>
      </w:r>
    </w:p>
    <w:p w:rsidR="00131269" w:rsidRDefault="00131269" w:rsidP="00131269">
      <w:pPr>
        <w:jc w:val="both"/>
        <w:rPr>
          <w:rFonts w:asciiTheme="minorHAnsi" w:hAnsiTheme="minorHAnsi" w:cstheme="minorHAnsi"/>
          <w:b/>
          <w:sz w:val="22"/>
          <w:szCs w:val="22"/>
        </w:rPr>
      </w:pPr>
    </w:p>
    <w:p w:rsidR="00131269" w:rsidRDefault="00131269" w:rsidP="00131269">
      <w:pPr>
        <w:jc w:val="both"/>
        <w:rPr>
          <w:rFonts w:asciiTheme="minorHAnsi" w:hAnsiTheme="minorHAnsi" w:cstheme="minorHAnsi"/>
          <w:sz w:val="22"/>
          <w:szCs w:val="22"/>
        </w:rPr>
      </w:pPr>
      <w:r w:rsidRPr="00F030BE">
        <w:rPr>
          <w:rFonts w:asciiTheme="minorHAnsi" w:hAnsiTheme="minorHAnsi" w:cstheme="minorHAnsi"/>
          <w:b/>
          <w:sz w:val="22"/>
          <w:szCs w:val="22"/>
        </w:rPr>
        <w:t>Le montant moyen d</w:t>
      </w:r>
      <w:r>
        <w:rPr>
          <w:rFonts w:asciiTheme="minorHAnsi" w:hAnsiTheme="minorHAnsi" w:cstheme="minorHAnsi"/>
          <w:b/>
          <w:sz w:val="22"/>
          <w:szCs w:val="22"/>
        </w:rPr>
        <w:t>e l’investissement est supérieur</w:t>
      </w:r>
      <w:r w:rsidRPr="00F030BE">
        <w:rPr>
          <w:rFonts w:asciiTheme="minorHAnsi" w:hAnsiTheme="minorHAnsi" w:cstheme="minorHAnsi"/>
          <w:b/>
          <w:sz w:val="22"/>
          <w:szCs w:val="22"/>
        </w:rPr>
        <w:t xml:space="preserve"> </w:t>
      </w:r>
      <w:r>
        <w:rPr>
          <w:rFonts w:asciiTheme="minorHAnsi" w:hAnsiTheme="minorHAnsi" w:cstheme="minorHAnsi"/>
          <w:sz w:val="22"/>
          <w:szCs w:val="22"/>
        </w:rPr>
        <w:t xml:space="preserve">à </w:t>
      </w:r>
      <w:r w:rsidRPr="00F030BE">
        <w:rPr>
          <w:rFonts w:asciiTheme="minorHAnsi" w:hAnsiTheme="minorHAnsi" w:cstheme="minorHAnsi"/>
          <w:sz w:val="22"/>
          <w:szCs w:val="22"/>
        </w:rPr>
        <w:t>celui correspondant au niveau national. Il est néanmoins en progression par rapport à</w:t>
      </w:r>
      <w:r>
        <w:rPr>
          <w:rFonts w:asciiTheme="minorHAnsi" w:hAnsiTheme="minorHAnsi" w:cstheme="minorHAnsi"/>
          <w:sz w:val="22"/>
          <w:szCs w:val="22"/>
        </w:rPr>
        <w:t xml:space="preserve"> l’exercice précédent : 923 731 en 2011 et 1 456 814 en 2012, suite à la réduction du nombre de projets (passant de 33 à 23).</w:t>
      </w:r>
    </w:p>
    <w:p w:rsidR="00131269" w:rsidRDefault="00131269" w:rsidP="00131269">
      <w:pPr>
        <w:jc w:val="both"/>
        <w:rPr>
          <w:rFonts w:asciiTheme="minorHAnsi" w:hAnsiTheme="minorHAnsi" w:cstheme="minorHAnsi"/>
          <w:sz w:val="22"/>
          <w:szCs w:val="22"/>
        </w:rPr>
      </w:pPr>
      <w:r>
        <w:rPr>
          <w:rFonts w:asciiTheme="minorHAnsi" w:hAnsiTheme="minorHAnsi" w:cstheme="minorHAnsi"/>
          <w:sz w:val="22"/>
          <w:szCs w:val="22"/>
        </w:rPr>
        <w:t>Les bâtiments communaux occupent la première place avec 28,05% des engagements, 3 projets se chiffrant à 9 400 000 MRO.</w:t>
      </w:r>
    </w:p>
    <w:p w:rsidR="00131269" w:rsidRDefault="00131269" w:rsidP="00131269">
      <w:pPr>
        <w:jc w:val="both"/>
        <w:rPr>
          <w:rFonts w:asciiTheme="minorHAnsi" w:hAnsiTheme="minorHAnsi" w:cstheme="minorHAnsi"/>
          <w:sz w:val="22"/>
          <w:szCs w:val="22"/>
        </w:rPr>
      </w:pPr>
      <w:r>
        <w:rPr>
          <w:rFonts w:asciiTheme="minorHAnsi" w:hAnsiTheme="minorHAnsi" w:cstheme="minorHAnsi"/>
          <w:sz w:val="22"/>
          <w:szCs w:val="22"/>
        </w:rPr>
        <w:t xml:space="preserve">Ensuite le secteur </w:t>
      </w:r>
      <w:proofErr w:type="spellStart"/>
      <w:r>
        <w:rPr>
          <w:rFonts w:asciiTheme="minorHAnsi" w:hAnsiTheme="minorHAnsi" w:cstheme="minorHAnsi"/>
          <w:sz w:val="22"/>
          <w:szCs w:val="22"/>
        </w:rPr>
        <w:t>socio-culturel</w:t>
      </w:r>
      <w:proofErr w:type="spellEnd"/>
      <w:r>
        <w:rPr>
          <w:rFonts w:asciiTheme="minorHAnsi" w:hAnsiTheme="minorHAnsi" w:cstheme="minorHAnsi"/>
          <w:sz w:val="22"/>
          <w:szCs w:val="22"/>
        </w:rPr>
        <w:t xml:space="preserve"> avec 11 projets pour 9 254 000 MRO (soit 27,62% des engagements).</w:t>
      </w:r>
    </w:p>
    <w:p w:rsidR="00131269" w:rsidRPr="00F030BE" w:rsidRDefault="00131269" w:rsidP="00131269">
      <w:pPr>
        <w:jc w:val="both"/>
        <w:rPr>
          <w:rFonts w:asciiTheme="minorHAnsi" w:hAnsiTheme="minorHAnsi" w:cstheme="minorHAnsi"/>
          <w:sz w:val="22"/>
          <w:szCs w:val="22"/>
        </w:rPr>
      </w:pPr>
      <w:r>
        <w:rPr>
          <w:rFonts w:asciiTheme="minorHAnsi" w:hAnsiTheme="minorHAnsi" w:cstheme="minorHAnsi"/>
          <w:sz w:val="22"/>
          <w:szCs w:val="22"/>
        </w:rPr>
        <w:t>En troisième position, l’hydraulique à hauteur de 25,57% des engagements. 3 projets pour 8 566 537 MRO.</w:t>
      </w:r>
    </w:p>
    <w:p w:rsidR="00131269" w:rsidRPr="00F030BE" w:rsidRDefault="00131269" w:rsidP="00074C50">
      <w:pPr>
        <w:jc w:val="both"/>
        <w:rPr>
          <w:rFonts w:asciiTheme="minorHAnsi" w:hAnsiTheme="minorHAnsi" w:cstheme="minorHAnsi"/>
          <w:b/>
          <w:sz w:val="22"/>
          <w:szCs w:val="22"/>
        </w:rPr>
      </w:pPr>
    </w:p>
    <w:p w:rsidR="00074C50" w:rsidRPr="00F030BE" w:rsidRDefault="00074C50" w:rsidP="00074C50">
      <w:pPr>
        <w:jc w:val="both"/>
        <w:rPr>
          <w:rFonts w:asciiTheme="minorHAnsi" w:hAnsiTheme="minorHAnsi" w:cstheme="minorHAnsi"/>
          <w:b/>
          <w:sz w:val="22"/>
          <w:szCs w:val="22"/>
        </w:rPr>
      </w:pPr>
      <w:r w:rsidRPr="00160713">
        <w:rPr>
          <w:rFonts w:asciiTheme="minorHAnsi" w:hAnsiTheme="minorHAnsi" w:cstheme="minorHAnsi"/>
          <w:b/>
          <w:noProof/>
          <w:sz w:val="22"/>
          <w:szCs w:val="22"/>
        </w:rPr>
        <w:drawing>
          <wp:inline distT="0" distB="0" distL="0" distR="0">
            <wp:extent cx="6638923" cy="2590800"/>
            <wp:effectExtent l="19050" t="0" r="0" b="0"/>
            <wp:docPr id="251"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9" cstate="print"/>
                    <a:stretch>
                      <a:fillRect/>
                    </a:stretch>
                  </pic:blipFill>
                  <pic:spPr>
                    <a:xfrm>
                      <a:off x="0" y="0"/>
                      <a:ext cx="6638096" cy="2590477"/>
                    </a:xfrm>
                    <a:prstGeom prst="rect">
                      <a:avLst/>
                    </a:prstGeom>
                  </pic:spPr>
                </pic:pic>
              </a:graphicData>
            </a:graphic>
          </wp:inline>
        </w:drawing>
      </w:r>
    </w:p>
    <w:p w:rsidR="00074C50" w:rsidRPr="00F030BE" w:rsidRDefault="00663DEA" w:rsidP="00074C50">
      <w:pPr>
        <w:jc w:val="both"/>
        <w:rPr>
          <w:rFonts w:asciiTheme="minorHAnsi" w:hAnsiTheme="minorHAnsi" w:cstheme="minorHAnsi"/>
          <w:b/>
          <w:sz w:val="22"/>
          <w:szCs w:val="22"/>
        </w:rPr>
      </w:pPr>
      <w:r w:rsidRPr="00663DEA">
        <w:rPr>
          <w:noProof/>
        </w:rPr>
        <w:drawing>
          <wp:inline distT="0" distB="0" distL="0" distR="0">
            <wp:extent cx="6638925" cy="2781300"/>
            <wp:effectExtent l="19050" t="0" r="9525" b="0"/>
            <wp:docPr id="268"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0" cstate="print"/>
                    <a:stretch>
                      <a:fillRect/>
                    </a:stretch>
                  </pic:blipFill>
                  <pic:spPr>
                    <a:xfrm>
                      <a:off x="0" y="0"/>
                      <a:ext cx="6638925" cy="2781300"/>
                    </a:xfrm>
                    <a:prstGeom prst="rect">
                      <a:avLst/>
                    </a:prstGeom>
                  </pic:spPr>
                </pic:pic>
              </a:graphicData>
            </a:graphic>
          </wp:inline>
        </w:drawing>
      </w:r>
    </w:p>
    <w:p w:rsidR="00074C50" w:rsidRPr="00F030BE" w:rsidRDefault="001246CD" w:rsidP="00074C50">
      <w:pPr>
        <w:jc w:val="center"/>
        <w:rPr>
          <w:rFonts w:asciiTheme="minorHAnsi" w:hAnsiTheme="minorHAnsi" w:cstheme="minorHAnsi"/>
          <w:sz w:val="22"/>
          <w:szCs w:val="22"/>
          <w:u w:val="single"/>
        </w:rPr>
      </w:pPr>
      <w:proofErr w:type="spellStart"/>
      <w:r>
        <w:rPr>
          <w:rFonts w:asciiTheme="minorHAnsi" w:hAnsiTheme="minorHAnsi" w:cstheme="minorHAnsi"/>
          <w:b/>
          <w:sz w:val="22"/>
          <w:szCs w:val="22"/>
          <w:u w:val="single"/>
        </w:rPr>
        <w:t>Moughataa</w:t>
      </w:r>
      <w:proofErr w:type="spellEnd"/>
      <w:r w:rsidR="005512C5">
        <w:rPr>
          <w:rFonts w:asciiTheme="minorHAnsi" w:hAnsiTheme="minorHAnsi" w:cstheme="minorHAnsi"/>
          <w:b/>
          <w:sz w:val="22"/>
          <w:szCs w:val="22"/>
          <w:u w:val="single"/>
        </w:rPr>
        <w:t xml:space="preserve"> d’</w:t>
      </w:r>
      <w:proofErr w:type="spellStart"/>
      <w:r w:rsidR="00074C50" w:rsidRPr="00F030BE">
        <w:rPr>
          <w:rFonts w:asciiTheme="minorHAnsi" w:hAnsiTheme="minorHAnsi" w:cstheme="minorHAnsi"/>
          <w:b/>
          <w:sz w:val="22"/>
          <w:szCs w:val="22"/>
          <w:u w:val="single"/>
        </w:rPr>
        <w:t>Ouad</w:t>
      </w:r>
      <w:proofErr w:type="spellEnd"/>
      <w:r w:rsidR="00074C50" w:rsidRPr="00F030BE">
        <w:rPr>
          <w:rFonts w:asciiTheme="minorHAnsi" w:hAnsiTheme="minorHAnsi" w:cstheme="minorHAnsi"/>
          <w:b/>
          <w:sz w:val="22"/>
          <w:szCs w:val="22"/>
          <w:u w:val="single"/>
        </w:rPr>
        <w:t xml:space="preserve"> Naga</w:t>
      </w:r>
    </w:p>
    <w:p w:rsidR="00074C50" w:rsidRPr="00F030BE" w:rsidRDefault="00074C50" w:rsidP="00074C50">
      <w:pPr>
        <w:jc w:val="both"/>
        <w:rPr>
          <w:rFonts w:asciiTheme="minorHAnsi" w:hAnsiTheme="minorHAnsi" w:cstheme="minorHAnsi"/>
          <w:sz w:val="22"/>
          <w:szCs w:val="22"/>
        </w:rPr>
      </w:pPr>
    </w:p>
    <w:p w:rsidR="00074C50" w:rsidRPr="00F030BE" w:rsidRDefault="00074C50" w:rsidP="00074C50">
      <w:pPr>
        <w:jc w:val="both"/>
        <w:rPr>
          <w:rFonts w:asciiTheme="minorHAnsi" w:hAnsiTheme="minorHAnsi" w:cstheme="minorHAnsi"/>
          <w:b/>
          <w:sz w:val="22"/>
          <w:szCs w:val="22"/>
        </w:rPr>
      </w:pPr>
      <w:r w:rsidRPr="00F030BE">
        <w:rPr>
          <w:rFonts w:asciiTheme="minorHAnsi" w:hAnsiTheme="minorHAnsi" w:cstheme="minorHAnsi"/>
          <w:sz w:val="22"/>
          <w:szCs w:val="22"/>
        </w:rPr>
        <w:t xml:space="preserve">Les communes de la </w:t>
      </w:r>
      <w:proofErr w:type="spellStart"/>
      <w:r w:rsidR="001246CD">
        <w:rPr>
          <w:rFonts w:asciiTheme="minorHAnsi" w:hAnsiTheme="minorHAnsi" w:cstheme="minorHAnsi"/>
          <w:sz w:val="22"/>
          <w:szCs w:val="22"/>
        </w:rPr>
        <w:t>Moughataa</w:t>
      </w:r>
      <w:proofErr w:type="spellEnd"/>
      <w:r w:rsidR="005512C5">
        <w:rPr>
          <w:rFonts w:asciiTheme="minorHAnsi" w:hAnsiTheme="minorHAnsi" w:cstheme="minorHAnsi"/>
          <w:sz w:val="22"/>
          <w:szCs w:val="22"/>
        </w:rPr>
        <w:t xml:space="preserve"> d’</w:t>
      </w:r>
      <w:proofErr w:type="spellStart"/>
      <w:r w:rsidRPr="00F030BE">
        <w:rPr>
          <w:rFonts w:asciiTheme="minorHAnsi" w:hAnsiTheme="minorHAnsi" w:cstheme="minorHAnsi"/>
          <w:sz w:val="22"/>
          <w:szCs w:val="22"/>
        </w:rPr>
        <w:t>Ouad</w:t>
      </w:r>
      <w:proofErr w:type="spellEnd"/>
      <w:r w:rsidRPr="00F030BE">
        <w:rPr>
          <w:rFonts w:asciiTheme="minorHAnsi" w:hAnsiTheme="minorHAnsi" w:cstheme="minorHAnsi"/>
          <w:sz w:val="22"/>
          <w:szCs w:val="22"/>
        </w:rPr>
        <w:t xml:space="preserve"> </w:t>
      </w:r>
      <w:r w:rsidR="00377E35">
        <w:rPr>
          <w:rFonts w:asciiTheme="minorHAnsi" w:hAnsiTheme="minorHAnsi" w:cstheme="minorHAnsi"/>
          <w:sz w:val="22"/>
          <w:szCs w:val="22"/>
        </w:rPr>
        <w:t>Naga ont bénéficié d’un FRD 2012 pour l’équipement de 22 295 977 MRO (+16,67% par rapport à 2011). Elles ont engagé 20 958 487</w:t>
      </w:r>
      <w:r w:rsidRPr="00F030BE">
        <w:rPr>
          <w:rFonts w:asciiTheme="minorHAnsi" w:hAnsiTheme="minorHAnsi" w:cstheme="minorHAnsi"/>
          <w:sz w:val="22"/>
          <w:szCs w:val="22"/>
        </w:rPr>
        <w:t xml:space="preserve"> MRO pour la réalisation de </w:t>
      </w:r>
      <w:r w:rsidR="00377E35">
        <w:rPr>
          <w:rFonts w:asciiTheme="minorHAnsi" w:hAnsiTheme="minorHAnsi" w:cstheme="minorHAnsi"/>
          <w:b/>
          <w:sz w:val="22"/>
          <w:szCs w:val="22"/>
        </w:rPr>
        <w:t>28</w:t>
      </w:r>
      <w:r w:rsidRPr="00473AF2">
        <w:rPr>
          <w:rFonts w:asciiTheme="minorHAnsi" w:hAnsiTheme="minorHAnsi" w:cstheme="minorHAnsi"/>
          <w:b/>
          <w:sz w:val="22"/>
          <w:szCs w:val="22"/>
        </w:rPr>
        <w:t xml:space="preserve"> projets</w:t>
      </w:r>
      <w:r w:rsidRPr="00F030BE">
        <w:rPr>
          <w:rFonts w:asciiTheme="minorHAnsi" w:hAnsiTheme="minorHAnsi" w:cstheme="minorHAnsi"/>
          <w:sz w:val="22"/>
          <w:szCs w:val="22"/>
        </w:rPr>
        <w:t xml:space="preserve">, soit un </w:t>
      </w:r>
      <w:r w:rsidRPr="00473AF2">
        <w:rPr>
          <w:rFonts w:asciiTheme="minorHAnsi" w:hAnsiTheme="minorHAnsi" w:cstheme="minorHAnsi"/>
          <w:b/>
          <w:sz w:val="22"/>
          <w:szCs w:val="22"/>
        </w:rPr>
        <w:t>taux d’absorptio</w:t>
      </w:r>
      <w:r w:rsidR="00377E35">
        <w:rPr>
          <w:rFonts w:asciiTheme="minorHAnsi" w:hAnsiTheme="minorHAnsi" w:cstheme="minorHAnsi"/>
          <w:b/>
          <w:sz w:val="22"/>
          <w:szCs w:val="22"/>
        </w:rPr>
        <w:t>n de 94,00</w:t>
      </w:r>
      <w:r w:rsidRPr="00473AF2">
        <w:rPr>
          <w:rFonts w:asciiTheme="minorHAnsi" w:hAnsiTheme="minorHAnsi" w:cstheme="minorHAnsi"/>
          <w:b/>
          <w:sz w:val="22"/>
          <w:szCs w:val="22"/>
        </w:rPr>
        <w:t>%.</w:t>
      </w:r>
      <w:r w:rsidR="00377E35">
        <w:rPr>
          <w:rFonts w:asciiTheme="minorHAnsi" w:hAnsiTheme="minorHAnsi" w:cstheme="minorHAnsi"/>
          <w:b/>
          <w:sz w:val="22"/>
          <w:szCs w:val="22"/>
        </w:rPr>
        <w:t xml:space="preserve"> </w:t>
      </w:r>
      <w:r w:rsidRPr="00F030BE">
        <w:rPr>
          <w:rFonts w:asciiTheme="minorHAnsi" w:hAnsiTheme="minorHAnsi" w:cstheme="minorHAnsi"/>
          <w:sz w:val="22"/>
          <w:szCs w:val="22"/>
        </w:rPr>
        <w:t xml:space="preserve">Ce taux d’absorption est </w:t>
      </w:r>
      <w:r w:rsidR="00377E35" w:rsidRPr="00377E35">
        <w:rPr>
          <w:rFonts w:asciiTheme="minorHAnsi" w:hAnsiTheme="minorHAnsi" w:cstheme="minorHAnsi"/>
          <w:sz w:val="22"/>
          <w:szCs w:val="22"/>
        </w:rPr>
        <w:t>dans la norme</w:t>
      </w:r>
      <w:r w:rsidR="00377E35">
        <w:rPr>
          <w:rFonts w:asciiTheme="minorHAnsi" w:hAnsiTheme="minorHAnsi" w:cstheme="minorHAnsi"/>
          <w:sz w:val="22"/>
          <w:szCs w:val="22"/>
        </w:rPr>
        <w:t xml:space="preserve"> en ce qui concerne 2012</w:t>
      </w:r>
      <w:r w:rsidRPr="00F030BE">
        <w:rPr>
          <w:rFonts w:asciiTheme="minorHAnsi" w:hAnsiTheme="minorHAnsi" w:cstheme="minorHAnsi"/>
          <w:sz w:val="22"/>
          <w:szCs w:val="22"/>
        </w:rPr>
        <w:t xml:space="preserve">. </w:t>
      </w:r>
    </w:p>
    <w:p w:rsidR="00074C50" w:rsidRPr="00F030BE" w:rsidRDefault="00074C50" w:rsidP="00074C50">
      <w:pPr>
        <w:jc w:val="both"/>
        <w:rPr>
          <w:rFonts w:asciiTheme="minorHAnsi" w:hAnsiTheme="minorHAnsi" w:cstheme="minorHAnsi"/>
          <w:b/>
          <w:sz w:val="22"/>
          <w:szCs w:val="22"/>
        </w:rPr>
      </w:pPr>
    </w:p>
    <w:p w:rsidR="00074C50" w:rsidRDefault="00074C50" w:rsidP="00074C50">
      <w:pPr>
        <w:jc w:val="both"/>
        <w:rPr>
          <w:rFonts w:asciiTheme="minorHAnsi" w:hAnsiTheme="minorHAnsi" w:cstheme="minorHAnsi"/>
          <w:b/>
          <w:sz w:val="22"/>
          <w:szCs w:val="22"/>
        </w:rPr>
      </w:pPr>
      <w:r w:rsidRPr="00863F95">
        <w:rPr>
          <w:noProof/>
        </w:rPr>
        <w:drawing>
          <wp:inline distT="0" distB="0" distL="0" distR="0">
            <wp:extent cx="3324224" cy="3924300"/>
            <wp:effectExtent l="19050" t="0" r="0" b="0"/>
            <wp:docPr id="253"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1" cstate="print"/>
                    <a:stretch>
                      <a:fillRect/>
                    </a:stretch>
                  </pic:blipFill>
                  <pic:spPr>
                    <a:xfrm>
                      <a:off x="0" y="0"/>
                      <a:ext cx="3323809" cy="3923810"/>
                    </a:xfrm>
                    <a:prstGeom prst="rect">
                      <a:avLst/>
                    </a:prstGeom>
                  </pic:spPr>
                </pic:pic>
              </a:graphicData>
            </a:graphic>
          </wp:inline>
        </w:drawing>
      </w:r>
      <w:r w:rsidRPr="00805D38">
        <w:rPr>
          <w:rFonts w:asciiTheme="minorHAnsi" w:hAnsiTheme="minorHAnsi" w:cstheme="minorHAnsi"/>
          <w:b/>
          <w:noProof/>
          <w:sz w:val="22"/>
          <w:szCs w:val="22"/>
        </w:rPr>
        <w:drawing>
          <wp:inline distT="0" distB="0" distL="0" distR="0">
            <wp:extent cx="3228975" cy="3924300"/>
            <wp:effectExtent l="19050" t="0" r="9525" b="0"/>
            <wp:docPr id="254"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2" cstate="print"/>
                    <a:stretch>
                      <a:fillRect/>
                    </a:stretch>
                  </pic:blipFill>
                  <pic:spPr>
                    <a:xfrm>
                      <a:off x="0" y="0"/>
                      <a:ext cx="3228975" cy="3924300"/>
                    </a:xfrm>
                    <a:prstGeom prst="rect">
                      <a:avLst/>
                    </a:prstGeom>
                  </pic:spPr>
                </pic:pic>
              </a:graphicData>
            </a:graphic>
          </wp:inline>
        </w:drawing>
      </w:r>
    </w:p>
    <w:p w:rsidR="00131269" w:rsidRDefault="007B7D54" w:rsidP="00074C50">
      <w:pPr>
        <w:jc w:val="both"/>
        <w:rPr>
          <w:rFonts w:asciiTheme="minorHAnsi" w:hAnsiTheme="minorHAnsi" w:cstheme="minorHAnsi"/>
          <w:b/>
          <w:sz w:val="22"/>
          <w:szCs w:val="22"/>
        </w:rPr>
      </w:pPr>
      <w:r w:rsidRPr="007B7D54">
        <w:rPr>
          <w:noProof/>
          <w:szCs w:val="22"/>
        </w:rPr>
        <w:drawing>
          <wp:inline distT="0" distB="0" distL="0" distR="0">
            <wp:extent cx="6641561" cy="1800225"/>
            <wp:effectExtent l="19050" t="0" r="6889" b="0"/>
            <wp:docPr id="83" name="Imag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83" cstate="print"/>
                    <a:srcRect/>
                    <a:stretch>
                      <a:fillRect/>
                    </a:stretch>
                  </pic:blipFill>
                  <pic:spPr bwMode="auto">
                    <a:xfrm>
                      <a:off x="0" y="0"/>
                      <a:ext cx="6645910" cy="1801404"/>
                    </a:xfrm>
                    <a:prstGeom prst="rect">
                      <a:avLst/>
                    </a:prstGeom>
                    <a:noFill/>
                    <a:ln w="9525">
                      <a:noFill/>
                      <a:miter lim="800000"/>
                      <a:headEnd/>
                      <a:tailEnd/>
                    </a:ln>
                  </pic:spPr>
                </pic:pic>
              </a:graphicData>
            </a:graphic>
          </wp:inline>
        </w:drawing>
      </w:r>
    </w:p>
    <w:p w:rsidR="007B7D54" w:rsidRDefault="007B7D54" w:rsidP="00131269">
      <w:pPr>
        <w:jc w:val="both"/>
        <w:rPr>
          <w:rFonts w:asciiTheme="minorHAnsi" w:hAnsiTheme="minorHAnsi" w:cstheme="minorHAnsi"/>
          <w:b/>
          <w:sz w:val="22"/>
          <w:szCs w:val="22"/>
        </w:rPr>
      </w:pPr>
    </w:p>
    <w:p w:rsidR="00131269" w:rsidRDefault="00131269" w:rsidP="00131269">
      <w:pPr>
        <w:jc w:val="both"/>
        <w:rPr>
          <w:rFonts w:asciiTheme="minorHAnsi" w:hAnsiTheme="minorHAnsi" w:cstheme="minorHAnsi"/>
          <w:sz w:val="22"/>
          <w:szCs w:val="22"/>
        </w:rPr>
      </w:pPr>
      <w:r>
        <w:rPr>
          <w:rFonts w:asciiTheme="minorHAnsi" w:hAnsiTheme="minorHAnsi" w:cstheme="minorHAnsi"/>
          <w:b/>
          <w:sz w:val="22"/>
          <w:szCs w:val="22"/>
        </w:rPr>
        <w:t>En revanche, l</w:t>
      </w:r>
      <w:r w:rsidRPr="00F030BE">
        <w:rPr>
          <w:rFonts w:asciiTheme="minorHAnsi" w:hAnsiTheme="minorHAnsi" w:cstheme="minorHAnsi"/>
          <w:b/>
          <w:sz w:val="22"/>
          <w:szCs w:val="22"/>
        </w:rPr>
        <w:t xml:space="preserve">e montant moyen de l’investissement est nettement inférieur </w:t>
      </w:r>
      <w:r>
        <w:rPr>
          <w:rFonts w:asciiTheme="minorHAnsi" w:hAnsiTheme="minorHAnsi" w:cstheme="minorHAnsi"/>
          <w:sz w:val="22"/>
          <w:szCs w:val="22"/>
        </w:rPr>
        <w:t>à la norme, qu’elle soit régionale ou nationale. Malgré une légère réduction du nombre de projets (32 en 2011 contre 28 en 2012), la légère amélioration du montant moyen, soit de 577 782 MRO en 2011 à 748 517 MRO en 2012 n’arrive pas à contrebalancer la</w:t>
      </w:r>
      <w:r w:rsidRPr="00F030BE">
        <w:rPr>
          <w:rFonts w:asciiTheme="minorHAnsi" w:hAnsiTheme="minorHAnsi" w:cstheme="minorHAnsi"/>
          <w:sz w:val="22"/>
          <w:szCs w:val="22"/>
        </w:rPr>
        <w:t xml:space="preserve"> forte parcellisation de l’investissement.</w:t>
      </w:r>
    </w:p>
    <w:p w:rsidR="007B7D54" w:rsidRPr="00F030BE" w:rsidRDefault="007B7D54" w:rsidP="00131269">
      <w:pPr>
        <w:jc w:val="both"/>
        <w:rPr>
          <w:rFonts w:asciiTheme="minorHAnsi" w:hAnsiTheme="minorHAnsi" w:cstheme="minorHAnsi"/>
          <w:sz w:val="22"/>
          <w:szCs w:val="22"/>
        </w:rPr>
      </w:pPr>
    </w:p>
    <w:p w:rsidR="00131269" w:rsidRDefault="00131269" w:rsidP="00131269">
      <w:pPr>
        <w:jc w:val="both"/>
        <w:rPr>
          <w:rFonts w:asciiTheme="minorHAnsi" w:hAnsiTheme="minorHAnsi" w:cstheme="minorHAnsi"/>
          <w:sz w:val="22"/>
          <w:szCs w:val="22"/>
        </w:rPr>
      </w:pPr>
      <w:r>
        <w:rPr>
          <w:rFonts w:asciiTheme="minorHAnsi" w:hAnsiTheme="minorHAnsi" w:cstheme="minorHAnsi"/>
          <w:sz w:val="22"/>
          <w:szCs w:val="22"/>
        </w:rPr>
        <w:t>L’hydraulique, avec plus de 14 projets pour 6 908 680 MRO au total (493 000 MRO en moyenne pour chaque projet hydraulique) correspondant à 32,96% des engagements.</w:t>
      </w:r>
    </w:p>
    <w:p w:rsidR="00131269" w:rsidRDefault="00131269" w:rsidP="00131269">
      <w:pPr>
        <w:jc w:val="both"/>
        <w:rPr>
          <w:rFonts w:asciiTheme="minorHAnsi" w:hAnsiTheme="minorHAnsi" w:cstheme="minorHAnsi"/>
          <w:sz w:val="22"/>
          <w:szCs w:val="22"/>
        </w:rPr>
      </w:pPr>
      <w:r>
        <w:rPr>
          <w:rFonts w:asciiTheme="minorHAnsi" w:hAnsiTheme="minorHAnsi" w:cstheme="minorHAnsi"/>
          <w:sz w:val="22"/>
          <w:szCs w:val="22"/>
        </w:rPr>
        <w:t>Ensuite, le secteur de l’éducation avec 6 projets pour 4 349 987 MRO, soit 20,76% des engagements.</w:t>
      </w:r>
    </w:p>
    <w:p w:rsidR="00131269" w:rsidRPr="00F030BE" w:rsidRDefault="00131269" w:rsidP="00131269">
      <w:pPr>
        <w:jc w:val="both"/>
        <w:rPr>
          <w:rFonts w:asciiTheme="minorHAnsi" w:hAnsiTheme="minorHAnsi" w:cstheme="minorHAnsi"/>
          <w:sz w:val="22"/>
          <w:szCs w:val="22"/>
        </w:rPr>
      </w:pPr>
      <w:r>
        <w:rPr>
          <w:rFonts w:asciiTheme="minorHAnsi" w:hAnsiTheme="minorHAnsi" w:cstheme="minorHAnsi"/>
          <w:sz w:val="22"/>
          <w:szCs w:val="22"/>
        </w:rPr>
        <w:t>En troisième position, le secteur des transports (classé au 10</w:t>
      </w:r>
      <w:r w:rsidRPr="001F5C2F">
        <w:rPr>
          <w:rFonts w:asciiTheme="minorHAnsi" w:hAnsiTheme="minorHAnsi" w:cstheme="minorHAnsi"/>
          <w:sz w:val="22"/>
          <w:szCs w:val="22"/>
          <w:vertAlign w:val="superscript"/>
        </w:rPr>
        <w:t>ème</w:t>
      </w:r>
      <w:r>
        <w:rPr>
          <w:rFonts w:asciiTheme="minorHAnsi" w:hAnsiTheme="minorHAnsi" w:cstheme="minorHAnsi"/>
          <w:sz w:val="22"/>
          <w:szCs w:val="22"/>
        </w:rPr>
        <w:t xml:space="preserve"> rang en 2012 au niveau national) avec 2 projets pour 3 996 800 MRO, soit 19,07% des engagements.</w:t>
      </w:r>
    </w:p>
    <w:p w:rsidR="00131269" w:rsidRDefault="00131269" w:rsidP="00131269">
      <w:pPr>
        <w:jc w:val="both"/>
        <w:rPr>
          <w:rFonts w:asciiTheme="minorHAnsi" w:hAnsiTheme="minorHAnsi" w:cstheme="minorHAnsi"/>
          <w:sz w:val="22"/>
          <w:szCs w:val="22"/>
        </w:rPr>
      </w:pPr>
    </w:p>
    <w:p w:rsidR="00131269" w:rsidRPr="00F030BE" w:rsidRDefault="00131269" w:rsidP="00074C50">
      <w:pPr>
        <w:jc w:val="both"/>
        <w:rPr>
          <w:rFonts w:asciiTheme="minorHAnsi" w:hAnsiTheme="minorHAnsi" w:cstheme="minorHAnsi"/>
          <w:b/>
          <w:sz w:val="22"/>
          <w:szCs w:val="22"/>
        </w:rPr>
      </w:pPr>
    </w:p>
    <w:p w:rsidR="00074C50" w:rsidRPr="00F030BE" w:rsidRDefault="00074C50" w:rsidP="00074C50">
      <w:pPr>
        <w:jc w:val="both"/>
        <w:rPr>
          <w:rFonts w:asciiTheme="minorHAnsi" w:hAnsiTheme="minorHAnsi" w:cstheme="minorHAnsi"/>
          <w:b/>
          <w:sz w:val="22"/>
          <w:szCs w:val="22"/>
        </w:rPr>
      </w:pPr>
      <w:r w:rsidRPr="00805D38">
        <w:rPr>
          <w:rFonts w:asciiTheme="minorHAnsi" w:hAnsiTheme="minorHAnsi" w:cstheme="minorHAnsi"/>
          <w:b/>
          <w:noProof/>
          <w:sz w:val="22"/>
          <w:szCs w:val="22"/>
        </w:rPr>
        <w:drawing>
          <wp:inline distT="0" distB="0" distL="0" distR="0">
            <wp:extent cx="6645910" cy="2438400"/>
            <wp:effectExtent l="19050" t="0" r="2540" b="0"/>
            <wp:docPr id="255"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4" cstate="print"/>
                    <a:stretch>
                      <a:fillRect/>
                    </a:stretch>
                  </pic:blipFill>
                  <pic:spPr>
                    <a:xfrm>
                      <a:off x="0" y="0"/>
                      <a:ext cx="6645081" cy="2438096"/>
                    </a:xfrm>
                    <a:prstGeom prst="rect">
                      <a:avLst/>
                    </a:prstGeom>
                  </pic:spPr>
                </pic:pic>
              </a:graphicData>
            </a:graphic>
          </wp:inline>
        </w:drawing>
      </w:r>
    </w:p>
    <w:p w:rsidR="00074C50" w:rsidRDefault="004165EA" w:rsidP="00074C50">
      <w:pPr>
        <w:jc w:val="both"/>
        <w:rPr>
          <w:rFonts w:asciiTheme="minorHAnsi" w:hAnsiTheme="minorHAnsi" w:cstheme="minorHAnsi"/>
          <w:b/>
          <w:sz w:val="22"/>
          <w:szCs w:val="22"/>
        </w:rPr>
      </w:pPr>
      <w:r w:rsidRPr="004165EA">
        <w:rPr>
          <w:noProof/>
        </w:rPr>
        <w:drawing>
          <wp:inline distT="0" distB="0" distL="0" distR="0">
            <wp:extent cx="6645910" cy="2038350"/>
            <wp:effectExtent l="19050" t="0" r="2540" b="0"/>
            <wp:docPr id="293"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5" cstate="print"/>
                    <a:stretch>
                      <a:fillRect/>
                    </a:stretch>
                  </pic:blipFill>
                  <pic:spPr>
                    <a:xfrm>
                      <a:off x="0" y="0"/>
                      <a:ext cx="6645910" cy="2038350"/>
                    </a:xfrm>
                    <a:prstGeom prst="rect">
                      <a:avLst/>
                    </a:prstGeom>
                  </pic:spPr>
                </pic:pic>
              </a:graphicData>
            </a:graphic>
          </wp:inline>
        </w:drawing>
      </w:r>
    </w:p>
    <w:p w:rsidR="001F5C2F" w:rsidRDefault="001F5C2F" w:rsidP="00074C50">
      <w:pPr>
        <w:jc w:val="both"/>
        <w:rPr>
          <w:rFonts w:asciiTheme="minorHAnsi" w:hAnsiTheme="minorHAnsi" w:cstheme="minorHAnsi"/>
          <w:sz w:val="22"/>
          <w:szCs w:val="22"/>
        </w:rPr>
      </w:pPr>
    </w:p>
    <w:p w:rsidR="004165EA" w:rsidRPr="00F030BE" w:rsidRDefault="004165EA" w:rsidP="00074C50">
      <w:pPr>
        <w:jc w:val="both"/>
        <w:rPr>
          <w:rFonts w:asciiTheme="minorHAnsi" w:hAnsiTheme="minorHAnsi" w:cstheme="minorHAnsi"/>
          <w:sz w:val="22"/>
          <w:szCs w:val="22"/>
        </w:rPr>
      </w:pPr>
    </w:p>
    <w:p w:rsidR="00074C50" w:rsidRPr="00F030BE" w:rsidRDefault="001246CD" w:rsidP="00074C50">
      <w:pPr>
        <w:jc w:val="center"/>
        <w:rPr>
          <w:rFonts w:asciiTheme="minorHAnsi" w:hAnsiTheme="minorHAnsi" w:cstheme="minorHAnsi"/>
          <w:sz w:val="22"/>
          <w:szCs w:val="22"/>
          <w:u w:val="single"/>
        </w:rPr>
      </w:pPr>
      <w:proofErr w:type="spellStart"/>
      <w:r>
        <w:rPr>
          <w:rFonts w:asciiTheme="minorHAnsi" w:hAnsiTheme="minorHAnsi" w:cstheme="minorHAnsi"/>
          <w:b/>
          <w:sz w:val="22"/>
          <w:szCs w:val="22"/>
          <w:u w:val="single"/>
        </w:rPr>
        <w:t>Moughataa</w:t>
      </w:r>
      <w:proofErr w:type="spellEnd"/>
      <w:r w:rsidR="00074C50" w:rsidRPr="00F030BE">
        <w:rPr>
          <w:rFonts w:asciiTheme="minorHAnsi" w:hAnsiTheme="minorHAnsi" w:cstheme="minorHAnsi"/>
          <w:b/>
          <w:sz w:val="22"/>
          <w:szCs w:val="22"/>
          <w:u w:val="single"/>
        </w:rPr>
        <w:t xml:space="preserve"> de </w:t>
      </w:r>
      <w:proofErr w:type="spellStart"/>
      <w:r w:rsidR="00074C50" w:rsidRPr="00F030BE">
        <w:rPr>
          <w:rFonts w:asciiTheme="minorHAnsi" w:hAnsiTheme="minorHAnsi" w:cstheme="minorHAnsi"/>
          <w:b/>
          <w:sz w:val="22"/>
          <w:szCs w:val="22"/>
          <w:u w:val="single"/>
        </w:rPr>
        <w:t>R’kiz</w:t>
      </w:r>
      <w:proofErr w:type="spellEnd"/>
    </w:p>
    <w:p w:rsidR="00074C50" w:rsidRPr="00F030BE" w:rsidRDefault="00074C50" w:rsidP="00074C50">
      <w:pPr>
        <w:jc w:val="both"/>
        <w:rPr>
          <w:rFonts w:asciiTheme="minorHAnsi" w:hAnsiTheme="minorHAnsi" w:cstheme="minorHAnsi"/>
          <w:sz w:val="22"/>
          <w:szCs w:val="22"/>
        </w:rPr>
      </w:pPr>
    </w:p>
    <w:p w:rsidR="00074C50" w:rsidRPr="001F5C2F" w:rsidRDefault="00074C50" w:rsidP="00074C50">
      <w:pPr>
        <w:jc w:val="both"/>
        <w:rPr>
          <w:rFonts w:asciiTheme="minorHAnsi" w:hAnsiTheme="minorHAnsi" w:cstheme="minorHAnsi"/>
          <w:sz w:val="22"/>
          <w:szCs w:val="22"/>
        </w:rPr>
      </w:pPr>
      <w:r w:rsidRPr="00F030BE">
        <w:rPr>
          <w:rFonts w:asciiTheme="minorHAnsi" w:hAnsiTheme="minorHAnsi" w:cstheme="minorHAnsi"/>
          <w:sz w:val="22"/>
          <w:szCs w:val="22"/>
        </w:rPr>
        <w:t xml:space="preserve">Les communes de la </w:t>
      </w:r>
      <w:proofErr w:type="spellStart"/>
      <w:r w:rsidR="001246CD">
        <w:rPr>
          <w:rFonts w:asciiTheme="minorHAnsi" w:hAnsiTheme="minorHAnsi" w:cstheme="minorHAnsi"/>
          <w:sz w:val="22"/>
          <w:szCs w:val="22"/>
        </w:rPr>
        <w:t>Moughataa</w:t>
      </w:r>
      <w:proofErr w:type="spellEnd"/>
      <w:r w:rsidRPr="00F030BE">
        <w:rPr>
          <w:rFonts w:asciiTheme="minorHAnsi" w:hAnsiTheme="minorHAnsi" w:cstheme="minorHAnsi"/>
          <w:sz w:val="22"/>
          <w:szCs w:val="22"/>
        </w:rPr>
        <w:t xml:space="preserve"> de </w:t>
      </w:r>
      <w:proofErr w:type="spellStart"/>
      <w:r w:rsidRPr="00F030BE">
        <w:rPr>
          <w:rFonts w:asciiTheme="minorHAnsi" w:hAnsiTheme="minorHAnsi" w:cstheme="minorHAnsi"/>
          <w:sz w:val="22"/>
          <w:szCs w:val="22"/>
        </w:rPr>
        <w:t>R</w:t>
      </w:r>
      <w:r w:rsidR="001F5C2F">
        <w:rPr>
          <w:rFonts w:asciiTheme="minorHAnsi" w:hAnsiTheme="minorHAnsi" w:cstheme="minorHAnsi"/>
          <w:sz w:val="22"/>
          <w:szCs w:val="22"/>
        </w:rPr>
        <w:t>’kiz</w:t>
      </w:r>
      <w:proofErr w:type="spellEnd"/>
      <w:r w:rsidR="001F5C2F">
        <w:rPr>
          <w:rFonts w:asciiTheme="minorHAnsi" w:hAnsiTheme="minorHAnsi" w:cstheme="minorHAnsi"/>
          <w:sz w:val="22"/>
          <w:szCs w:val="22"/>
        </w:rPr>
        <w:t xml:space="preserve"> ont bénéficié d’un FRD 2012 pour l’équipement de 60 872 476 MRO (+16,67 % par rapport à 2011). Elles ont engagé 58 687 571</w:t>
      </w:r>
      <w:r w:rsidRPr="00F030BE">
        <w:rPr>
          <w:rFonts w:asciiTheme="minorHAnsi" w:hAnsiTheme="minorHAnsi" w:cstheme="minorHAnsi"/>
          <w:sz w:val="22"/>
          <w:szCs w:val="22"/>
        </w:rPr>
        <w:t xml:space="preserve"> MRO pour la réalisation de </w:t>
      </w:r>
      <w:r w:rsidR="001F5C2F">
        <w:rPr>
          <w:rFonts w:asciiTheme="minorHAnsi" w:hAnsiTheme="minorHAnsi" w:cstheme="minorHAnsi"/>
          <w:b/>
          <w:sz w:val="22"/>
          <w:szCs w:val="22"/>
        </w:rPr>
        <w:t>49</w:t>
      </w:r>
      <w:r w:rsidRPr="00473AF2">
        <w:rPr>
          <w:rFonts w:asciiTheme="minorHAnsi" w:hAnsiTheme="minorHAnsi" w:cstheme="minorHAnsi"/>
          <w:b/>
          <w:sz w:val="22"/>
          <w:szCs w:val="22"/>
        </w:rPr>
        <w:t xml:space="preserve"> projets</w:t>
      </w:r>
      <w:r w:rsidRPr="00F030BE">
        <w:rPr>
          <w:rFonts w:asciiTheme="minorHAnsi" w:hAnsiTheme="minorHAnsi" w:cstheme="minorHAnsi"/>
          <w:sz w:val="22"/>
          <w:szCs w:val="22"/>
        </w:rPr>
        <w:t xml:space="preserve">, soit un </w:t>
      </w:r>
      <w:r w:rsidR="001F5C2F">
        <w:rPr>
          <w:rFonts w:asciiTheme="minorHAnsi" w:hAnsiTheme="minorHAnsi" w:cstheme="minorHAnsi"/>
          <w:b/>
          <w:sz w:val="22"/>
          <w:szCs w:val="22"/>
        </w:rPr>
        <w:t>taux d’absorption de 96,41</w:t>
      </w:r>
      <w:r w:rsidRPr="00F030BE">
        <w:rPr>
          <w:rFonts w:asciiTheme="minorHAnsi" w:hAnsiTheme="minorHAnsi" w:cstheme="minorHAnsi"/>
          <w:b/>
          <w:sz w:val="22"/>
          <w:szCs w:val="22"/>
        </w:rPr>
        <w:t xml:space="preserve"> %</w:t>
      </w:r>
      <w:r w:rsidR="001F5C2F">
        <w:rPr>
          <w:rFonts w:asciiTheme="minorHAnsi" w:hAnsiTheme="minorHAnsi" w:cstheme="minorHAnsi"/>
          <w:b/>
          <w:sz w:val="22"/>
          <w:szCs w:val="22"/>
        </w:rPr>
        <w:t xml:space="preserve">, </w:t>
      </w:r>
      <w:r w:rsidR="001F5C2F">
        <w:rPr>
          <w:rFonts w:asciiTheme="minorHAnsi" w:hAnsiTheme="minorHAnsi" w:cstheme="minorHAnsi"/>
          <w:sz w:val="22"/>
          <w:szCs w:val="22"/>
        </w:rPr>
        <w:t>tout à fait convenable</w:t>
      </w:r>
      <w:r w:rsidR="001F5C2F" w:rsidRPr="001F5C2F">
        <w:rPr>
          <w:rFonts w:asciiTheme="minorHAnsi" w:hAnsiTheme="minorHAnsi" w:cstheme="minorHAnsi"/>
          <w:sz w:val="22"/>
          <w:szCs w:val="22"/>
        </w:rPr>
        <w:t>.</w:t>
      </w:r>
    </w:p>
    <w:p w:rsidR="00074C50" w:rsidRPr="00F030BE" w:rsidRDefault="00074C50" w:rsidP="00074C50">
      <w:pPr>
        <w:jc w:val="both"/>
        <w:rPr>
          <w:rFonts w:asciiTheme="minorHAnsi" w:hAnsiTheme="minorHAnsi" w:cstheme="minorHAnsi"/>
          <w:sz w:val="22"/>
          <w:szCs w:val="22"/>
        </w:rPr>
      </w:pPr>
    </w:p>
    <w:p w:rsidR="00074C50" w:rsidRPr="00F030BE" w:rsidRDefault="00074C50" w:rsidP="00074C50">
      <w:pPr>
        <w:jc w:val="both"/>
        <w:rPr>
          <w:rFonts w:asciiTheme="minorHAnsi" w:hAnsiTheme="minorHAnsi" w:cstheme="minorHAnsi"/>
          <w:b/>
          <w:sz w:val="22"/>
          <w:szCs w:val="22"/>
        </w:rPr>
      </w:pPr>
    </w:p>
    <w:p w:rsidR="00074C50" w:rsidRDefault="00074C50" w:rsidP="00074C50">
      <w:pPr>
        <w:jc w:val="both"/>
        <w:rPr>
          <w:rFonts w:asciiTheme="minorHAnsi" w:hAnsiTheme="minorHAnsi" w:cstheme="minorHAnsi"/>
          <w:b/>
          <w:sz w:val="22"/>
          <w:szCs w:val="22"/>
        </w:rPr>
      </w:pPr>
      <w:r w:rsidRPr="007E7B29">
        <w:rPr>
          <w:noProof/>
        </w:rPr>
        <w:drawing>
          <wp:inline distT="0" distB="0" distL="0" distR="0">
            <wp:extent cx="3514725" cy="3124200"/>
            <wp:effectExtent l="19050" t="0" r="9525" b="0"/>
            <wp:docPr id="257"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6" cstate="print"/>
                    <a:stretch>
                      <a:fillRect/>
                    </a:stretch>
                  </pic:blipFill>
                  <pic:spPr>
                    <a:xfrm>
                      <a:off x="0" y="0"/>
                      <a:ext cx="3514286" cy="3123810"/>
                    </a:xfrm>
                    <a:prstGeom prst="rect">
                      <a:avLst/>
                    </a:prstGeom>
                  </pic:spPr>
                </pic:pic>
              </a:graphicData>
            </a:graphic>
          </wp:inline>
        </w:drawing>
      </w:r>
      <w:r w:rsidRPr="00805D38">
        <w:rPr>
          <w:rFonts w:asciiTheme="minorHAnsi" w:hAnsiTheme="minorHAnsi" w:cstheme="minorHAnsi"/>
          <w:b/>
          <w:noProof/>
          <w:sz w:val="22"/>
          <w:szCs w:val="22"/>
        </w:rPr>
        <w:drawing>
          <wp:inline distT="0" distB="0" distL="0" distR="0">
            <wp:extent cx="3000375" cy="3124200"/>
            <wp:effectExtent l="19050" t="0" r="9525" b="0"/>
            <wp:docPr id="258"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7" cstate="print"/>
                    <a:stretch>
                      <a:fillRect/>
                    </a:stretch>
                  </pic:blipFill>
                  <pic:spPr>
                    <a:xfrm>
                      <a:off x="0" y="0"/>
                      <a:ext cx="3000000" cy="3123810"/>
                    </a:xfrm>
                    <a:prstGeom prst="rect">
                      <a:avLst/>
                    </a:prstGeom>
                  </pic:spPr>
                </pic:pic>
              </a:graphicData>
            </a:graphic>
          </wp:inline>
        </w:drawing>
      </w:r>
    </w:p>
    <w:p w:rsidR="00B108B3" w:rsidRDefault="00B108B3" w:rsidP="00074C50">
      <w:pPr>
        <w:jc w:val="both"/>
        <w:rPr>
          <w:rFonts w:asciiTheme="minorHAnsi" w:hAnsiTheme="minorHAnsi" w:cstheme="minorHAnsi"/>
          <w:b/>
          <w:sz w:val="22"/>
          <w:szCs w:val="22"/>
        </w:rPr>
      </w:pPr>
      <w:r w:rsidRPr="00B108B3">
        <w:rPr>
          <w:noProof/>
          <w:szCs w:val="22"/>
        </w:rPr>
        <w:drawing>
          <wp:inline distT="0" distB="0" distL="0" distR="0">
            <wp:extent cx="6645910" cy="1511654"/>
            <wp:effectExtent l="19050" t="0" r="2540" b="0"/>
            <wp:docPr id="90" name="Imag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88" cstate="print"/>
                    <a:srcRect/>
                    <a:stretch>
                      <a:fillRect/>
                    </a:stretch>
                  </pic:blipFill>
                  <pic:spPr bwMode="auto">
                    <a:xfrm>
                      <a:off x="0" y="0"/>
                      <a:ext cx="6645910" cy="1511654"/>
                    </a:xfrm>
                    <a:prstGeom prst="rect">
                      <a:avLst/>
                    </a:prstGeom>
                    <a:noFill/>
                    <a:ln w="9525">
                      <a:noFill/>
                      <a:miter lim="800000"/>
                      <a:headEnd/>
                      <a:tailEnd/>
                    </a:ln>
                  </pic:spPr>
                </pic:pic>
              </a:graphicData>
            </a:graphic>
          </wp:inline>
        </w:drawing>
      </w:r>
    </w:p>
    <w:p w:rsidR="00B108B3" w:rsidRDefault="00B108B3" w:rsidP="00074C50">
      <w:pPr>
        <w:jc w:val="both"/>
        <w:rPr>
          <w:rFonts w:asciiTheme="minorHAnsi" w:hAnsiTheme="minorHAnsi" w:cstheme="minorHAnsi"/>
          <w:b/>
          <w:sz w:val="22"/>
          <w:szCs w:val="22"/>
        </w:rPr>
      </w:pPr>
    </w:p>
    <w:p w:rsidR="00B108B3" w:rsidRDefault="00B108B3" w:rsidP="00B108B3">
      <w:pPr>
        <w:jc w:val="both"/>
        <w:rPr>
          <w:rFonts w:asciiTheme="minorHAnsi" w:hAnsiTheme="minorHAnsi" w:cstheme="minorHAnsi"/>
          <w:sz w:val="22"/>
          <w:szCs w:val="22"/>
        </w:rPr>
      </w:pPr>
      <w:r w:rsidRPr="00F030BE">
        <w:rPr>
          <w:rFonts w:asciiTheme="minorHAnsi" w:hAnsiTheme="minorHAnsi" w:cstheme="minorHAnsi"/>
          <w:sz w:val="22"/>
          <w:szCs w:val="22"/>
        </w:rPr>
        <w:t xml:space="preserve">Le montant moyen de l’investissement est en </w:t>
      </w:r>
      <w:r>
        <w:rPr>
          <w:rFonts w:asciiTheme="minorHAnsi" w:hAnsiTheme="minorHAnsi" w:cstheme="minorHAnsi"/>
          <w:sz w:val="22"/>
          <w:szCs w:val="22"/>
        </w:rPr>
        <w:t>progression compte tenu de la baisse du nombre de projets (de 66 à 49) : il passe ainsi de 958 465 MRO à 1 197 706 MRO, à un niveau légèrement inférieur au national.</w:t>
      </w:r>
    </w:p>
    <w:p w:rsidR="00B108B3" w:rsidRDefault="00B108B3" w:rsidP="00B108B3">
      <w:pPr>
        <w:jc w:val="both"/>
        <w:rPr>
          <w:rFonts w:asciiTheme="minorHAnsi" w:hAnsiTheme="minorHAnsi" w:cstheme="minorHAnsi"/>
          <w:sz w:val="22"/>
          <w:szCs w:val="22"/>
        </w:rPr>
      </w:pPr>
      <w:r>
        <w:rPr>
          <w:rFonts w:asciiTheme="minorHAnsi" w:hAnsiTheme="minorHAnsi" w:cstheme="minorHAnsi"/>
          <w:sz w:val="22"/>
          <w:szCs w:val="22"/>
        </w:rPr>
        <w:t>Le secteur de l’hydraulique arrive en tête avec 19 projets se partageant 30 250 000 MRO (51,54% des engagements). Ensuite, le secteur de l’éducation en deuxième position : 14 projets pour 14 074 570 MRO, soit 23,98% des engagements.</w:t>
      </w:r>
    </w:p>
    <w:p w:rsidR="00B108B3" w:rsidRPr="00F030BE" w:rsidRDefault="00B108B3" w:rsidP="00B108B3">
      <w:pPr>
        <w:jc w:val="both"/>
        <w:rPr>
          <w:rFonts w:asciiTheme="minorHAnsi" w:hAnsiTheme="minorHAnsi" w:cstheme="minorHAnsi"/>
          <w:sz w:val="22"/>
          <w:szCs w:val="22"/>
        </w:rPr>
      </w:pPr>
      <w:r>
        <w:rPr>
          <w:rFonts w:asciiTheme="minorHAnsi" w:hAnsiTheme="minorHAnsi" w:cstheme="minorHAnsi"/>
          <w:sz w:val="22"/>
          <w:szCs w:val="22"/>
        </w:rPr>
        <w:t>En troisième position, le secteur de la santé avec 4 projets se chiffrant à 4 200 400 MRO (7,16% des engagements).</w:t>
      </w:r>
    </w:p>
    <w:p w:rsidR="00B108B3" w:rsidRPr="00F030BE" w:rsidRDefault="00B108B3" w:rsidP="00074C50">
      <w:pPr>
        <w:jc w:val="both"/>
        <w:rPr>
          <w:rFonts w:asciiTheme="minorHAnsi" w:hAnsiTheme="minorHAnsi" w:cstheme="minorHAnsi"/>
          <w:b/>
          <w:sz w:val="22"/>
          <w:szCs w:val="22"/>
        </w:rPr>
      </w:pPr>
    </w:p>
    <w:p w:rsidR="00074C50" w:rsidRPr="00F030BE" w:rsidRDefault="00074C50" w:rsidP="00074C50">
      <w:pPr>
        <w:jc w:val="both"/>
        <w:rPr>
          <w:rFonts w:asciiTheme="minorHAnsi" w:hAnsiTheme="minorHAnsi" w:cstheme="minorHAnsi"/>
          <w:b/>
          <w:sz w:val="22"/>
          <w:szCs w:val="22"/>
        </w:rPr>
      </w:pPr>
      <w:r w:rsidRPr="00805D38">
        <w:rPr>
          <w:rFonts w:asciiTheme="minorHAnsi" w:hAnsiTheme="minorHAnsi" w:cstheme="minorHAnsi"/>
          <w:b/>
          <w:noProof/>
          <w:sz w:val="22"/>
          <w:szCs w:val="22"/>
        </w:rPr>
        <w:drawing>
          <wp:inline distT="0" distB="0" distL="0" distR="0">
            <wp:extent cx="6645910" cy="2933700"/>
            <wp:effectExtent l="19050" t="0" r="2540" b="0"/>
            <wp:docPr id="260"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9" cstate="print"/>
                    <a:stretch>
                      <a:fillRect/>
                    </a:stretch>
                  </pic:blipFill>
                  <pic:spPr>
                    <a:xfrm>
                      <a:off x="0" y="0"/>
                      <a:ext cx="6645081" cy="2933334"/>
                    </a:xfrm>
                    <a:prstGeom prst="rect">
                      <a:avLst/>
                    </a:prstGeom>
                  </pic:spPr>
                </pic:pic>
              </a:graphicData>
            </a:graphic>
          </wp:inline>
        </w:drawing>
      </w:r>
    </w:p>
    <w:p w:rsidR="00074C50" w:rsidRPr="00F030BE" w:rsidRDefault="003530A1" w:rsidP="00074C50">
      <w:pPr>
        <w:jc w:val="both"/>
        <w:rPr>
          <w:rFonts w:asciiTheme="minorHAnsi" w:hAnsiTheme="minorHAnsi" w:cstheme="minorHAnsi"/>
          <w:b/>
          <w:sz w:val="22"/>
          <w:szCs w:val="22"/>
        </w:rPr>
      </w:pPr>
      <w:r w:rsidRPr="003530A1">
        <w:rPr>
          <w:noProof/>
        </w:rPr>
        <w:drawing>
          <wp:inline distT="0" distB="0" distL="0" distR="0">
            <wp:extent cx="6696075" cy="2324100"/>
            <wp:effectExtent l="19050" t="0" r="9525" b="0"/>
            <wp:docPr id="296"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0" cstate="print"/>
                    <a:stretch>
                      <a:fillRect/>
                    </a:stretch>
                  </pic:blipFill>
                  <pic:spPr>
                    <a:xfrm>
                      <a:off x="0" y="0"/>
                      <a:ext cx="6704944" cy="2327178"/>
                    </a:xfrm>
                    <a:prstGeom prst="rect">
                      <a:avLst/>
                    </a:prstGeom>
                  </pic:spPr>
                </pic:pic>
              </a:graphicData>
            </a:graphic>
          </wp:inline>
        </w:drawing>
      </w:r>
    </w:p>
    <w:p w:rsidR="00074C50" w:rsidRPr="00F030BE" w:rsidRDefault="00074C50" w:rsidP="00074C50">
      <w:pPr>
        <w:jc w:val="both"/>
        <w:rPr>
          <w:rFonts w:asciiTheme="minorHAnsi" w:hAnsiTheme="minorHAnsi" w:cstheme="minorHAnsi"/>
          <w:sz w:val="22"/>
          <w:szCs w:val="22"/>
        </w:rPr>
      </w:pPr>
    </w:p>
    <w:p w:rsidR="00074C50" w:rsidRPr="00F030BE" w:rsidRDefault="001246CD" w:rsidP="00074C50">
      <w:pPr>
        <w:jc w:val="center"/>
        <w:rPr>
          <w:rFonts w:asciiTheme="minorHAnsi" w:hAnsiTheme="minorHAnsi" w:cstheme="minorHAnsi"/>
          <w:sz w:val="22"/>
          <w:szCs w:val="22"/>
          <w:u w:val="single"/>
        </w:rPr>
      </w:pPr>
      <w:proofErr w:type="spellStart"/>
      <w:r>
        <w:rPr>
          <w:rFonts w:asciiTheme="minorHAnsi" w:hAnsiTheme="minorHAnsi" w:cstheme="minorHAnsi"/>
          <w:b/>
          <w:sz w:val="22"/>
          <w:szCs w:val="22"/>
          <w:u w:val="single"/>
        </w:rPr>
        <w:t>Moughataa</w:t>
      </w:r>
      <w:proofErr w:type="spellEnd"/>
      <w:r w:rsidR="00074C50" w:rsidRPr="00F030BE">
        <w:rPr>
          <w:rFonts w:asciiTheme="minorHAnsi" w:hAnsiTheme="minorHAnsi" w:cstheme="minorHAnsi"/>
          <w:b/>
          <w:sz w:val="22"/>
          <w:szCs w:val="22"/>
          <w:u w:val="single"/>
        </w:rPr>
        <w:t xml:space="preserve"> de </w:t>
      </w:r>
      <w:proofErr w:type="spellStart"/>
      <w:r w:rsidR="00074C50" w:rsidRPr="00F030BE">
        <w:rPr>
          <w:rFonts w:asciiTheme="minorHAnsi" w:hAnsiTheme="minorHAnsi" w:cstheme="minorHAnsi"/>
          <w:b/>
          <w:sz w:val="22"/>
          <w:szCs w:val="22"/>
          <w:u w:val="single"/>
        </w:rPr>
        <w:t>Mederdra</w:t>
      </w:r>
      <w:proofErr w:type="spellEnd"/>
    </w:p>
    <w:p w:rsidR="00074C50" w:rsidRPr="00F030BE" w:rsidRDefault="00074C50" w:rsidP="00074C50">
      <w:pPr>
        <w:jc w:val="both"/>
        <w:rPr>
          <w:rFonts w:asciiTheme="minorHAnsi" w:hAnsiTheme="minorHAnsi" w:cstheme="minorHAnsi"/>
          <w:sz w:val="22"/>
          <w:szCs w:val="22"/>
        </w:rPr>
      </w:pPr>
    </w:p>
    <w:p w:rsidR="00074C50" w:rsidRPr="004D060D" w:rsidRDefault="00074C50" w:rsidP="00074C50">
      <w:pPr>
        <w:jc w:val="both"/>
        <w:rPr>
          <w:rFonts w:asciiTheme="minorHAnsi" w:hAnsiTheme="minorHAnsi" w:cstheme="minorHAnsi"/>
          <w:b/>
          <w:sz w:val="22"/>
          <w:szCs w:val="22"/>
        </w:rPr>
      </w:pPr>
      <w:r w:rsidRPr="00F030BE">
        <w:rPr>
          <w:rFonts w:asciiTheme="minorHAnsi" w:hAnsiTheme="minorHAnsi" w:cstheme="minorHAnsi"/>
          <w:sz w:val="22"/>
          <w:szCs w:val="22"/>
        </w:rPr>
        <w:t xml:space="preserve">Les communes de la </w:t>
      </w:r>
      <w:proofErr w:type="spellStart"/>
      <w:r w:rsidR="001246CD">
        <w:rPr>
          <w:rFonts w:asciiTheme="minorHAnsi" w:hAnsiTheme="minorHAnsi" w:cstheme="minorHAnsi"/>
          <w:sz w:val="22"/>
          <w:szCs w:val="22"/>
        </w:rPr>
        <w:t>Moughataa</w:t>
      </w:r>
      <w:proofErr w:type="spellEnd"/>
      <w:r w:rsidRPr="00F030BE">
        <w:rPr>
          <w:rFonts w:asciiTheme="minorHAnsi" w:hAnsiTheme="minorHAnsi" w:cstheme="minorHAnsi"/>
          <w:sz w:val="22"/>
          <w:szCs w:val="22"/>
        </w:rPr>
        <w:t xml:space="preserve"> de </w:t>
      </w:r>
      <w:proofErr w:type="spellStart"/>
      <w:r w:rsidRPr="00F030BE">
        <w:rPr>
          <w:rFonts w:asciiTheme="minorHAnsi" w:hAnsiTheme="minorHAnsi" w:cstheme="minorHAnsi"/>
          <w:sz w:val="22"/>
          <w:szCs w:val="22"/>
        </w:rPr>
        <w:t>Mede</w:t>
      </w:r>
      <w:r w:rsidR="004D060D">
        <w:rPr>
          <w:rFonts w:asciiTheme="minorHAnsi" w:hAnsiTheme="minorHAnsi" w:cstheme="minorHAnsi"/>
          <w:sz w:val="22"/>
          <w:szCs w:val="22"/>
        </w:rPr>
        <w:t>rdra</w:t>
      </w:r>
      <w:proofErr w:type="spellEnd"/>
      <w:r w:rsidR="004D060D">
        <w:rPr>
          <w:rFonts w:asciiTheme="minorHAnsi" w:hAnsiTheme="minorHAnsi" w:cstheme="minorHAnsi"/>
          <w:sz w:val="22"/>
          <w:szCs w:val="22"/>
        </w:rPr>
        <w:t xml:space="preserve"> ont bénéficié d’un FRD 2012 pour l’équipement de 24 758 934</w:t>
      </w:r>
      <w:r w:rsidRPr="00F030BE">
        <w:rPr>
          <w:rFonts w:asciiTheme="minorHAnsi" w:hAnsiTheme="minorHAnsi" w:cstheme="minorHAnsi"/>
          <w:sz w:val="22"/>
          <w:szCs w:val="22"/>
        </w:rPr>
        <w:t xml:space="preserve"> MRO</w:t>
      </w:r>
      <w:r w:rsidR="004D060D">
        <w:rPr>
          <w:rFonts w:asciiTheme="minorHAnsi" w:hAnsiTheme="minorHAnsi" w:cstheme="minorHAnsi"/>
          <w:sz w:val="22"/>
          <w:szCs w:val="22"/>
        </w:rPr>
        <w:t xml:space="preserve"> (+13,13% par rapport à 2011). Elles ont engagé 24 751 900</w:t>
      </w:r>
      <w:r w:rsidRPr="00F030BE">
        <w:rPr>
          <w:rFonts w:asciiTheme="minorHAnsi" w:hAnsiTheme="minorHAnsi" w:cstheme="minorHAnsi"/>
          <w:sz w:val="22"/>
          <w:szCs w:val="22"/>
        </w:rPr>
        <w:t xml:space="preserve"> MRO pour la réalisation de </w:t>
      </w:r>
      <w:r w:rsidR="004D060D">
        <w:rPr>
          <w:rFonts w:asciiTheme="minorHAnsi" w:hAnsiTheme="minorHAnsi" w:cstheme="minorHAnsi"/>
          <w:b/>
          <w:sz w:val="22"/>
          <w:szCs w:val="22"/>
        </w:rPr>
        <w:t>22</w:t>
      </w:r>
      <w:r w:rsidRPr="00473AF2">
        <w:rPr>
          <w:rFonts w:asciiTheme="minorHAnsi" w:hAnsiTheme="minorHAnsi" w:cstheme="minorHAnsi"/>
          <w:b/>
          <w:sz w:val="22"/>
          <w:szCs w:val="22"/>
        </w:rPr>
        <w:t xml:space="preserve"> projets</w:t>
      </w:r>
      <w:r w:rsidRPr="00F030BE">
        <w:rPr>
          <w:rFonts w:asciiTheme="minorHAnsi" w:hAnsiTheme="minorHAnsi" w:cstheme="minorHAnsi"/>
          <w:sz w:val="22"/>
          <w:szCs w:val="22"/>
        </w:rPr>
        <w:t xml:space="preserve">, soit un </w:t>
      </w:r>
      <w:r w:rsidR="004D060D">
        <w:rPr>
          <w:rFonts w:asciiTheme="minorHAnsi" w:hAnsiTheme="minorHAnsi" w:cstheme="minorHAnsi"/>
          <w:b/>
          <w:sz w:val="22"/>
          <w:szCs w:val="22"/>
        </w:rPr>
        <w:t>taux d’absorption de 99,97</w:t>
      </w:r>
      <w:r w:rsidRPr="00F030BE">
        <w:rPr>
          <w:rFonts w:asciiTheme="minorHAnsi" w:hAnsiTheme="minorHAnsi" w:cstheme="minorHAnsi"/>
          <w:b/>
          <w:sz w:val="22"/>
          <w:szCs w:val="22"/>
        </w:rPr>
        <w:t xml:space="preserve"> %.</w:t>
      </w:r>
      <w:r w:rsidR="004D060D">
        <w:rPr>
          <w:rFonts w:asciiTheme="minorHAnsi" w:hAnsiTheme="minorHAnsi" w:cstheme="minorHAnsi"/>
          <w:b/>
          <w:sz w:val="22"/>
          <w:szCs w:val="22"/>
        </w:rPr>
        <w:t xml:space="preserve"> </w:t>
      </w:r>
      <w:r w:rsidRPr="00F030BE">
        <w:rPr>
          <w:rFonts w:asciiTheme="minorHAnsi" w:hAnsiTheme="minorHAnsi" w:cstheme="minorHAnsi"/>
          <w:sz w:val="22"/>
          <w:szCs w:val="22"/>
        </w:rPr>
        <w:t>Ce taux d’absorption e</w:t>
      </w:r>
      <w:r w:rsidR="004D060D">
        <w:rPr>
          <w:rFonts w:asciiTheme="minorHAnsi" w:hAnsiTheme="minorHAnsi" w:cstheme="minorHAnsi"/>
          <w:sz w:val="22"/>
          <w:szCs w:val="22"/>
        </w:rPr>
        <w:t xml:space="preserve">st tout à fait satisfaisant, </w:t>
      </w:r>
      <w:r w:rsidR="002E3469">
        <w:rPr>
          <w:rFonts w:asciiTheme="minorHAnsi" w:hAnsiTheme="minorHAnsi" w:cstheme="minorHAnsi"/>
          <w:sz w:val="22"/>
          <w:szCs w:val="22"/>
        </w:rPr>
        <w:t xml:space="preserve">et </w:t>
      </w:r>
      <w:r w:rsidRPr="00F030BE">
        <w:rPr>
          <w:rFonts w:asciiTheme="minorHAnsi" w:hAnsiTheme="minorHAnsi" w:cstheme="minorHAnsi"/>
          <w:sz w:val="22"/>
          <w:szCs w:val="22"/>
        </w:rPr>
        <w:t>stab</w:t>
      </w:r>
      <w:r w:rsidR="002E3469">
        <w:rPr>
          <w:rFonts w:asciiTheme="minorHAnsi" w:hAnsiTheme="minorHAnsi" w:cstheme="minorHAnsi"/>
          <w:sz w:val="22"/>
          <w:szCs w:val="22"/>
        </w:rPr>
        <w:t xml:space="preserve">le entre 2010 et 2011, traduisant une </w:t>
      </w:r>
      <w:r w:rsidRPr="00F030BE">
        <w:rPr>
          <w:rFonts w:asciiTheme="minorHAnsi" w:hAnsiTheme="minorHAnsi" w:cstheme="minorHAnsi"/>
          <w:sz w:val="22"/>
          <w:szCs w:val="22"/>
        </w:rPr>
        <w:t xml:space="preserve">bonne capacité des communes de cette </w:t>
      </w:r>
      <w:proofErr w:type="spellStart"/>
      <w:r w:rsidR="001246CD">
        <w:rPr>
          <w:rFonts w:asciiTheme="minorHAnsi" w:hAnsiTheme="minorHAnsi" w:cstheme="minorHAnsi"/>
          <w:sz w:val="22"/>
          <w:szCs w:val="22"/>
        </w:rPr>
        <w:t>Moughataa</w:t>
      </w:r>
      <w:proofErr w:type="spellEnd"/>
      <w:r w:rsidRPr="00F030BE">
        <w:rPr>
          <w:rFonts w:asciiTheme="minorHAnsi" w:hAnsiTheme="minorHAnsi" w:cstheme="minorHAnsi"/>
          <w:sz w:val="22"/>
          <w:szCs w:val="22"/>
        </w:rPr>
        <w:t xml:space="preserve"> à réaliser annuellement un programme d’investissement.</w:t>
      </w:r>
    </w:p>
    <w:p w:rsidR="00074C50" w:rsidRPr="00F030BE" w:rsidRDefault="00074C50" w:rsidP="00074C50">
      <w:pPr>
        <w:jc w:val="both"/>
        <w:rPr>
          <w:rFonts w:asciiTheme="minorHAnsi" w:hAnsiTheme="minorHAnsi" w:cstheme="minorHAnsi"/>
          <w:sz w:val="22"/>
          <w:szCs w:val="22"/>
        </w:rPr>
      </w:pPr>
    </w:p>
    <w:p w:rsidR="00074C50" w:rsidRPr="00F030BE" w:rsidRDefault="00074C50" w:rsidP="00074C50">
      <w:pPr>
        <w:jc w:val="both"/>
        <w:rPr>
          <w:rFonts w:asciiTheme="minorHAnsi" w:hAnsiTheme="minorHAnsi" w:cstheme="minorHAnsi"/>
          <w:b/>
          <w:sz w:val="22"/>
          <w:szCs w:val="22"/>
        </w:rPr>
      </w:pPr>
    </w:p>
    <w:p w:rsidR="00074C50" w:rsidRDefault="00074C50" w:rsidP="00074C50">
      <w:pPr>
        <w:jc w:val="both"/>
        <w:rPr>
          <w:rFonts w:asciiTheme="minorHAnsi" w:hAnsiTheme="minorHAnsi" w:cstheme="minorHAnsi"/>
          <w:b/>
          <w:sz w:val="22"/>
          <w:szCs w:val="22"/>
        </w:rPr>
      </w:pPr>
      <w:r w:rsidRPr="007E7B29">
        <w:rPr>
          <w:noProof/>
        </w:rPr>
        <w:drawing>
          <wp:inline distT="0" distB="0" distL="0" distR="0">
            <wp:extent cx="3295649" cy="3990975"/>
            <wp:effectExtent l="19050" t="0" r="1" b="0"/>
            <wp:docPr id="261"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1" cstate="print"/>
                    <a:stretch>
                      <a:fillRect/>
                    </a:stretch>
                  </pic:blipFill>
                  <pic:spPr>
                    <a:xfrm>
                      <a:off x="0" y="0"/>
                      <a:ext cx="3295238" cy="3990477"/>
                    </a:xfrm>
                    <a:prstGeom prst="rect">
                      <a:avLst/>
                    </a:prstGeom>
                  </pic:spPr>
                </pic:pic>
              </a:graphicData>
            </a:graphic>
          </wp:inline>
        </w:drawing>
      </w:r>
      <w:r w:rsidRPr="00805D38">
        <w:rPr>
          <w:rFonts w:asciiTheme="minorHAnsi" w:hAnsiTheme="minorHAnsi" w:cstheme="minorHAnsi"/>
          <w:b/>
          <w:noProof/>
          <w:sz w:val="22"/>
          <w:szCs w:val="22"/>
        </w:rPr>
        <w:drawing>
          <wp:inline distT="0" distB="0" distL="0" distR="0">
            <wp:extent cx="3295649" cy="3990975"/>
            <wp:effectExtent l="19050" t="0" r="1" b="0"/>
            <wp:docPr id="263"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2" cstate="print"/>
                    <a:stretch>
                      <a:fillRect/>
                    </a:stretch>
                  </pic:blipFill>
                  <pic:spPr>
                    <a:xfrm>
                      <a:off x="0" y="0"/>
                      <a:ext cx="3295239" cy="3990478"/>
                    </a:xfrm>
                    <a:prstGeom prst="rect">
                      <a:avLst/>
                    </a:prstGeom>
                  </pic:spPr>
                </pic:pic>
              </a:graphicData>
            </a:graphic>
          </wp:inline>
        </w:drawing>
      </w:r>
    </w:p>
    <w:p w:rsidR="007B7D54" w:rsidRDefault="00B108B3" w:rsidP="00074C50">
      <w:pPr>
        <w:jc w:val="both"/>
        <w:rPr>
          <w:rFonts w:asciiTheme="minorHAnsi" w:hAnsiTheme="minorHAnsi" w:cstheme="minorHAnsi"/>
          <w:b/>
          <w:sz w:val="22"/>
          <w:szCs w:val="22"/>
        </w:rPr>
      </w:pPr>
      <w:r w:rsidRPr="00B108B3">
        <w:rPr>
          <w:noProof/>
          <w:szCs w:val="22"/>
        </w:rPr>
        <w:drawing>
          <wp:inline distT="0" distB="0" distL="0" distR="0">
            <wp:extent cx="6645910" cy="2638425"/>
            <wp:effectExtent l="19050" t="0" r="2540" b="0"/>
            <wp:docPr id="89" name="Imag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93" cstate="print"/>
                    <a:srcRect/>
                    <a:stretch>
                      <a:fillRect/>
                    </a:stretch>
                  </pic:blipFill>
                  <pic:spPr bwMode="auto">
                    <a:xfrm>
                      <a:off x="0" y="0"/>
                      <a:ext cx="6645910" cy="2638425"/>
                    </a:xfrm>
                    <a:prstGeom prst="rect">
                      <a:avLst/>
                    </a:prstGeom>
                    <a:noFill/>
                    <a:ln w="9525">
                      <a:noFill/>
                      <a:miter lim="800000"/>
                      <a:headEnd/>
                      <a:tailEnd/>
                    </a:ln>
                  </pic:spPr>
                </pic:pic>
              </a:graphicData>
            </a:graphic>
          </wp:inline>
        </w:drawing>
      </w:r>
    </w:p>
    <w:p w:rsidR="007B7D54" w:rsidRDefault="007B7D54" w:rsidP="00074C50">
      <w:pPr>
        <w:jc w:val="both"/>
        <w:rPr>
          <w:rFonts w:asciiTheme="minorHAnsi" w:hAnsiTheme="minorHAnsi" w:cstheme="minorHAnsi"/>
          <w:b/>
          <w:sz w:val="22"/>
          <w:szCs w:val="22"/>
        </w:rPr>
      </w:pPr>
    </w:p>
    <w:p w:rsidR="007B7D54" w:rsidRPr="00F030BE" w:rsidRDefault="007B7D54" w:rsidP="007B7D54">
      <w:pPr>
        <w:jc w:val="both"/>
        <w:rPr>
          <w:rFonts w:asciiTheme="minorHAnsi" w:hAnsiTheme="minorHAnsi" w:cstheme="minorHAnsi"/>
          <w:sz w:val="22"/>
          <w:szCs w:val="22"/>
        </w:rPr>
      </w:pPr>
      <w:r w:rsidRPr="00F030BE">
        <w:rPr>
          <w:rFonts w:asciiTheme="minorHAnsi" w:hAnsiTheme="minorHAnsi" w:cstheme="minorHAnsi"/>
          <w:sz w:val="22"/>
          <w:szCs w:val="22"/>
        </w:rPr>
        <w:t>Le montant moyen de</w:t>
      </w:r>
      <w:r>
        <w:rPr>
          <w:rFonts w:asciiTheme="minorHAnsi" w:hAnsiTheme="minorHAnsi" w:cstheme="minorHAnsi"/>
          <w:sz w:val="22"/>
          <w:szCs w:val="22"/>
        </w:rPr>
        <w:t xml:space="preserve"> l’investissement est progression : 841 638 MRO en 2011 et 1 125 086 MRO en 2012, avec une réduction légère du nombre de projets (de 26 à 22). Légère parcellisation de l’investissement, en comparaison de la moyenne nationale.</w:t>
      </w:r>
    </w:p>
    <w:p w:rsidR="007B7D54" w:rsidRDefault="007B7D54" w:rsidP="007B7D54">
      <w:pPr>
        <w:jc w:val="both"/>
        <w:rPr>
          <w:rFonts w:asciiTheme="minorHAnsi" w:hAnsiTheme="minorHAnsi" w:cstheme="minorHAnsi"/>
          <w:sz w:val="22"/>
          <w:szCs w:val="22"/>
        </w:rPr>
      </w:pPr>
      <w:r>
        <w:rPr>
          <w:rFonts w:asciiTheme="minorHAnsi" w:hAnsiTheme="minorHAnsi" w:cstheme="minorHAnsi"/>
          <w:sz w:val="22"/>
          <w:szCs w:val="22"/>
        </w:rPr>
        <w:t>L’agriculture arrive en première position avec 5 projets pour un volume de 5 318 000 MRO, soit 21,49% des engagements.</w:t>
      </w:r>
    </w:p>
    <w:p w:rsidR="007B7D54" w:rsidRDefault="007B7D54" w:rsidP="007B7D54">
      <w:pPr>
        <w:jc w:val="both"/>
        <w:rPr>
          <w:rFonts w:asciiTheme="minorHAnsi" w:hAnsiTheme="minorHAnsi" w:cstheme="minorHAnsi"/>
          <w:sz w:val="22"/>
          <w:szCs w:val="22"/>
        </w:rPr>
      </w:pPr>
      <w:r>
        <w:rPr>
          <w:rFonts w:asciiTheme="minorHAnsi" w:hAnsiTheme="minorHAnsi" w:cstheme="minorHAnsi"/>
          <w:sz w:val="22"/>
          <w:szCs w:val="22"/>
        </w:rPr>
        <w:t>En deuxième position, le secteur de l’assainissement avec 2 projets pour 4 878 000 MRO (19,71% des engagements).</w:t>
      </w:r>
    </w:p>
    <w:p w:rsidR="007B7D54" w:rsidRPr="00F030BE" w:rsidRDefault="007B7D54" w:rsidP="007B7D54">
      <w:pPr>
        <w:jc w:val="both"/>
        <w:rPr>
          <w:rFonts w:asciiTheme="minorHAnsi" w:hAnsiTheme="minorHAnsi" w:cstheme="minorHAnsi"/>
          <w:sz w:val="22"/>
          <w:szCs w:val="22"/>
        </w:rPr>
      </w:pPr>
      <w:r>
        <w:rPr>
          <w:rFonts w:asciiTheme="minorHAnsi" w:hAnsiTheme="minorHAnsi" w:cstheme="minorHAnsi"/>
          <w:sz w:val="22"/>
          <w:szCs w:val="22"/>
        </w:rPr>
        <w:t>Troisième secteur prioritaire en 2012 : les bâtiments communaux pour 3 244 000 MRO et 2 projets. Soit 13,11% des engagements.</w:t>
      </w:r>
    </w:p>
    <w:p w:rsidR="007B7D54" w:rsidRPr="00F030BE" w:rsidRDefault="007B7D54" w:rsidP="00074C50">
      <w:pPr>
        <w:jc w:val="both"/>
        <w:rPr>
          <w:rFonts w:asciiTheme="minorHAnsi" w:hAnsiTheme="minorHAnsi" w:cstheme="minorHAnsi"/>
          <w:b/>
          <w:sz w:val="22"/>
          <w:szCs w:val="22"/>
        </w:rPr>
      </w:pPr>
    </w:p>
    <w:p w:rsidR="00074C50" w:rsidRPr="00F030BE" w:rsidRDefault="00074C50" w:rsidP="00074C50">
      <w:pPr>
        <w:jc w:val="both"/>
        <w:rPr>
          <w:rFonts w:asciiTheme="minorHAnsi" w:hAnsiTheme="minorHAnsi" w:cstheme="minorHAnsi"/>
          <w:b/>
          <w:sz w:val="22"/>
          <w:szCs w:val="22"/>
        </w:rPr>
      </w:pPr>
      <w:r w:rsidRPr="00805D38">
        <w:rPr>
          <w:rFonts w:asciiTheme="minorHAnsi" w:hAnsiTheme="minorHAnsi" w:cstheme="minorHAnsi"/>
          <w:b/>
          <w:noProof/>
          <w:sz w:val="22"/>
          <w:szCs w:val="22"/>
        </w:rPr>
        <w:drawing>
          <wp:inline distT="0" distB="0" distL="0" distR="0">
            <wp:extent cx="6610350" cy="2419350"/>
            <wp:effectExtent l="19050" t="0" r="0" b="0"/>
            <wp:docPr id="264"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4" cstate="print"/>
                    <a:stretch>
                      <a:fillRect/>
                    </a:stretch>
                  </pic:blipFill>
                  <pic:spPr>
                    <a:xfrm>
                      <a:off x="0" y="0"/>
                      <a:ext cx="6609525" cy="2419048"/>
                    </a:xfrm>
                    <a:prstGeom prst="rect">
                      <a:avLst/>
                    </a:prstGeom>
                  </pic:spPr>
                </pic:pic>
              </a:graphicData>
            </a:graphic>
          </wp:inline>
        </w:drawing>
      </w:r>
    </w:p>
    <w:p w:rsidR="00074C50" w:rsidRPr="00F030BE" w:rsidRDefault="003530A1" w:rsidP="00074C50">
      <w:pPr>
        <w:jc w:val="both"/>
        <w:rPr>
          <w:rFonts w:asciiTheme="minorHAnsi" w:hAnsiTheme="minorHAnsi" w:cstheme="minorHAnsi"/>
          <w:b/>
          <w:sz w:val="22"/>
          <w:szCs w:val="22"/>
        </w:rPr>
      </w:pPr>
      <w:r w:rsidRPr="003530A1">
        <w:rPr>
          <w:noProof/>
        </w:rPr>
        <w:drawing>
          <wp:inline distT="0" distB="0" distL="0" distR="0">
            <wp:extent cx="6600825" cy="2019300"/>
            <wp:effectExtent l="19050" t="0" r="9525" b="0"/>
            <wp:docPr id="295"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5" cstate="print"/>
                    <a:stretch>
                      <a:fillRect/>
                    </a:stretch>
                  </pic:blipFill>
                  <pic:spPr>
                    <a:xfrm>
                      <a:off x="0" y="0"/>
                      <a:ext cx="6600825" cy="2019300"/>
                    </a:xfrm>
                    <a:prstGeom prst="rect">
                      <a:avLst/>
                    </a:prstGeom>
                  </pic:spPr>
                </pic:pic>
              </a:graphicData>
            </a:graphic>
          </wp:inline>
        </w:drawing>
      </w:r>
    </w:p>
    <w:p w:rsidR="00B108B3" w:rsidRDefault="00B108B3" w:rsidP="00074C50">
      <w:pPr>
        <w:jc w:val="center"/>
        <w:rPr>
          <w:rFonts w:asciiTheme="minorHAnsi" w:hAnsiTheme="minorHAnsi" w:cstheme="minorHAnsi"/>
          <w:b/>
          <w:sz w:val="22"/>
          <w:szCs w:val="22"/>
          <w:u w:val="single"/>
        </w:rPr>
      </w:pPr>
    </w:p>
    <w:p w:rsidR="007E3D27" w:rsidRDefault="007E3D27" w:rsidP="00074C50">
      <w:pPr>
        <w:jc w:val="center"/>
        <w:rPr>
          <w:rFonts w:asciiTheme="minorHAnsi" w:hAnsiTheme="minorHAnsi" w:cstheme="minorHAnsi"/>
          <w:b/>
          <w:sz w:val="22"/>
          <w:szCs w:val="22"/>
          <w:u w:val="single"/>
        </w:rPr>
      </w:pPr>
    </w:p>
    <w:p w:rsidR="00074C50" w:rsidRPr="00F030BE" w:rsidRDefault="001246CD" w:rsidP="00074C50">
      <w:pPr>
        <w:jc w:val="center"/>
        <w:rPr>
          <w:rFonts w:asciiTheme="minorHAnsi" w:hAnsiTheme="minorHAnsi" w:cstheme="minorHAnsi"/>
          <w:sz w:val="22"/>
          <w:szCs w:val="22"/>
          <w:u w:val="single"/>
        </w:rPr>
      </w:pPr>
      <w:proofErr w:type="spellStart"/>
      <w:r>
        <w:rPr>
          <w:rFonts w:asciiTheme="minorHAnsi" w:hAnsiTheme="minorHAnsi" w:cstheme="minorHAnsi"/>
          <w:b/>
          <w:sz w:val="22"/>
          <w:szCs w:val="22"/>
          <w:u w:val="single"/>
        </w:rPr>
        <w:t>Moughataa</w:t>
      </w:r>
      <w:proofErr w:type="spellEnd"/>
      <w:r w:rsidR="00074C50" w:rsidRPr="00F030BE">
        <w:rPr>
          <w:rFonts w:asciiTheme="minorHAnsi" w:hAnsiTheme="minorHAnsi" w:cstheme="minorHAnsi"/>
          <w:b/>
          <w:sz w:val="22"/>
          <w:szCs w:val="22"/>
          <w:u w:val="single"/>
        </w:rPr>
        <w:t xml:space="preserve"> de </w:t>
      </w:r>
      <w:proofErr w:type="spellStart"/>
      <w:r w:rsidR="00074C50" w:rsidRPr="00F030BE">
        <w:rPr>
          <w:rFonts w:asciiTheme="minorHAnsi" w:hAnsiTheme="minorHAnsi" w:cstheme="minorHAnsi"/>
          <w:b/>
          <w:sz w:val="22"/>
          <w:szCs w:val="22"/>
          <w:u w:val="single"/>
        </w:rPr>
        <w:t>Keur</w:t>
      </w:r>
      <w:proofErr w:type="spellEnd"/>
      <w:r w:rsidR="00074C50" w:rsidRPr="00F030BE">
        <w:rPr>
          <w:rFonts w:asciiTheme="minorHAnsi" w:hAnsiTheme="minorHAnsi" w:cstheme="minorHAnsi"/>
          <w:b/>
          <w:sz w:val="22"/>
          <w:szCs w:val="22"/>
          <w:u w:val="single"/>
        </w:rPr>
        <w:t>-</w:t>
      </w:r>
      <w:proofErr w:type="spellStart"/>
      <w:r w:rsidR="00074C50" w:rsidRPr="00F030BE">
        <w:rPr>
          <w:rFonts w:asciiTheme="minorHAnsi" w:hAnsiTheme="minorHAnsi" w:cstheme="minorHAnsi"/>
          <w:b/>
          <w:sz w:val="22"/>
          <w:szCs w:val="22"/>
          <w:u w:val="single"/>
        </w:rPr>
        <w:t>Macène</w:t>
      </w:r>
      <w:proofErr w:type="spellEnd"/>
    </w:p>
    <w:p w:rsidR="00074C50" w:rsidRPr="00F030BE" w:rsidRDefault="00074C50" w:rsidP="00074C50">
      <w:pPr>
        <w:jc w:val="both"/>
        <w:rPr>
          <w:rFonts w:asciiTheme="minorHAnsi" w:hAnsiTheme="minorHAnsi" w:cstheme="minorHAnsi"/>
          <w:sz w:val="22"/>
          <w:szCs w:val="22"/>
        </w:rPr>
      </w:pPr>
    </w:p>
    <w:p w:rsidR="00074C50" w:rsidRPr="007E3D27" w:rsidRDefault="00074C50" w:rsidP="00074C50">
      <w:pPr>
        <w:jc w:val="both"/>
        <w:rPr>
          <w:rFonts w:asciiTheme="minorHAnsi" w:hAnsiTheme="minorHAnsi" w:cstheme="minorHAnsi"/>
          <w:b/>
          <w:sz w:val="22"/>
          <w:szCs w:val="22"/>
        </w:rPr>
      </w:pPr>
      <w:r w:rsidRPr="00F030BE">
        <w:rPr>
          <w:rFonts w:asciiTheme="minorHAnsi" w:hAnsiTheme="minorHAnsi" w:cstheme="minorHAnsi"/>
          <w:sz w:val="22"/>
          <w:szCs w:val="22"/>
        </w:rPr>
        <w:t xml:space="preserve">Les communes de la </w:t>
      </w:r>
      <w:proofErr w:type="spellStart"/>
      <w:r w:rsidR="001246CD">
        <w:rPr>
          <w:rFonts w:asciiTheme="minorHAnsi" w:hAnsiTheme="minorHAnsi" w:cstheme="minorHAnsi"/>
          <w:sz w:val="22"/>
          <w:szCs w:val="22"/>
        </w:rPr>
        <w:t>Moughataa</w:t>
      </w:r>
      <w:proofErr w:type="spellEnd"/>
      <w:r w:rsidRPr="00F030BE">
        <w:rPr>
          <w:rFonts w:asciiTheme="minorHAnsi" w:hAnsiTheme="minorHAnsi" w:cstheme="minorHAnsi"/>
          <w:sz w:val="22"/>
          <w:szCs w:val="22"/>
        </w:rPr>
        <w:t xml:space="preserve"> de </w:t>
      </w:r>
      <w:proofErr w:type="spellStart"/>
      <w:r w:rsidRPr="00F030BE">
        <w:rPr>
          <w:rFonts w:asciiTheme="minorHAnsi" w:hAnsiTheme="minorHAnsi" w:cstheme="minorHAnsi"/>
          <w:sz w:val="22"/>
          <w:szCs w:val="22"/>
        </w:rPr>
        <w:t>Keur</w:t>
      </w:r>
      <w:proofErr w:type="spellEnd"/>
      <w:r w:rsidRPr="00F030BE">
        <w:rPr>
          <w:rFonts w:asciiTheme="minorHAnsi" w:hAnsiTheme="minorHAnsi" w:cstheme="minorHAnsi"/>
          <w:sz w:val="22"/>
          <w:szCs w:val="22"/>
        </w:rPr>
        <w:t>-</w:t>
      </w:r>
      <w:proofErr w:type="spellStart"/>
      <w:r w:rsidRPr="00F030BE">
        <w:rPr>
          <w:rFonts w:asciiTheme="minorHAnsi" w:hAnsiTheme="minorHAnsi" w:cstheme="minorHAnsi"/>
          <w:sz w:val="22"/>
          <w:szCs w:val="22"/>
        </w:rPr>
        <w:t>Ma</w:t>
      </w:r>
      <w:r w:rsidR="00020BAB">
        <w:rPr>
          <w:rFonts w:asciiTheme="minorHAnsi" w:hAnsiTheme="minorHAnsi" w:cstheme="minorHAnsi"/>
          <w:sz w:val="22"/>
          <w:szCs w:val="22"/>
        </w:rPr>
        <w:t>cène</w:t>
      </w:r>
      <w:proofErr w:type="spellEnd"/>
      <w:r w:rsidR="00020BAB">
        <w:rPr>
          <w:rFonts w:asciiTheme="minorHAnsi" w:hAnsiTheme="minorHAnsi" w:cstheme="minorHAnsi"/>
          <w:sz w:val="22"/>
          <w:szCs w:val="22"/>
        </w:rPr>
        <w:t xml:space="preserve"> ont bénéficié d’un FRD 2012 pour l’équipement de 22 824 309</w:t>
      </w:r>
      <w:r w:rsidRPr="00F030BE">
        <w:rPr>
          <w:rFonts w:asciiTheme="minorHAnsi" w:hAnsiTheme="minorHAnsi" w:cstheme="minorHAnsi"/>
          <w:sz w:val="22"/>
          <w:szCs w:val="22"/>
        </w:rPr>
        <w:t xml:space="preserve"> </w:t>
      </w:r>
      <w:r w:rsidR="00020BAB">
        <w:rPr>
          <w:rFonts w:asciiTheme="minorHAnsi" w:hAnsiTheme="minorHAnsi" w:cstheme="minorHAnsi"/>
          <w:sz w:val="22"/>
          <w:szCs w:val="22"/>
        </w:rPr>
        <w:t>MRO (+16,67 % par rapport à 2011). Elles ont engagé 22 922 356</w:t>
      </w:r>
      <w:r w:rsidRPr="00F030BE">
        <w:rPr>
          <w:rFonts w:asciiTheme="minorHAnsi" w:hAnsiTheme="minorHAnsi" w:cstheme="minorHAnsi"/>
          <w:sz w:val="22"/>
          <w:szCs w:val="22"/>
        </w:rPr>
        <w:t xml:space="preserve"> MRO pour la réalisation de </w:t>
      </w:r>
      <w:r w:rsidR="00020BAB">
        <w:rPr>
          <w:rFonts w:asciiTheme="minorHAnsi" w:hAnsiTheme="minorHAnsi" w:cstheme="minorHAnsi"/>
          <w:b/>
          <w:sz w:val="22"/>
          <w:szCs w:val="22"/>
        </w:rPr>
        <w:t>58</w:t>
      </w:r>
      <w:r w:rsidRPr="00473AF2">
        <w:rPr>
          <w:rFonts w:asciiTheme="minorHAnsi" w:hAnsiTheme="minorHAnsi" w:cstheme="minorHAnsi"/>
          <w:b/>
          <w:sz w:val="22"/>
          <w:szCs w:val="22"/>
        </w:rPr>
        <w:t xml:space="preserve"> projets</w:t>
      </w:r>
      <w:r w:rsidRPr="00F030BE">
        <w:rPr>
          <w:rFonts w:asciiTheme="minorHAnsi" w:hAnsiTheme="minorHAnsi" w:cstheme="minorHAnsi"/>
          <w:sz w:val="22"/>
          <w:szCs w:val="22"/>
        </w:rPr>
        <w:t xml:space="preserve">, soit un </w:t>
      </w:r>
      <w:r w:rsidR="00020BAB">
        <w:rPr>
          <w:rFonts w:asciiTheme="minorHAnsi" w:hAnsiTheme="minorHAnsi" w:cstheme="minorHAnsi"/>
          <w:b/>
          <w:sz w:val="22"/>
          <w:szCs w:val="22"/>
        </w:rPr>
        <w:t>taux d’absorption de 100,43</w:t>
      </w:r>
      <w:r w:rsidRPr="00F030BE">
        <w:rPr>
          <w:rFonts w:asciiTheme="minorHAnsi" w:hAnsiTheme="minorHAnsi" w:cstheme="minorHAnsi"/>
          <w:b/>
          <w:sz w:val="22"/>
          <w:szCs w:val="22"/>
        </w:rPr>
        <w:t xml:space="preserve"> %.</w:t>
      </w:r>
      <w:r w:rsidR="00020BAB">
        <w:rPr>
          <w:rFonts w:asciiTheme="minorHAnsi" w:hAnsiTheme="minorHAnsi" w:cstheme="minorHAnsi"/>
          <w:b/>
          <w:sz w:val="22"/>
          <w:szCs w:val="22"/>
        </w:rPr>
        <w:t xml:space="preserve"> </w:t>
      </w:r>
      <w:r w:rsidRPr="00F030BE">
        <w:rPr>
          <w:rFonts w:asciiTheme="minorHAnsi" w:hAnsiTheme="minorHAnsi" w:cstheme="minorHAnsi"/>
          <w:sz w:val="22"/>
          <w:szCs w:val="22"/>
        </w:rPr>
        <w:t>Un taux satisfais</w:t>
      </w:r>
      <w:r w:rsidR="00020BAB">
        <w:rPr>
          <w:rFonts w:asciiTheme="minorHAnsi" w:hAnsiTheme="minorHAnsi" w:cstheme="minorHAnsi"/>
          <w:sz w:val="22"/>
          <w:szCs w:val="22"/>
        </w:rPr>
        <w:t xml:space="preserve">ant et stable </w:t>
      </w:r>
      <w:r w:rsidRPr="00F030BE">
        <w:rPr>
          <w:rFonts w:asciiTheme="minorHAnsi" w:hAnsiTheme="minorHAnsi" w:cstheme="minorHAnsi"/>
          <w:sz w:val="22"/>
          <w:szCs w:val="22"/>
        </w:rPr>
        <w:t>depuis 2009.</w:t>
      </w:r>
    </w:p>
    <w:p w:rsidR="00074C50" w:rsidRDefault="00074C50" w:rsidP="00074C50">
      <w:pPr>
        <w:jc w:val="both"/>
        <w:rPr>
          <w:rFonts w:asciiTheme="minorHAnsi" w:hAnsiTheme="minorHAnsi" w:cstheme="minorHAnsi"/>
          <w:b/>
          <w:sz w:val="22"/>
          <w:szCs w:val="22"/>
        </w:rPr>
      </w:pPr>
      <w:r w:rsidRPr="007E7B29">
        <w:rPr>
          <w:noProof/>
        </w:rPr>
        <w:drawing>
          <wp:inline distT="0" distB="0" distL="0" distR="0">
            <wp:extent cx="3400425" cy="3581400"/>
            <wp:effectExtent l="19050" t="0" r="9525" b="0"/>
            <wp:docPr id="265"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6" cstate="print"/>
                    <a:stretch>
                      <a:fillRect/>
                    </a:stretch>
                  </pic:blipFill>
                  <pic:spPr>
                    <a:xfrm>
                      <a:off x="0" y="0"/>
                      <a:ext cx="3400425" cy="3581400"/>
                    </a:xfrm>
                    <a:prstGeom prst="rect">
                      <a:avLst/>
                    </a:prstGeom>
                  </pic:spPr>
                </pic:pic>
              </a:graphicData>
            </a:graphic>
          </wp:inline>
        </w:drawing>
      </w:r>
      <w:r w:rsidRPr="00805D38">
        <w:rPr>
          <w:rFonts w:asciiTheme="minorHAnsi" w:hAnsiTheme="minorHAnsi" w:cstheme="minorHAnsi"/>
          <w:b/>
          <w:noProof/>
          <w:sz w:val="22"/>
          <w:szCs w:val="22"/>
        </w:rPr>
        <w:drawing>
          <wp:inline distT="0" distB="0" distL="0" distR="0">
            <wp:extent cx="3162300" cy="3581400"/>
            <wp:effectExtent l="19050" t="0" r="0" b="0"/>
            <wp:docPr id="266"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7" cstate="print"/>
                    <a:stretch>
                      <a:fillRect/>
                    </a:stretch>
                  </pic:blipFill>
                  <pic:spPr>
                    <a:xfrm>
                      <a:off x="0" y="0"/>
                      <a:ext cx="3161905" cy="3580953"/>
                    </a:xfrm>
                    <a:prstGeom prst="rect">
                      <a:avLst/>
                    </a:prstGeom>
                  </pic:spPr>
                </pic:pic>
              </a:graphicData>
            </a:graphic>
          </wp:inline>
        </w:drawing>
      </w:r>
    </w:p>
    <w:p w:rsidR="007B7D54" w:rsidRDefault="007B7D54" w:rsidP="00074C50">
      <w:pPr>
        <w:jc w:val="both"/>
        <w:rPr>
          <w:rFonts w:asciiTheme="minorHAnsi" w:hAnsiTheme="minorHAnsi" w:cstheme="minorHAnsi"/>
          <w:b/>
          <w:sz w:val="22"/>
          <w:szCs w:val="22"/>
        </w:rPr>
      </w:pPr>
      <w:r w:rsidRPr="007B7D54">
        <w:rPr>
          <w:noProof/>
          <w:szCs w:val="22"/>
        </w:rPr>
        <w:drawing>
          <wp:inline distT="0" distB="0" distL="0" distR="0">
            <wp:extent cx="6634759" cy="2009775"/>
            <wp:effectExtent l="19050" t="0" r="0" b="0"/>
            <wp:docPr id="84" name="Imag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98" cstate="print"/>
                    <a:srcRect/>
                    <a:stretch>
                      <a:fillRect/>
                    </a:stretch>
                  </pic:blipFill>
                  <pic:spPr bwMode="auto">
                    <a:xfrm>
                      <a:off x="0" y="0"/>
                      <a:ext cx="6645910" cy="2013153"/>
                    </a:xfrm>
                    <a:prstGeom prst="rect">
                      <a:avLst/>
                    </a:prstGeom>
                    <a:noFill/>
                    <a:ln w="9525">
                      <a:noFill/>
                      <a:miter lim="800000"/>
                      <a:headEnd/>
                      <a:tailEnd/>
                    </a:ln>
                  </pic:spPr>
                </pic:pic>
              </a:graphicData>
            </a:graphic>
          </wp:inline>
        </w:drawing>
      </w:r>
    </w:p>
    <w:p w:rsidR="007B7D54" w:rsidRDefault="007B7D54" w:rsidP="00074C50">
      <w:pPr>
        <w:jc w:val="both"/>
        <w:rPr>
          <w:rFonts w:asciiTheme="minorHAnsi" w:hAnsiTheme="minorHAnsi" w:cstheme="minorHAnsi"/>
          <w:b/>
          <w:sz w:val="22"/>
          <w:szCs w:val="22"/>
        </w:rPr>
      </w:pPr>
    </w:p>
    <w:p w:rsidR="007B7D54" w:rsidRPr="009E60A2" w:rsidRDefault="007B7D54" w:rsidP="007B7D54">
      <w:pPr>
        <w:jc w:val="both"/>
        <w:rPr>
          <w:rFonts w:asciiTheme="minorHAnsi" w:hAnsiTheme="minorHAnsi" w:cstheme="minorHAnsi"/>
        </w:rPr>
      </w:pPr>
      <w:r w:rsidRPr="009E60A2">
        <w:rPr>
          <w:rFonts w:asciiTheme="minorHAnsi" w:hAnsiTheme="minorHAnsi" w:cstheme="minorHAnsi"/>
        </w:rPr>
        <w:t xml:space="preserve">Le montant moyen de l’investissement est en régression du fait de l’augmentation du nombre de projets en 2012 : 49 à 58. Ainsi, on peut véritablement parler ici de parcellisation : 430 649 MRO en 2011 pour descendre à 395 213 MRO en 2012. </w:t>
      </w:r>
    </w:p>
    <w:p w:rsidR="007B7D54" w:rsidRDefault="007B7D54" w:rsidP="007B7D54">
      <w:pPr>
        <w:jc w:val="both"/>
        <w:rPr>
          <w:rFonts w:asciiTheme="minorHAnsi" w:hAnsiTheme="minorHAnsi" w:cstheme="minorHAnsi"/>
        </w:rPr>
      </w:pPr>
      <w:r>
        <w:rPr>
          <w:rFonts w:asciiTheme="minorHAnsi" w:hAnsiTheme="minorHAnsi" w:cstheme="minorHAnsi"/>
        </w:rPr>
        <w:t>L’hydraulique, avec 25 projets pour 11 549 678 MRO, arrive en première position (50,39% des engagements).</w:t>
      </w:r>
    </w:p>
    <w:p w:rsidR="007B7D54" w:rsidRDefault="007B7D54" w:rsidP="007B7D54">
      <w:pPr>
        <w:jc w:val="both"/>
        <w:rPr>
          <w:rFonts w:asciiTheme="minorHAnsi" w:hAnsiTheme="minorHAnsi" w:cstheme="minorHAnsi"/>
        </w:rPr>
      </w:pPr>
      <w:r>
        <w:rPr>
          <w:rFonts w:asciiTheme="minorHAnsi" w:hAnsiTheme="minorHAnsi" w:cstheme="minorHAnsi"/>
        </w:rPr>
        <w:t>Les bâtiments communaux, en deuxième position, eu égard au 18,54% des engagements que ce secteur représente en 2012. 10 projets pour 4 250 000 MRO.</w:t>
      </w:r>
    </w:p>
    <w:p w:rsidR="007B7D54" w:rsidRDefault="007B7D54" w:rsidP="007B7D54">
      <w:pPr>
        <w:jc w:val="both"/>
        <w:rPr>
          <w:rFonts w:asciiTheme="minorHAnsi" w:hAnsiTheme="minorHAnsi" w:cstheme="minorHAnsi"/>
        </w:rPr>
      </w:pPr>
      <w:r>
        <w:rPr>
          <w:rFonts w:asciiTheme="minorHAnsi" w:hAnsiTheme="minorHAnsi" w:cstheme="minorHAnsi"/>
        </w:rPr>
        <w:t>Enfin, en troisième position, le secteur de l’éducation avec 6 projets pour 1 548 000 MRO, soit 6,75% des engagements.</w:t>
      </w:r>
    </w:p>
    <w:p w:rsidR="007B7D54" w:rsidRPr="00F030BE" w:rsidRDefault="007B7D54" w:rsidP="00074C50">
      <w:pPr>
        <w:jc w:val="both"/>
        <w:rPr>
          <w:rFonts w:asciiTheme="minorHAnsi" w:hAnsiTheme="minorHAnsi" w:cstheme="minorHAnsi"/>
          <w:b/>
          <w:sz w:val="22"/>
          <w:szCs w:val="22"/>
        </w:rPr>
      </w:pPr>
    </w:p>
    <w:p w:rsidR="00074C50" w:rsidRDefault="00074C50" w:rsidP="00074C50">
      <w:pPr>
        <w:jc w:val="both"/>
        <w:rPr>
          <w:rFonts w:asciiTheme="minorHAnsi" w:hAnsiTheme="minorHAnsi" w:cstheme="minorHAnsi"/>
          <w:b/>
          <w:sz w:val="22"/>
          <w:szCs w:val="22"/>
        </w:rPr>
      </w:pPr>
      <w:r w:rsidRPr="00805D38">
        <w:rPr>
          <w:rFonts w:asciiTheme="minorHAnsi" w:hAnsiTheme="minorHAnsi" w:cstheme="minorHAnsi"/>
          <w:b/>
          <w:noProof/>
          <w:sz w:val="22"/>
          <w:szCs w:val="22"/>
        </w:rPr>
        <w:drawing>
          <wp:inline distT="0" distB="0" distL="0" distR="0">
            <wp:extent cx="6638924" cy="2495550"/>
            <wp:effectExtent l="19050" t="0" r="0" b="0"/>
            <wp:docPr id="267"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9" cstate="print"/>
                    <a:stretch>
                      <a:fillRect/>
                    </a:stretch>
                  </pic:blipFill>
                  <pic:spPr>
                    <a:xfrm>
                      <a:off x="0" y="0"/>
                      <a:ext cx="6638096" cy="2495239"/>
                    </a:xfrm>
                    <a:prstGeom prst="rect">
                      <a:avLst/>
                    </a:prstGeom>
                  </pic:spPr>
                </pic:pic>
              </a:graphicData>
            </a:graphic>
          </wp:inline>
        </w:drawing>
      </w:r>
    </w:p>
    <w:p w:rsidR="00074C50" w:rsidRPr="003530A1" w:rsidRDefault="003530A1" w:rsidP="00074C50">
      <w:pPr>
        <w:jc w:val="both"/>
        <w:rPr>
          <w:rFonts w:asciiTheme="minorHAnsi" w:hAnsiTheme="minorHAnsi" w:cstheme="minorHAnsi"/>
          <w:b/>
          <w:sz w:val="22"/>
          <w:szCs w:val="22"/>
        </w:rPr>
      </w:pPr>
      <w:r w:rsidRPr="003530A1">
        <w:rPr>
          <w:noProof/>
        </w:rPr>
        <w:drawing>
          <wp:inline distT="0" distB="0" distL="0" distR="0">
            <wp:extent cx="6638925" cy="2495550"/>
            <wp:effectExtent l="19050" t="0" r="9525" b="0"/>
            <wp:docPr id="294"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0" cstate="print"/>
                    <a:stretch>
                      <a:fillRect/>
                    </a:stretch>
                  </pic:blipFill>
                  <pic:spPr>
                    <a:xfrm>
                      <a:off x="0" y="0"/>
                      <a:ext cx="6638925" cy="2495550"/>
                    </a:xfrm>
                    <a:prstGeom prst="rect">
                      <a:avLst/>
                    </a:prstGeom>
                  </pic:spPr>
                </pic:pic>
              </a:graphicData>
            </a:graphic>
          </wp:inline>
        </w:drawing>
      </w:r>
    </w:p>
    <w:p w:rsidR="0019066F" w:rsidRDefault="0019066F">
      <w:pPr>
        <w:spacing w:after="200" w:line="276" w:lineRule="auto"/>
        <w:rPr>
          <w:rFonts w:asciiTheme="minorHAnsi" w:hAnsiTheme="minorHAnsi" w:cstheme="minorHAnsi"/>
        </w:rPr>
      </w:pPr>
      <w:r>
        <w:rPr>
          <w:rFonts w:asciiTheme="minorHAnsi" w:hAnsiTheme="minorHAnsi" w:cstheme="minorHAnsi"/>
        </w:rPr>
        <w:br w:type="page"/>
      </w:r>
    </w:p>
    <w:p w:rsidR="0019066F" w:rsidRDefault="001246CD" w:rsidP="0019066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2D050"/>
        <w:rPr>
          <w:rFonts w:asciiTheme="minorHAnsi" w:hAnsiTheme="minorHAnsi" w:cstheme="minorHAnsi"/>
          <w:b/>
          <w:smallCaps/>
          <w:sz w:val="28"/>
          <w:szCs w:val="28"/>
        </w:rPr>
      </w:pPr>
      <w:r>
        <w:rPr>
          <w:rFonts w:asciiTheme="minorHAnsi" w:hAnsiTheme="minorHAnsi" w:cstheme="minorHAnsi"/>
          <w:b/>
          <w:smallCaps/>
          <w:sz w:val="28"/>
          <w:szCs w:val="28"/>
        </w:rPr>
        <w:t>Wilaya</w:t>
      </w:r>
      <w:r w:rsidR="0019066F">
        <w:rPr>
          <w:rFonts w:asciiTheme="minorHAnsi" w:hAnsiTheme="minorHAnsi" w:cstheme="minorHAnsi"/>
          <w:b/>
          <w:smallCaps/>
          <w:sz w:val="28"/>
          <w:szCs w:val="28"/>
        </w:rPr>
        <w:t xml:space="preserve"> de l’Adrar</w:t>
      </w:r>
    </w:p>
    <w:p w:rsidR="0019066F" w:rsidRDefault="0019066F" w:rsidP="0019066F">
      <w:pPr>
        <w:jc w:val="both"/>
        <w:rPr>
          <w:rFonts w:asciiTheme="minorHAnsi" w:hAnsiTheme="minorHAnsi" w:cstheme="minorHAnsi"/>
        </w:rPr>
      </w:pPr>
    </w:p>
    <w:p w:rsidR="00EC14A7" w:rsidRDefault="00EC14A7" w:rsidP="0019066F">
      <w:pPr>
        <w:jc w:val="both"/>
        <w:rPr>
          <w:rFonts w:asciiTheme="minorHAnsi" w:hAnsiTheme="minorHAnsi" w:cstheme="minorHAnsi"/>
        </w:rPr>
      </w:pPr>
      <w:r w:rsidRPr="00EC14A7">
        <w:rPr>
          <w:noProof/>
        </w:rPr>
        <w:drawing>
          <wp:inline distT="0" distB="0" distL="0" distR="0">
            <wp:extent cx="6645910" cy="2486025"/>
            <wp:effectExtent l="19050" t="0" r="2540" b="0"/>
            <wp:docPr id="269"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1" cstate="print"/>
                    <a:stretch>
                      <a:fillRect/>
                    </a:stretch>
                  </pic:blipFill>
                  <pic:spPr>
                    <a:xfrm>
                      <a:off x="0" y="0"/>
                      <a:ext cx="6652426" cy="2488462"/>
                    </a:xfrm>
                    <a:prstGeom prst="rect">
                      <a:avLst/>
                    </a:prstGeom>
                  </pic:spPr>
                </pic:pic>
              </a:graphicData>
            </a:graphic>
          </wp:inline>
        </w:drawing>
      </w:r>
    </w:p>
    <w:p w:rsidR="00EC14A7" w:rsidRDefault="00EC14A7" w:rsidP="0019066F">
      <w:pPr>
        <w:jc w:val="both"/>
        <w:rPr>
          <w:rFonts w:asciiTheme="minorHAnsi" w:hAnsiTheme="minorHAnsi" w:cstheme="minorHAnsi"/>
        </w:rPr>
      </w:pPr>
    </w:p>
    <w:p w:rsidR="0019066F" w:rsidRPr="00CD417D" w:rsidRDefault="0019066F" w:rsidP="0019066F">
      <w:pPr>
        <w:jc w:val="both"/>
        <w:rPr>
          <w:rFonts w:asciiTheme="minorHAnsi" w:hAnsiTheme="minorHAnsi" w:cstheme="minorHAnsi"/>
          <w:sz w:val="22"/>
          <w:szCs w:val="22"/>
        </w:rPr>
      </w:pPr>
      <w:r w:rsidRPr="00CD417D">
        <w:rPr>
          <w:rFonts w:asciiTheme="minorHAnsi" w:hAnsiTheme="minorHAnsi" w:cstheme="minorHAnsi"/>
          <w:sz w:val="22"/>
          <w:szCs w:val="22"/>
        </w:rPr>
        <w:t xml:space="preserve">La </w:t>
      </w:r>
      <w:r w:rsidR="001246CD">
        <w:rPr>
          <w:rFonts w:asciiTheme="minorHAnsi" w:hAnsiTheme="minorHAnsi" w:cstheme="minorHAnsi"/>
          <w:sz w:val="22"/>
          <w:szCs w:val="22"/>
        </w:rPr>
        <w:t>Wilaya</w:t>
      </w:r>
      <w:r w:rsidRPr="00CD417D">
        <w:rPr>
          <w:rFonts w:asciiTheme="minorHAnsi" w:hAnsiTheme="minorHAnsi" w:cstheme="minorHAnsi"/>
          <w:sz w:val="22"/>
          <w:szCs w:val="22"/>
        </w:rPr>
        <w:t xml:space="preserve"> de l’Adrar </w:t>
      </w:r>
      <w:r w:rsidR="009027EE">
        <w:rPr>
          <w:rFonts w:asciiTheme="minorHAnsi" w:hAnsiTheme="minorHAnsi" w:cstheme="minorHAnsi"/>
          <w:sz w:val="22"/>
          <w:szCs w:val="22"/>
        </w:rPr>
        <w:t>a bénéficié pour l’exercice 2012</w:t>
      </w:r>
      <w:r w:rsidRPr="00CD417D">
        <w:rPr>
          <w:rFonts w:asciiTheme="minorHAnsi" w:hAnsiTheme="minorHAnsi" w:cstheme="minorHAnsi"/>
          <w:sz w:val="22"/>
          <w:szCs w:val="22"/>
        </w:rPr>
        <w:t xml:space="preserve"> d’un FRD équipement de </w:t>
      </w:r>
      <w:r w:rsidR="009027EE">
        <w:rPr>
          <w:rFonts w:asciiTheme="minorHAnsi" w:hAnsiTheme="minorHAnsi" w:cstheme="minorHAnsi"/>
          <w:b/>
          <w:sz w:val="22"/>
          <w:szCs w:val="22"/>
        </w:rPr>
        <w:t>56 547 997</w:t>
      </w:r>
      <w:r w:rsidRPr="00CD417D">
        <w:rPr>
          <w:rFonts w:asciiTheme="minorHAnsi" w:hAnsiTheme="minorHAnsi" w:cstheme="minorHAnsi"/>
          <w:b/>
          <w:sz w:val="22"/>
          <w:szCs w:val="22"/>
        </w:rPr>
        <w:t xml:space="preserve"> </w:t>
      </w:r>
      <w:proofErr w:type="gramStart"/>
      <w:r w:rsidR="004871EA">
        <w:rPr>
          <w:rFonts w:asciiTheme="minorHAnsi" w:hAnsiTheme="minorHAnsi" w:cstheme="minorHAnsi"/>
          <w:b/>
          <w:sz w:val="22"/>
          <w:szCs w:val="22"/>
        </w:rPr>
        <w:t>ouguiya</w:t>
      </w:r>
      <w:proofErr w:type="gramEnd"/>
      <w:r w:rsidRPr="00CD417D">
        <w:rPr>
          <w:rFonts w:asciiTheme="minorHAnsi" w:hAnsiTheme="minorHAnsi" w:cstheme="minorHAnsi"/>
          <w:sz w:val="22"/>
          <w:szCs w:val="22"/>
        </w:rPr>
        <w:t xml:space="preserve">, soit une hausse de </w:t>
      </w:r>
      <w:r w:rsidR="009027EE">
        <w:rPr>
          <w:rFonts w:asciiTheme="minorHAnsi" w:hAnsiTheme="minorHAnsi" w:cstheme="minorHAnsi"/>
          <w:b/>
          <w:sz w:val="22"/>
          <w:szCs w:val="22"/>
        </w:rPr>
        <w:t>13,76</w:t>
      </w:r>
      <w:r w:rsidRPr="00CD417D">
        <w:rPr>
          <w:rFonts w:asciiTheme="minorHAnsi" w:hAnsiTheme="minorHAnsi" w:cstheme="minorHAnsi"/>
          <w:b/>
          <w:sz w:val="22"/>
          <w:szCs w:val="22"/>
        </w:rPr>
        <w:t xml:space="preserve"> %</w:t>
      </w:r>
      <w:r w:rsidR="00D56958">
        <w:rPr>
          <w:rFonts w:asciiTheme="minorHAnsi" w:hAnsiTheme="minorHAnsi" w:cstheme="minorHAnsi"/>
          <w:b/>
          <w:sz w:val="22"/>
          <w:szCs w:val="22"/>
        </w:rPr>
        <w:t xml:space="preserve"> </w:t>
      </w:r>
      <w:r w:rsidR="00D56958">
        <w:rPr>
          <w:rFonts w:asciiTheme="minorHAnsi" w:hAnsiTheme="minorHAnsi" w:cstheme="minorHAnsi"/>
          <w:sz w:val="22"/>
          <w:szCs w:val="22"/>
        </w:rPr>
        <w:t>(bien en-deçà des</w:t>
      </w:r>
      <w:r w:rsidR="00D56958" w:rsidRPr="00D56958">
        <w:rPr>
          <w:rFonts w:asciiTheme="minorHAnsi" w:hAnsiTheme="minorHAnsi" w:cstheme="minorHAnsi"/>
          <w:sz w:val="22"/>
          <w:szCs w:val="22"/>
        </w:rPr>
        <w:t xml:space="preserve"> 16,67% </w:t>
      </w:r>
      <w:r w:rsidR="00D56958">
        <w:rPr>
          <w:rFonts w:asciiTheme="minorHAnsi" w:hAnsiTheme="minorHAnsi" w:cstheme="minorHAnsi"/>
          <w:sz w:val="22"/>
          <w:szCs w:val="22"/>
        </w:rPr>
        <w:t xml:space="preserve">constatés </w:t>
      </w:r>
      <w:r w:rsidR="00D56958" w:rsidRPr="00D56958">
        <w:rPr>
          <w:rFonts w:asciiTheme="minorHAnsi" w:hAnsiTheme="minorHAnsi" w:cstheme="minorHAnsi"/>
          <w:sz w:val="22"/>
          <w:szCs w:val="22"/>
        </w:rPr>
        <w:t>au niveau national)</w:t>
      </w:r>
      <w:r w:rsidRPr="00CD417D">
        <w:rPr>
          <w:rFonts w:asciiTheme="minorHAnsi" w:hAnsiTheme="minorHAnsi" w:cstheme="minorHAnsi"/>
          <w:b/>
          <w:sz w:val="22"/>
          <w:szCs w:val="22"/>
        </w:rPr>
        <w:t>.</w:t>
      </w:r>
      <w:r w:rsidR="009027EE">
        <w:rPr>
          <w:rFonts w:asciiTheme="minorHAnsi" w:hAnsiTheme="minorHAnsi" w:cstheme="minorHAnsi"/>
          <w:sz w:val="22"/>
          <w:szCs w:val="22"/>
        </w:rPr>
        <w:t xml:space="preserve"> 51 558 094 </w:t>
      </w:r>
      <w:proofErr w:type="gramStart"/>
      <w:r w:rsidR="004871EA">
        <w:rPr>
          <w:rFonts w:asciiTheme="minorHAnsi" w:hAnsiTheme="minorHAnsi" w:cstheme="minorHAnsi"/>
          <w:sz w:val="22"/>
          <w:szCs w:val="22"/>
        </w:rPr>
        <w:t>ouguiya</w:t>
      </w:r>
      <w:proofErr w:type="gramEnd"/>
      <w:r w:rsidR="009027EE">
        <w:rPr>
          <w:rFonts w:asciiTheme="minorHAnsi" w:hAnsiTheme="minorHAnsi" w:cstheme="minorHAnsi"/>
          <w:sz w:val="22"/>
          <w:szCs w:val="22"/>
        </w:rPr>
        <w:t xml:space="preserve"> ont été engagés en 2012</w:t>
      </w:r>
      <w:r w:rsidRPr="00CD417D">
        <w:rPr>
          <w:rFonts w:asciiTheme="minorHAnsi" w:hAnsiTheme="minorHAnsi" w:cstheme="minorHAnsi"/>
          <w:sz w:val="22"/>
          <w:szCs w:val="22"/>
        </w:rPr>
        <w:t xml:space="preserve">, soit un </w:t>
      </w:r>
      <w:r w:rsidR="009027EE">
        <w:rPr>
          <w:rFonts w:asciiTheme="minorHAnsi" w:hAnsiTheme="minorHAnsi" w:cstheme="minorHAnsi"/>
          <w:b/>
          <w:sz w:val="22"/>
          <w:szCs w:val="22"/>
        </w:rPr>
        <w:t>taux d’absorption de 91,18</w:t>
      </w:r>
      <w:r w:rsidRPr="00CD417D">
        <w:rPr>
          <w:rFonts w:asciiTheme="minorHAnsi" w:hAnsiTheme="minorHAnsi" w:cstheme="minorHAnsi"/>
          <w:b/>
          <w:sz w:val="22"/>
          <w:szCs w:val="22"/>
        </w:rPr>
        <w:t xml:space="preserve"> %</w:t>
      </w:r>
      <w:r w:rsidRPr="00CD417D">
        <w:rPr>
          <w:rFonts w:asciiTheme="minorHAnsi" w:hAnsiTheme="minorHAnsi" w:cstheme="minorHAnsi"/>
          <w:sz w:val="22"/>
          <w:szCs w:val="22"/>
        </w:rPr>
        <w:t xml:space="preserve">. </w:t>
      </w:r>
    </w:p>
    <w:p w:rsidR="0019066F" w:rsidRDefault="00D40A7D" w:rsidP="0019066F">
      <w:pPr>
        <w:jc w:val="both"/>
        <w:rPr>
          <w:rFonts w:asciiTheme="minorHAnsi" w:hAnsiTheme="minorHAnsi" w:cstheme="minorHAnsi"/>
          <w:sz w:val="22"/>
          <w:szCs w:val="22"/>
          <w:shd w:val="clear" w:color="auto" w:fill="92D050"/>
        </w:rPr>
      </w:pPr>
      <w:r w:rsidRPr="00260725">
        <w:rPr>
          <w:rFonts w:asciiTheme="minorHAnsi" w:hAnsiTheme="minorHAnsi" w:cstheme="minorHAnsi"/>
          <w:sz w:val="22"/>
          <w:szCs w:val="22"/>
        </w:rPr>
        <w:t xml:space="preserve">Les </w:t>
      </w:r>
      <w:proofErr w:type="spellStart"/>
      <w:r w:rsidR="001246CD">
        <w:rPr>
          <w:rFonts w:asciiTheme="minorHAnsi" w:hAnsiTheme="minorHAnsi" w:cstheme="minorHAnsi"/>
          <w:sz w:val="22"/>
          <w:szCs w:val="22"/>
        </w:rPr>
        <w:t>Moughataas</w:t>
      </w:r>
      <w:proofErr w:type="spellEnd"/>
      <w:r w:rsidRPr="00260725">
        <w:rPr>
          <w:rFonts w:asciiTheme="minorHAnsi" w:hAnsiTheme="minorHAnsi" w:cstheme="minorHAnsi"/>
          <w:sz w:val="22"/>
          <w:szCs w:val="22"/>
        </w:rPr>
        <w:t xml:space="preserve"> de </w:t>
      </w:r>
      <w:proofErr w:type="spellStart"/>
      <w:r w:rsidRPr="00260725">
        <w:rPr>
          <w:rFonts w:asciiTheme="minorHAnsi" w:hAnsiTheme="minorHAnsi" w:cstheme="minorHAnsi"/>
          <w:sz w:val="22"/>
          <w:szCs w:val="22"/>
        </w:rPr>
        <w:t>Chinguity</w:t>
      </w:r>
      <w:proofErr w:type="spellEnd"/>
      <w:r w:rsidRPr="00260725">
        <w:rPr>
          <w:rFonts w:asciiTheme="minorHAnsi" w:hAnsiTheme="minorHAnsi" w:cstheme="minorHAnsi"/>
          <w:sz w:val="22"/>
          <w:szCs w:val="22"/>
        </w:rPr>
        <w:t xml:space="preserve"> et de </w:t>
      </w:r>
      <w:proofErr w:type="spellStart"/>
      <w:r w:rsidRPr="00260725">
        <w:rPr>
          <w:rFonts w:asciiTheme="minorHAnsi" w:hAnsiTheme="minorHAnsi" w:cstheme="minorHAnsi"/>
          <w:sz w:val="22"/>
          <w:szCs w:val="22"/>
        </w:rPr>
        <w:t>Wadane</w:t>
      </w:r>
      <w:proofErr w:type="spellEnd"/>
      <w:r w:rsidRPr="00260725">
        <w:rPr>
          <w:rFonts w:asciiTheme="minorHAnsi" w:hAnsiTheme="minorHAnsi" w:cstheme="minorHAnsi"/>
          <w:sz w:val="22"/>
          <w:szCs w:val="22"/>
        </w:rPr>
        <w:t xml:space="preserve"> avec seulement 6,84% et 9,68% d’augmentation de leurs crédits FRD, très en deçà la moyenne nationale, ont subi des corrections en ce qui concerne l’attribution de leur part pour l’exercice 2012</w:t>
      </w:r>
      <w:r w:rsidR="00260725" w:rsidRPr="00260725">
        <w:rPr>
          <w:rFonts w:asciiTheme="minorHAnsi" w:hAnsiTheme="minorHAnsi" w:cstheme="minorHAnsi"/>
          <w:sz w:val="22"/>
          <w:szCs w:val="22"/>
        </w:rPr>
        <w:t>. En effet</w:t>
      </w:r>
      <w:r w:rsidR="00260725">
        <w:rPr>
          <w:rFonts w:asciiTheme="minorHAnsi" w:hAnsiTheme="minorHAnsi" w:cstheme="minorHAnsi"/>
          <w:sz w:val="22"/>
          <w:szCs w:val="22"/>
        </w:rPr>
        <w:t xml:space="preserve">, les deux </w:t>
      </w:r>
      <w:proofErr w:type="spellStart"/>
      <w:r w:rsidR="001246CD">
        <w:rPr>
          <w:rFonts w:asciiTheme="minorHAnsi" w:hAnsiTheme="minorHAnsi" w:cstheme="minorHAnsi"/>
          <w:sz w:val="22"/>
          <w:szCs w:val="22"/>
        </w:rPr>
        <w:t>Moughataas</w:t>
      </w:r>
      <w:proofErr w:type="spellEnd"/>
      <w:r w:rsidR="00260725">
        <w:rPr>
          <w:rFonts w:asciiTheme="minorHAnsi" w:hAnsiTheme="minorHAnsi" w:cstheme="minorHAnsi"/>
          <w:sz w:val="22"/>
          <w:szCs w:val="22"/>
        </w:rPr>
        <w:t xml:space="preserve"> ont perçu par erreur des montants bien supérieurs à ceux auxquels elles auraient dû avoir droit (pour mémoire</w:t>
      </w:r>
      <w:r w:rsidR="00CF003F">
        <w:rPr>
          <w:rFonts w:asciiTheme="minorHAnsi" w:hAnsiTheme="minorHAnsi" w:cstheme="minorHAnsi"/>
          <w:sz w:val="22"/>
          <w:szCs w:val="22"/>
        </w:rPr>
        <w:t xml:space="preserve">, +35,5% et +31,97% </w:t>
      </w:r>
      <w:r w:rsidR="00566854">
        <w:rPr>
          <w:rFonts w:asciiTheme="minorHAnsi" w:hAnsiTheme="minorHAnsi" w:cstheme="minorHAnsi"/>
          <w:sz w:val="22"/>
          <w:szCs w:val="22"/>
        </w:rPr>
        <w:t xml:space="preserve">en 2011 </w:t>
      </w:r>
      <w:r w:rsidR="00CF003F">
        <w:rPr>
          <w:rFonts w:asciiTheme="minorHAnsi" w:hAnsiTheme="minorHAnsi" w:cstheme="minorHAnsi"/>
          <w:sz w:val="22"/>
          <w:szCs w:val="22"/>
        </w:rPr>
        <w:t>alors que la moyenne nationale était de 23,64%).</w:t>
      </w:r>
    </w:p>
    <w:p w:rsidR="00D40A7D" w:rsidRDefault="00D40A7D" w:rsidP="0019066F">
      <w:pPr>
        <w:jc w:val="both"/>
        <w:rPr>
          <w:rFonts w:asciiTheme="minorHAnsi" w:hAnsiTheme="minorHAnsi" w:cstheme="minorHAnsi"/>
          <w:sz w:val="22"/>
          <w:szCs w:val="22"/>
        </w:rPr>
      </w:pPr>
    </w:p>
    <w:p w:rsidR="0019066F" w:rsidRDefault="0019066F" w:rsidP="0019066F">
      <w:pPr>
        <w:jc w:val="both"/>
        <w:rPr>
          <w:rFonts w:asciiTheme="minorHAnsi" w:hAnsiTheme="minorHAnsi" w:cstheme="minorHAnsi"/>
          <w:sz w:val="22"/>
          <w:szCs w:val="22"/>
        </w:rPr>
      </w:pPr>
      <w:r w:rsidRPr="009F033B">
        <w:rPr>
          <w:noProof/>
          <w:szCs w:val="22"/>
        </w:rPr>
        <w:drawing>
          <wp:inline distT="0" distB="0" distL="0" distR="0">
            <wp:extent cx="6645910" cy="2314575"/>
            <wp:effectExtent l="19050" t="0" r="2540" b="0"/>
            <wp:docPr id="271"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2" cstate="print"/>
                    <a:srcRect/>
                    <a:stretch>
                      <a:fillRect/>
                    </a:stretch>
                  </pic:blipFill>
                  <pic:spPr bwMode="auto">
                    <a:xfrm>
                      <a:off x="0" y="0"/>
                      <a:ext cx="6645910" cy="2314575"/>
                    </a:xfrm>
                    <a:prstGeom prst="rect">
                      <a:avLst/>
                    </a:prstGeom>
                    <a:noFill/>
                    <a:ln w="9525">
                      <a:noFill/>
                      <a:miter lim="800000"/>
                      <a:headEnd/>
                      <a:tailEnd/>
                    </a:ln>
                  </pic:spPr>
                </pic:pic>
              </a:graphicData>
            </a:graphic>
          </wp:inline>
        </w:drawing>
      </w:r>
    </w:p>
    <w:p w:rsidR="008A0267" w:rsidRPr="00CD417D" w:rsidRDefault="008A0267" w:rsidP="008A0267">
      <w:pPr>
        <w:jc w:val="both"/>
        <w:rPr>
          <w:rFonts w:asciiTheme="minorHAnsi" w:hAnsiTheme="minorHAnsi" w:cstheme="minorHAnsi"/>
          <w:sz w:val="22"/>
          <w:szCs w:val="22"/>
        </w:rPr>
      </w:pPr>
      <w:r w:rsidRPr="00CD417D">
        <w:rPr>
          <w:rFonts w:asciiTheme="minorHAnsi" w:hAnsiTheme="minorHAnsi" w:cstheme="minorHAnsi"/>
          <w:sz w:val="22"/>
          <w:szCs w:val="22"/>
        </w:rPr>
        <w:t xml:space="preserve">Il s’agit d’un taux </w:t>
      </w:r>
      <w:r w:rsidR="004B29BF">
        <w:rPr>
          <w:rFonts w:asciiTheme="minorHAnsi" w:hAnsiTheme="minorHAnsi" w:cstheme="minorHAnsi"/>
          <w:sz w:val="22"/>
          <w:szCs w:val="22"/>
        </w:rPr>
        <w:t xml:space="preserve">presque </w:t>
      </w:r>
      <w:r w:rsidRPr="00CD417D">
        <w:rPr>
          <w:rFonts w:asciiTheme="minorHAnsi" w:hAnsiTheme="minorHAnsi" w:cstheme="minorHAnsi"/>
          <w:sz w:val="22"/>
          <w:szCs w:val="22"/>
        </w:rPr>
        <w:t>satisfaisant</w:t>
      </w:r>
      <w:r w:rsidR="004B29BF">
        <w:rPr>
          <w:rFonts w:asciiTheme="minorHAnsi" w:hAnsiTheme="minorHAnsi" w:cstheme="minorHAnsi"/>
          <w:sz w:val="22"/>
          <w:szCs w:val="22"/>
        </w:rPr>
        <w:t>, légèrement en-deçà de la moyenne nationale</w:t>
      </w:r>
      <w:r w:rsidR="0087038A">
        <w:rPr>
          <w:rFonts w:asciiTheme="minorHAnsi" w:hAnsiTheme="minorHAnsi" w:cstheme="minorHAnsi"/>
          <w:sz w:val="22"/>
          <w:szCs w:val="22"/>
        </w:rPr>
        <w:t>. Une</w:t>
      </w:r>
      <w:r w:rsidR="004B29BF">
        <w:rPr>
          <w:rFonts w:asciiTheme="minorHAnsi" w:hAnsiTheme="minorHAnsi" w:cstheme="minorHAnsi"/>
          <w:sz w:val="22"/>
          <w:szCs w:val="22"/>
        </w:rPr>
        <w:t xml:space="preserve"> </w:t>
      </w:r>
      <w:r w:rsidR="0087038A">
        <w:rPr>
          <w:rFonts w:asciiTheme="minorHAnsi" w:hAnsiTheme="minorHAnsi" w:cstheme="minorHAnsi"/>
          <w:sz w:val="22"/>
          <w:szCs w:val="22"/>
        </w:rPr>
        <w:t xml:space="preserve">régression par rapport à </w:t>
      </w:r>
      <w:proofErr w:type="spellStart"/>
      <w:r w:rsidR="0087038A">
        <w:rPr>
          <w:rFonts w:asciiTheme="minorHAnsi" w:hAnsiTheme="minorHAnsi" w:cstheme="minorHAnsi"/>
          <w:sz w:val="22"/>
          <w:szCs w:val="22"/>
        </w:rPr>
        <w:t>c</w:t>
      </w:r>
      <w:r w:rsidR="004B29BF">
        <w:rPr>
          <w:rFonts w:asciiTheme="minorHAnsi" w:hAnsiTheme="minorHAnsi" w:cstheme="minorHAnsi"/>
          <w:sz w:val="22"/>
          <w:szCs w:val="22"/>
        </w:rPr>
        <w:t>à</w:t>
      </w:r>
      <w:proofErr w:type="spellEnd"/>
      <w:r w:rsidR="004B29BF">
        <w:rPr>
          <w:rFonts w:asciiTheme="minorHAnsi" w:hAnsiTheme="minorHAnsi" w:cstheme="minorHAnsi"/>
          <w:sz w:val="22"/>
          <w:szCs w:val="22"/>
        </w:rPr>
        <w:t xml:space="preserve"> l’exercice 2011, qui est imputable pour partie à l’augmentation de 13,76% des crédits alloués au titre de 2012.</w:t>
      </w:r>
    </w:p>
    <w:p w:rsidR="0019066F" w:rsidRDefault="0019066F" w:rsidP="0019066F">
      <w:pPr>
        <w:jc w:val="both"/>
        <w:rPr>
          <w:rFonts w:asciiTheme="minorHAnsi" w:hAnsiTheme="minorHAnsi" w:cstheme="minorHAnsi"/>
          <w:sz w:val="22"/>
          <w:szCs w:val="22"/>
        </w:rPr>
      </w:pPr>
    </w:p>
    <w:p w:rsidR="0019066F" w:rsidRDefault="0019066F" w:rsidP="0019066F">
      <w:pPr>
        <w:jc w:val="both"/>
        <w:rPr>
          <w:rFonts w:asciiTheme="minorHAnsi" w:hAnsiTheme="minorHAnsi" w:cstheme="minorHAnsi"/>
          <w:sz w:val="22"/>
          <w:szCs w:val="22"/>
        </w:rPr>
      </w:pPr>
      <w:r w:rsidRPr="00685610">
        <w:rPr>
          <w:noProof/>
          <w:szCs w:val="22"/>
        </w:rPr>
        <w:drawing>
          <wp:inline distT="0" distB="0" distL="0" distR="0">
            <wp:extent cx="6645910" cy="1857375"/>
            <wp:effectExtent l="19050" t="0" r="2540" b="0"/>
            <wp:docPr id="272"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03" cstate="print"/>
                    <a:srcRect/>
                    <a:stretch>
                      <a:fillRect/>
                    </a:stretch>
                  </pic:blipFill>
                  <pic:spPr bwMode="auto">
                    <a:xfrm>
                      <a:off x="0" y="0"/>
                      <a:ext cx="6645910" cy="1857375"/>
                    </a:xfrm>
                    <a:prstGeom prst="rect">
                      <a:avLst/>
                    </a:prstGeom>
                    <a:noFill/>
                    <a:ln w="9525">
                      <a:noFill/>
                      <a:miter lim="800000"/>
                      <a:headEnd/>
                      <a:tailEnd/>
                    </a:ln>
                  </pic:spPr>
                </pic:pic>
              </a:graphicData>
            </a:graphic>
          </wp:inline>
        </w:drawing>
      </w:r>
    </w:p>
    <w:p w:rsidR="0019066F" w:rsidRPr="00CD417D" w:rsidRDefault="004B29BF" w:rsidP="0019066F">
      <w:pPr>
        <w:jc w:val="both"/>
        <w:rPr>
          <w:rFonts w:asciiTheme="minorHAnsi" w:hAnsiTheme="minorHAnsi" w:cstheme="minorHAnsi"/>
          <w:sz w:val="22"/>
          <w:szCs w:val="22"/>
        </w:rPr>
      </w:pPr>
      <w:r>
        <w:rPr>
          <w:rFonts w:asciiTheme="minorHAnsi" w:hAnsiTheme="minorHAnsi" w:cstheme="minorHAnsi"/>
          <w:sz w:val="22"/>
          <w:szCs w:val="22"/>
        </w:rPr>
        <w:t>Ces engagements financiers 2012</w:t>
      </w:r>
      <w:r w:rsidR="0019066F" w:rsidRPr="00CD417D">
        <w:rPr>
          <w:rFonts w:asciiTheme="minorHAnsi" w:hAnsiTheme="minorHAnsi" w:cstheme="minorHAnsi"/>
          <w:sz w:val="22"/>
          <w:szCs w:val="22"/>
        </w:rPr>
        <w:t xml:space="preserve"> correspondent à </w:t>
      </w:r>
      <w:r>
        <w:rPr>
          <w:rFonts w:asciiTheme="minorHAnsi" w:hAnsiTheme="minorHAnsi" w:cstheme="minorHAnsi"/>
          <w:b/>
          <w:sz w:val="22"/>
          <w:szCs w:val="22"/>
        </w:rPr>
        <w:t>39</w:t>
      </w:r>
      <w:r w:rsidR="0019066F" w:rsidRPr="00CD417D">
        <w:rPr>
          <w:rFonts w:asciiTheme="minorHAnsi" w:hAnsiTheme="minorHAnsi" w:cstheme="minorHAnsi"/>
          <w:b/>
          <w:sz w:val="22"/>
          <w:szCs w:val="22"/>
        </w:rPr>
        <w:t xml:space="preserve"> projets</w:t>
      </w:r>
      <w:r w:rsidR="0019066F" w:rsidRPr="00CD417D">
        <w:rPr>
          <w:rFonts w:asciiTheme="minorHAnsi" w:hAnsiTheme="minorHAnsi" w:cstheme="minorHAnsi"/>
          <w:sz w:val="22"/>
          <w:szCs w:val="22"/>
        </w:rPr>
        <w:t>. Il s’ag</w:t>
      </w:r>
      <w:r>
        <w:rPr>
          <w:rFonts w:asciiTheme="minorHAnsi" w:hAnsiTheme="minorHAnsi" w:cstheme="minorHAnsi"/>
          <w:sz w:val="22"/>
          <w:szCs w:val="22"/>
        </w:rPr>
        <w:t xml:space="preserve">it d’un chiffre en baisse </w:t>
      </w:r>
      <w:r w:rsidR="003320D6">
        <w:rPr>
          <w:rFonts w:asciiTheme="minorHAnsi" w:hAnsiTheme="minorHAnsi" w:cstheme="minorHAnsi"/>
          <w:sz w:val="22"/>
          <w:szCs w:val="22"/>
        </w:rPr>
        <w:t xml:space="preserve">de </w:t>
      </w:r>
      <w:r w:rsidR="00CF080F">
        <w:rPr>
          <w:rFonts w:asciiTheme="minorHAnsi" w:hAnsiTheme="minorHAnsi" w:cstheme="minorHAnsi"/>
          <w:sz w:val="22"/>
          <w:szCs w:val="22"/>
        </w:rPr>
        <w:t>plus de 42 % (-</w:t>
      </w:r>
      <w:r>
        <w:rPr>
          <w:rFonts w:asciiTheme="minorHAnsi" w:hAnsiTheme="minorHAnsi" w:cstheme="minorHAnsi"/>
          <w:sz w:val="22"/>
          <w:szCs w:val="22"/>
        </w:rPr>
        <w:t>29</w:t>
      </w:r>
      <w:r w:rsidR="0019066F" w:rsidRPr="00CD417D">
        <w:rPr>
          <w:rFonts w:asciiTheme="minorHAnsi" w:hAnsiTheme="minorHAnsi" w:cstheme="minorHAnsi"/>
          <w:sz w:val="22"/>
          <w:szCs w:val="22"/>
        </w:rPr>
        <w:t xml:space="preserve"> unités). Cette baisse du nombre de projets cumulée à l’accroissement du montant FRD donne </w:t>
      </w:r>
      <w:r w:rsidR="0019066F" w:rsidRPr="00CD417D">
        <w:rPr>
          <w:rFonts w:asciiTheme="minorHAnsi" w:hAnsiTheme="minorHAnsi" w:cstheme="minorHAnsi"/>
          <w:b/>
          <w:sz w:val="22"/>
          <w:szCs w:val="22"/>
        </w:rPr>
        <w:t>un montant moyen de l’investissement par projet</w:t>
      </w:r>
      <w:r w:rsidR="0019066F" w:rsidRPr="00CD417D">
        <w:rPr>
          <w:rFonts w:asciiTheme="minorHAnsi" w:hAnsiTheme="minorHAnsi" w:cstheme="minorHAnsi"/>
          <w:sz w:val="22"/>
          <w:szCs w:val="22"/>
        </w:rPr>
        <w:t xml:space="preserve"> en progression assez significative</w:t>
      </w:r>
      <w:r>
        <w:rPr>
          <w:rFonts w:asciiTheme="minorHAnsi" w:hAnsiTheme="minorHAnsi" w:cstheme="minorHAnsi"/>
          <w:sz w:val="22"/>
          <w:szCs w:val="22"/>
        </w:rPr>
        <w:t xml:space="preserve"> (+87%) : de 706 164 MRO en 2011, il passe à 1 322 002 MRO en 2012.</w:t>
      </w:r>
    </w:p>
    <w:p w:rsidR="0019066F" w:rsidRPr="00CD417D" w:rsidRDefault="0019066F" w:rsidP="0019066F">
      <w:pPr>
        <w:jc w:val="both"/>
        <w:rPr>
          <w:rFonts w:asciiTheme="minorHAnsi" w:hAnsiTheme="minorHAnsi" w:cstheme="minorHAnsi"/>
          <w:sz w:val="22"/>
          <w:szCs w:val="22"/>
        </w:rPr>
      </w:pPr>
    </w:p>
    <w:p w:rsidR="0019066F" w:rsidRPr="00CD417D" w:rsidRDefault="0019066F" w:rsidP="0019066F">
      <w:pPr>
        <w:jc w:val="both"/>
        <w:rPr>
          <w:rFonts w:asciiTheme="minorHAnsi" w:hAnsiTheme="minorHAnsi" w:cstheme="minorHAnsi"/>
          <w:sz w:val="22"/>
          <w:szCs w:val="22"/>
        </w:rPr>
      </w:pPr>
      <w:r w:rsidRPr="00CD417D">
        <w:rPr>
          <w:rFonts w:asciiTheme="minorHAnsi" w:hAnsiTheme="minorHAnsi" w:cstheme="minorHAnsi"/>
          <w:b/>
          <w:sz w:val="22"/>
          <w:szCs w:val="22"/>
        </w:rPr>
        <w:t>En termes de priorités d’investissement</w:t>
      </w:r>
      <w:r w:rsidRPr="00CD417D">
        <w:rPr>
          <w:rFonts w:asciiTheme="minorHAnsi" w:hAnsiTheme="minorHAnsi" w:cstheme="minorHAnsi"/>
          <w:sz w:val="22"/>
          <w:szCs w:val="22"/>
        </w:rPr>
        <w:t xml:space="preserve">, la </w:t>
      </w:r>
      <w:r w:rsidR="001246CD">
        <w:rPr>
          <w:rFonts w:asciiTheme="minorHAnsi" w:hAnsiTheme="minorHAnsi" w:cstheme="minorHAnsi"/>
          <w:sz w:val="22"/>
          <w:szCs w:val="22"/>
        </w:rPr>
        <w:t>Wilaya</w:t>
      </w:r>
      <w:r w:rsidRPr="00CD417D">
        <w:rPr>
          <w:rFonts w:asciiTheme="minorHAnsi" w:hAnsiTheme="minorHAnsi" w:cstheme="minorHAnsi"/>
          <w:sz w:val="22"/>
          <w:szCs w:val="22"/>
        </w:rPr>
        <w:t xml:space="preserve"> de l’Adrar se distingue en premier lieu par un investissement prioritaire dans le secteur des bâtiments communaux (</w:t>
      </w:r>
      <w:r w:rsidR="004B29BF">
        <w:rPr>
          <w:rFonts w:asciiTheme="minorHAnsi" w:hAnsiTheme="minorHAnsi" w:cstheme="minorHAnsi"/>
          <w:sz w:val="22"/>
          <w:szCs w:val="22"/>
        </w:rPr>
        <w:t xml:space="preserve">également </w:t>
      </w:r>
      <w:r w:rsidR="0087038A">
        <w:rPr>
          <w:rFonts w:asciiTheme="minorHAnsi" w:hAnsiTheme="minorHAnsi" w:cstheme="minorHAnsi"/>
          <w:sz w:val="22"/>
          <w:szCs w:val="22"/>
        </w:rPr>
        <w:t>en première position</w:t>
      </w:r>
      <w:r w:rsidR="004B29BF">
        <w:rPr>
          <w:rFonts w:asciiTheme="minorHAnsi" w:hAnsiTheme="minorHAnsi" w:cstheme="minorHAnsi"/>
          <w:sz w:val="22"/>
          <w:szCs w:val="22"/>
        </w:rPr>
        <w:t xml:space="preserve"> au niveau national</w:t>
      </w:r>
      <w:r w:rsidRPr="00CD417D">
        <w:rPr>
          <w:rFonts w:asciiTheme="minorHAnsi" w:hAnsiTheme="minorHAnsi" w:cstheme="minorHAnsi"/>
          <w:sz w:val="22"/>
          <w:szCs w:val="22"/>
        </w:rPr>
        <w:t>)</w:t>
      </w:r>
      <w:r w:rsidR="004B29BF">
        <w:rPr>
          <w:rFonts w:asciiTheme="minorHAnsi" w:hAnsiTheme="minorHAnsi" w:cstheme="minorHAnsi"/>
          <w:sz w:val="22"/>
          <w:szCs w:val="22"/>
        </w:rPr>
        <w:t xml:space="preserve"> à hauteur de 34,34% des engagements</w:t>
      </w:r>
      <w:r w:rsidR="0087038A">
        <w:rPr>
          <w:rFonts w:asciiTheme="minorHAnsi" w:hAnsiTheme="minorHAnsi" w:cstheme="minorHAnsi"/>
          <w:sz w:val="22"/>
          <w:szCs w:val="22"/>
        </w:rPr>
        <w:t>, soit 17 707 124 MRO pour 11 projets</w:t>
      </w:r>
      <w:r w:rsidRPr="00CD417D">
        <w:rPr>
          <w:rFonts w:asciiTheme="minorHAnsi" w:hAnsiTheme="minorHAnsi" w:cstheme="minorHAnsi"/>
          <w:sz w:val="22"/>
          <w:szCs w:val="22"/>
        </w:rPr>
        <w:t>. Viennent ensuite le</w:t>
      </w:r>
      <w:r>
        <w:rPr>
          <w:rFonts w:asciiTheme="minorHAnsi" w:hAnsiTheme="minorHAnsi" w:cstheme="minorHAnsi"/>
          <w:sz w:val="22"/>
          <w:szCs w:val="22"/>
        </w:rPr>
        <w:t>s</w:t>
      </w:r>
      <w:r w:rsidRPr="00CD417D">
        <w:rPr>
          <w:rFonts w:asciiTheme="minorHAnsi" w:hAnsiTheme="minorHAnsi" w:cstheme="minorHAnsi"/>
          <w:sz w:val="22"/>
          <w:szCs w:val="22"/>
        </w:rPr>
        <w:t xml:space="preserve"> secteur</w:t>
      </w:r>
      <w:r>
        <w:rPr>
          <w:rFonts w:asciiTheme="minorHAnsi" w:hAnsiTheme="minorHAnsi" w:cstheme="minorHAnsi"/>
          <w:sz w:val="22"/>
          <w:szCs w:val="22"/>
        </w:rPr>
        <w:t>s</w:t>
      </w:r>
      <w:r w:rsidR="0087038A">
        <w:rPr>
          <w:rFonts w:asciiTheme="minorHAnsi" w:hAnsiTheme="minorHAnsi" w:cstheme="minorHAnsi"/>
          <w:sz w:val="22"/>
          <w:szCs w:val="22"/>
        </w:rPr>
        <w:t xml:space="preserve"> de l’hydraulique pour 17,19% des engagements, soit 8 861 810 MRO devant être répartis entre 8 projets, et des transports (10</w:t>
      </w:r>
      <w:r w:rsidR="0087038A" w:rsidRPr="0087038A">
        <w:rPr>
          <w:rFonts w:asciiTheme="minorHAnsi" w:hAnsiTheme="minorHAnsi" w:cstheme="minorHAnsi"/>
          <w:sz w:val="22"/>
          <w:szCs w:val="22"/>
          <w:vertAlign w:val="superscript"/>
        </w:rPr>
        <w:t>ème</w:t>
      </w:r>
      <w:r w:rsidR="0087038A">
        <w:rPr>
          <w:rFonts w:asciiTheme="minorHAnsi" w:hAnsiTheme="minorHAnsi" w:cstheme="minorHAnsi"/>
          <w:sz w:val="22"/>
          <w:szCs w:val="22"/>
        </w:rPr>
        <w:t xml:space="preserve"> rang au niveau national) à hauteur de 17,07% des engagements (2 projets pour un montant total de 8 799 110 MRO).</w:t>
      </w:r>
    </w:p>
    <w:p w:rsidR="0019066F" w:rsidRPr="00CD417D" w:rsidRDefault="0019066F" w:rsidP="0019066F">
      <w:pPr>
        <w:jc w:val="both"/>
        <w:rPr>
          <w:rFonts w:asciiTheme="minorHAnsi" w:hAnsiTheme="minorHAnsi" w:cstheme="minorHAnsi"/>
          <w:sz w:val="22"/>
          <w:szCs w:val="22"/>
        </w:rPr>
      </w:pPr>
    </w:p>
    <w:p w:rsidR="0019066F" w:rsidRDefault="0019066F" w:rsidP="0019066F">
      <w:pPr>
        <w:jc w:val="both"/>
        <w:rPr>
          <w:rFonts w:asciiTheme="minorHAnsi" w:hAnsiTheme="minorHAnsi" w:cstheme="minorHAnsi"/>
          <w:sz w:val="22"/>
          <w:szCs w:val="22"/>
        </w:rPr>
      </w:pPr>
      <w:r w:rsidRPr="00EC3FC9">
        <w:rPr>
          <w:noProof/>
        </w:rPr>
        <w:drawing>
          <wp:inline distT="0" distB="0" distL="0" distR="0">
            <wp:extent cx="6200773" cy="2324100"/>
            <wp:effectExtent l="19050" t="0" r="0" b="0"/>
            <wp:docPr id="273"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4" cstate="print"/>
                    <a:stretch>
                      <a:fillRect/>
                    </a:stretch>
                  </pic:blipFill>
                  <pic:spPr>
                    <a:xfrm>
                      <a:off x="0" y="0"/>
                      <a:ext cx="6200001" cy="2323811"/>
                    </a:xfrm>
                    <a:prstGeom prst="rect">
                      <a:avLst/>
                    </a:prstGeom>
                  </pic:spPr>
                </pic:pic>
              </a:graphicData>
            </a:graphic>
          </wp:inline>
        </w:drawing>
      </w:r>
    </w:p>
    <w:p w:rsidR="0019066F" w:rsidRDefault="0019066F" w:rsidP="0019066F">
      <w:pPr>
        <w:jc w:val="both"/>
        <w:rPr>
          <w:rFonts w:asciiTheme="minorHAnsi" w:hAnsiTheme="minorHAnsi" w:cstheme="minorHAnsi"/>
        </w:rPr>
      </w:pPr>
    </w:p>
    <w:p w:rsidR="0019066F" w:rsidRDefault="0019066F" w:rsidP="0087038A">
      <w:pPr>
        <w:jc w:val="both"/>
        <w:rPr>
          <w:rFonts w:asciiTheme="minorHAnsi" w:hAnsiTheme="minorHAnsi" w:cstheme="minorHAnsi"/>
          <w:b/>
          <w:sz w:val="22"/>
          <w:szCs w:val="22"/>
          <w:u w:val="single"/>
        </w:rPr>
      </w:pPr>
      <w:r w:rsidRPr="0087038A">
        <w:rPr>
          <w:rFonts w:asciiTheme="minorHAnsi" w:hAnsiTheme="minorHAnsi" w:cstheme="minorHAnsi"/>
          <w:b/>
          <w:sz w:val="22"/>
          <w:szCs w:val="22"/>
          <w:u w:val="single"/>
        </w:rPr>
        <w:t xml:space="preserve">Analyse des données par </w:t>
      </w:r>
      <w:proofErr w:type="spellStart"/>
      <w:r w:rsidR="001246CD">
        <w:rPr>
          <w:rFonts w:asciiTheme="minorHAnsi" w:hAnsiTheme="minorHAnsi" w:cstheme="minorHAnsi"/>
          <w:b/>
          <w:sz w:val="22"/>
          <w:szCs w:val="22"/>
          <w:u w:val="single"/>
        </w:rPr>
        <w:t>Moughataa</w:t>
      </w:r>
      <w:proofErr w:type="spellEnd"/>
    </w:p>
    <w:p w:rsidR="0087038A" w:rsidRPr="0087038A" w:rsidRDefault="0087038A" w:rsidP="0087038A">
      <w:pPr>
        <w:jc w:val="both"/>
        <w:rPr>
          <w:rFonts w:asciiTheme="minorHAnsi" w:hAnsiTheme="minorHAnsi" w:cstheme="minorHAnsi"/>
          <w:b/>
          <w:sz w:val="22"/>
          <w:szCs w:val="22"/>
          <w:u w:val="single"/>
        </w:rPr>
      </w:pPr>
    </w:p>
    <w:p w:rsidR="0019066F" w:rsidRPr="00CD417D" w:rsidRDefault="001246CD" w:rsidP="0019066F">
      <w:pPr>
        <w:jc w:val="center"/>
        <w:rPr>
          <w:rFonts w:asciiTheme="minorHAnsi" w:hAnsiTheme="minorHAnsi" w:cstheme="minorHAnsi"/>
          <w:sz w:val="22"/>
          <w:szCs w:val="22"/>
          <w:u w:val="single"/>
        </w:rPr>
      </w:pPr>
      <w:proofErr w:type="spellStart"/>
      <w:r>
        <w:rPr>
          <w:rFonts w:asciiTheme="minorHAnsi" w:hAnsiTheme="minorHAnsi" w:cstheme="minorHAnsi"/>
          <w:b/>
          <w:sz w:val="22"/>
          <w:szCs w:val="22"/>
          <w:u w:val="single"/>
        </w:rPr>
        <w:t>Moughataa</w:t>
      </w:r>
      <w:proofErr w:type="spellEnd"/>
      <w:r w:rsidR="0019066F">
        <w:rPr>
          <w:rFonts w:asciiTheme="minorHAnsi" w:hAnsiTheme="minorHAnsi" w:cstheme="minorHAnsi"/>
          <w:b/>
          <w:sz w:val="22"/>
          <w:szCs w:val="22"/>
          <w:u w:val="single"/>
        </w:rPr>
        <w:t xml:space="preserve"> d’</w:t>
      </w:r>
      <w:r w:rsidR="0019066F" w:rsidRPr="00CD417D">
        <w:rPr>
          <w:rFonts w:asciiTheme="minorHAnsi" w:hAnsiTheme="minorHAnsi" w:cstheme="minorHAnsi"/>
          <w:b/>
          <w:sz w:val="22"/>
          <w:szCs w:val="22"/>
          <w:u w:val="single"/>
        </w:rPr>
        <w:t>Atar</w:t>
      </w:r>
    </w:p>
    <w:p w:rsidR="0019066F" w:rsidRPr="00CD417D" w:rsidRDefault="0019066F" w:rsidP="0019066F">
      <w:pPr>
        <w:jc w:val="both"/>
        <w:rPr>
          <w:rFonts w:asciiTheme="minorHAnsi" w:hAnsiTheme="minorHAnsi" w:cstheme="minorHAnsi"/>
          <w:sz w:val="22"/>
          <w:szCs w:val="22"/>
        </w:rPr>
      </w:pPr>
    </w:p>
    <w:p w:rsidR="0019066F" w:rsidRPr="00CD417D" w:rsidRDefault="0019066F" w:rsidP="0019066F">
      <w:pPr>
        <w:jc w:val="both"/>
        <w:rPr>
          <w:rFonts w:asciiTheme="minorHAnsi" w:hAnsiTheme="minorHAnsi" w:cstheme="minorHAnsi"/>
          <w:sz w:val="22"/>
          <w:szCs w:val="22"/>
        </w:rPr>
      </w:pPr>
      <w:r w:rsidRPr="00CD417D">
        <w:rPr>
          <w:rFonts w:asciiTheme="minorHAnsi" w:hAnsiTheme="minorHAnsi" w:cstheme="minorHAnsi"/>
          <w:sz w:val="22"/>
          <w:szCs w:val="22"/>
        </w:rPr>
        <w:t xml:space="preserve">Les communes de la </w:t>
      </w:r>
      <w:proofErr w:type="spellStart"/>
      <w:r w:rsidR="001246CD">
        <w:rPr>
          <w:rFonts w:asciiTheme="minorHAnsi" w:hAnsiTheme="minorHAnsi" w:cstheme="minorHAnsi"/>
          <w:sz w:val="22"/>
          <w:szCs w:val="22"/>
        </w:rPr>
        <w:t>Moughataa</w:t>
      </w:r>
      <w:proofErr w:type="spellEnd"/>
      <w:r w:rsidR="00CF080F">
        <w:rPr>
          <w:rFonts w:asciiTheme="minorHAnsi" w:hAnsiTheme="minorHAnsi" w:cstheme="minorHAnsi"/>
          <w:sz w:val="22"/>
          <w:szCs w:val="22"/>
        </w:rPr>
        <w:t xml:space="preserve"> d’</w:t>
      </w:r>
      <w:r w:rsidR="0087038A">
        <w:rPr>
          <w:rFonts w:asciiTheme="minorHAnsi" w:hAnsiTheme="minorHAnsi" w:cstheme="minorHAnsi"/>
          <w:sz w:val="22"/>
          <w:szCs w:val="22"/>
        </w:rPr>
        <w:t>Atar ont bénéficié d’un FRD 2012 pour l’équipement de 31 198 504 MRO (+15,43 % par rapport à 2011). Elles ont engagé 29 716 584</w:t>
      </w:r>
      <w:r w:rsidRPr="00CD417D">
        <w:rPr>
          <w:rFonts w:asciiTheme="minorHAnsi" w:hAnsiTheme="minorHAnsi" w:cstheme="minorHAnsi"/>
          <w:sz w:val="22"/>
          <w:szCs w:val="22"/>
        </w:rPr>
        <w:t xml:space="preserve"> MRO pour la réalisation de </w:t>
      </w:r>
      <w:r w:rsidR="00141176">
        <w:rPr>
          <w:rFonts w:asciiTheme="minorHAnsi" w:hAnsiTheme="minorHAnsi" w:cstheme="minorHAnsi"/>
          <w:b/>
          <w:sz w:val="22"/>
          <w:szCs w:val="22"/>
        </w:rPr>
        <w:t>12</w:t>
      </w:r>
      <w:r w:rsidRPr="004F5430">
        <w:rPr>
          <w:rFonts w:asciiTheme="minorHAnsi" w:hAnsiTheme="minorHAnsi" w:cstheme="minorHAnsi"/>
          <w:b/>
          <w:sz w:val="22"/>
          <w:szCs w:val="22"/>
        </w:rPr>
        <w:t xml:space="preserve"> projets</w:t>
      </w:r>
      <w:r w:rsidRPr="00CD417D">
        <w:rPr>
          <w:rFonts w:asciiTheme="minorHAnsi" w:hAnsiTheme="minorHAnsi" w:cstheme="minorHAnsi"/>
          <w:sz w:val="22"/>
          <w:szCs w:val="22"/>
        </w:rPr>
        <w:t xml:space="preserve">, soit un </w:t>
      </w:r>
      <w:r w:rsidR="00141176">
        <w:rPr>
          <w:rFonts w:asciiTheme="minorHAnsi" w:hAnsiTheme="minorHAnsi" w:cstheme="minorHAnsi"/>
          <w:b/>
          <w:sz w:val="22"/>
          <w:szCs w:val="22"/>
        </w:rPr>
        <w:t>taux d’absorption de 95,25</w:t>
      </w:r>
      <w:r w:rsidRPr="00CD417D">
        <w:rPr>
          <w:rFonts w:asciiTheme="minorHAnsi" w:hAnsiTheme="minorHAnsi" w:cstheme="minorHAnsi"/>
          <w:b/>
          <w:sz w:val="22"/>
          <w:szCs w:val="22"/>
        </w:rPr>
        <w:t xml:space="preserve"> %.</w:t>
      </w:r>
    </w:p>
    <w:p w:rsidR="0019066F" w:rsidRDefault="0019066F" w:rsidP="0019066F">
      <w:pPr>
        <w:jc w:val="both"/>
        <w:rPr>
          <w:rFonts w:asciiTheme="minorHAnsi" w:hAnsiTheme="minorHAnsi" w:cstheme="minorHAnsi"/>
          <w:sz w:val="22"/>
          <w:szCs w:val="22"/>
        </w:rPr>
      </w:pPr>
      <w:r w:rsidRPr="00187F22">
        <w:rPr>
          <w:noProof/>
        </w:rPr>
        <w:drawing>
          <wp:inline distT="0" distB="0" distL="0" distR="0">
            <wp:extent cx="3276600" cy="3381375"/>
            <wp:effectExtent l="19050" t="0" r="0" b="0"/>
            <wp:docPr id="274"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5" cstate="print"/>
                    <a:stretch>
                      <a:fillRect/>
                    </a:stretch>
                  </pic:blipFill>
                  <pic:spPr>
                    <a:xfrm>
                      <a:off x="0" y="0"/>
                      <a:ext cx="3276600" cy="3381375"/>
                    </a:xfrm>
                    <a:prstGeom prst="rect">
                      <a:avLst/>
                    </a:prstGeom>
                  </pic:spPr>
                </pic:pic>
              </a:graphicData>
            </a:graphic>
          </wp:inline>
        </w:drawing>
      </w:r>
      <w:r w:rsidRPr="00DE26AB">
        <w:rPr>
          <w:rFonts w:asciiTheme="minorHAnsi" w:hAnsiTheme="minorHAnsi" w:cstheme="minorHAnsi"/>
          <w:noProof/>
          <w:sz w:val="22"/>
          <w:szCs w:val="22"/>
        </w:rPr>
        <w:drawing>
          <wp:inline distT="0" distB="0" distL="0" distR="0">
            <wp:extent cx="3314700" cy="3381375"/>
            <wp:effectExtent l="19050" t="0" r="0" b="0"/>
            <wp:docPr id="275"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6" cstate="print"/>
                    <a:stretch>
                      <a:fillRect/>
                    </a:stretch>
                  </pic:blipFill>
                  <pic:spPr>
                    <a:xfrm>
                      <a:off x="0" y="0"/>
                      <a:ext cx="3314700" cy="3381375"/>
                    </a:xfrm>
                    <a:prstGeom prst="rect">
                      <a:avLst/>
                    </a:prstGeom>
                  </pic:spPr>
                </pic:pic>
              </a:graphicData>
            </a:graphic>
          </wp:inline>
        </w:drawing>
      </w:r>
    </w:p>
    <w:p w:rsidR="00B1048B" w:rsidRDefault="00B1048B" w:rsidP="0019066F">
      <w:pPr>
        <w:jc w:val="both"/>
        <w:rPr>
          <w:rFonts w:asciiTheme="minorHAnsi" w:hAnsiTheme="minorHAnsi" w:cstheme="minorHAnsi"/>
          <w:sz w:val="22"/>
          <w:szCs w:val="22"/>
        </w:rPr>
      </w:pPr>
      <w:r w:rsidRPr="00B1048B">
        <w:rPr>
          <w:noProof/>
          <w:szCs w:val="22"/>
        </w:rPr>
        <w:drawing>
          <wp:inline distT="0" distB="0" distL="0" distR="0">
            <wp:extent cx="6645910" cy="1323815"/>
            <wp:effectExtent l="19050" t="0" r="2540" b="0"/>
            <wp:docPr id="95" name="Imag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207" cstate="print"/>
                    <a:srcRect/>
                    <a:stretch>
                      <a:fillRect/>
                    </a:stretch>
                  </pic:blipFill>
                  <pic:spPr bwMode="auto">
                    <a:xfrm>
                      <a:off x="0" y="0"/>
                      <a:ext cx="6645910" cy="1323815"/>
                    </a:xfrm>
                    <a:prstGeom prst="rect">
                      <a:avLst/>
                    </a:prstGeom>
                    <a:noFill/>
                    <a:ln w="9525">
                      <a:noFill/>
                      <a:miter lim="800000"/>
                      <a:headEnd/>
                      <a:tailEnd/>
                    </a:ln>
                  </pic:spPr>
                </pic:pic>
              </a:graphicData>
            </a:graphic>
          </wp:inline>
        </w:drawing>
      </w:r>
    </w:p>
    <w:p w:rsidR="00B1048B" w:rsidRDefault="00B1048B" w:rsidP="00B1048B">
      <w:pPr>
        <w:jc w:val="both"/>
        <w:rPr>
          <w:rFonts w:asciiTheme="minorHAnsi" w:hAnsiTheme="minorHAnsi" w:cstheme="minorHAnsi"/>
          <w:sz w:val="22"/>
          <w:szCs w:val="22"/>
        </w:rPr>
      </w:pPr>
    </w:p>
    <w:p w:rsidR="00B1048B" w:rsidRPr="00CD417D" w:rsidRDefault="00B1048B" w:rsidP="00B1048B">
      <w:pPr>
        <w:jc w:val="both"/>
        <w:rPr>
          <w:rFonts w:asciiTheme="minorHAnsi" w:hAnsiTheme="minorHAnsi" w:cstheme="minorHAnsi"/>
          <w:sz w:val="22"/>
          <w:szCs w:val="22"/>
        </w:rPr>
      </w:pPr>
      <w:r w:rsidRPr="00CD417D">
        <w:rPr>
          <w:rFonts w:asciiTheme="minorHAnsi" w:hAnsiTheme="minorHAnsi" w:cstheme="minorHAnsi"/>
          <w:sz w:val="22"/>
          <w:szCs w:val="22"/>
        </w:rPr>
        <w:t xml:space="preserve">Le taux </w:t>
      </w:r>
      <w:r>
        <w:rPr>
          <w:rFonts w:asciiTheme="minorHAnsi" w:hAnsiTheme="minorHAnsi" w:cstheme="minorHAnsi"/>
          <w:sz w:val="22"/>
          <w:szCs w:val="22"/>
        </w:rPr>
        <w:t xml:space="preserve">d’absorption de la </w:t>
      </w:r>
      <w:proofErr w:type="spellStart"/>
      <w:r w:rsidR="001246CD">
        <w:rPr>
          <w:rFonts w:asciiTheme="minorHAnsi" w:hAnsiTheme="minorHAnsi" w:cstheme="minorHAnsi"/>
          <w:sz w:val="22"/>
          <w:szCs w:val="22"/>
        </w:rPr>
        <w:t>Moughataa</w:t>
      </w:r>
      <w:proofErr w:type="spellEnd"/>
      <w:r>
        <w:rPr>
          <w:rFonts w:asciiTheme="minorHAnsi" w:hAnsiTheme="minorHAnsi" w:cstheme="minorHAnsi"/>
          <w:sz w:val="22"/>
          <w:szCs w:val="22"/>
        </w:rPr>
        <w:t xml:space="preserve"> est satisfaisant, comparé à la moyenne nationale, d’autant qu’il est</w:t>
      </w:r>
      <w:r w:rsidRPr="00CD417D">
        <w:rPr>
          <w:rFonts w:asciiTheme="minorHAnsi" w:hAnsiTheme="minorHAnsi" w:cstheme="minorHAnsi"/>
          <w:sz w:val="22"/>
          <w:szCs w:val="22"/>
        </w:rPr>
        <w:t xml:space="preserve"> régulie</w:t>
      </w:r>
      <w:r>
        <w:rPr>
          <w:rFonts w:asciiTheme="minorHAnsi" w:hAnsiTheme="minorHAnsi" w:cstheme="minorHAnsi"/>
          <w:sz w:val="22"/>
          <w:szCs w:val="22"/>
        </w:rPr>
        <w:t>r, autour de 100% depuis 2010</w:t>
      </w:r>
      <w:r w:rsidRPr="00CD417D">
        <w:rPr>
          <w:rFonts w:asciiTheme="minorHAnsi" w:hAnsiTheme="minorHAnsi" w:cstheme="minorHAnsi"/>
          <w:sz w:val="22"/>
          <w:szCs w:val="22"/>
        </w:rPr>
        <w:t>.</w:t>
      </w:r>
    </w:p>
    <w:p w:rsidR="00B1048B" w:rsidRDefault="00B1048B" w:rsidP="00B1048B">
      <w:pPr>
        <w:jc w:val="both"/>
        <w:rPr>
          <w:rFonts w:asciiTheme="minorHAnsi" w:hAnsiTheme="minorHAnsi" w:cstheme="minorHAnsi"/>
          <w:sz w:val="22"/>
          <w:szCs w:val="22"/>
        </w:rPr>
      </w:pPr>
      <w:r>
        <w:rPr>
          <w:rFonts w:asciiTheme="minorHAnsi" w:hAnsiTheme="minorHAnsi" w:cstheme="minorHAnsi"/>
          <w:sz w:val="22"/>
          <w:szCs w:val="22"/>
        </w:rPr>
        <w:t xml:space="preserve">Le montant moyen par projet </w:t>
      </w:r>
      <w:r w:rsidRPr="00CD417D">
        <w:rPr>
          <w:rFonts w:asciiTheme="minorHAnsi" w:hAnsiTheme="minorHAnsi" w:cstheme="minorHAnsi"/>
          <w:sz w:val="22"/>
          <w:szCs w:val="22"/>
        </w:rPr>
        <w:t>est important, largement supérieur aux montants relevés aux niveaux régional et n</w:t>
      </w:r>
      <w:r>
        <w:rPr>
          <w:rFonts w:asciiTheme="minorHAnsi" w:hAnsiTheme="minorHAnsi" w:cstheme="minorHAnsi"/>
          <w:sz w:val="22"/>
          <w:szCs w:val="22"/>
        </w:rPr>
        <w:t>ational</w:t>
      </w:r>
      <w:r w:rsidR="006D05CE">
        <w:rPr>
          <w:rFonts w:asciiTheme="minorHAnsi" w:hAnsiTheme="minorHAnsi" w:cstheme="minorHAnsi"/>
          <w:sz w:val="22"/>
          <w:szCs w:val="22"/>
        </w:rPr>
        <w:t>,</w:t>
      </w:r>
      <w:r>
        <w:rPr>
          <w:rFonts w:asciiTheme="minorHAnsi" w:hAnsiTheme="minorHAnsi" w:cstheme="minorHAnsi"/>
          <w:sz w:val="22"/>
          <w:szCs w:val="22"/>
        </w:rPr>
        <w:t xml:space="preserve"> et progresse en 2012 : passant de 1 939 260 MRO à 2 476 382 MRO</w:t>
      </w:r>
      <w:r w:rsidRPr="00CD417D">
        <w:rPr>
          <w:rFonts w:asciiTheme="minorHAnsi" w:hAnsiTheme="minorHAnsi" w:cstheme="minorHAnsi"/>
          <w:sz w:val="22"/>
          <w:szCs w:val="22"/>
        </w:rPr>
        <w:t xml:space="preserve">. La </w:t>
      </w:r>
      <w:r>
        <w:rPr>
          <w:rFonts w:asciiTheme="minorHAnsi" w:hAnsiTheme="minorHAnsi" w:cstheme="minorHAnsi"/>
          <w:sz w:val="22"/>
          <w:szCs w:val="22"/>
        </w:rPr>
        <w:t xml:space="preserve">très légère </w:t>
      </w:r>
      <w:r w:rsidRPr="00CD417D">
        <w:rPr>
          <w:rFonts w:asciiTheme="minorHAnsi" w:hAnsiTheme="minorHAnsi" w:cstheme="minorHAnsi"/>
          <w:sz w:val="22"/>
          <w:szCs w:val="22"/>
        </w:rPr>
        <w:t>baisse du nombre de projet</w:t>
      </w:r>
      <w:r>
        <w:rPr>
          <w:rFonts w:asciiTheme="minorHAnsi" w:hAnsiTheme="minorHAnsi" w:cstheme="minorHAnsi"/>
          <w:sz w:val="22"/>
          <w:szCs w:val="22"/>
        </w:rPr>
        <w:t>s (passant de 14 à 12</w:t>
      </w:r>
      <w:r w:rsidRPr="00CD417D">
        <w:rPr>
          <w:rFonts w:asciiTheme="minorHAnsi" w:hAnsiTheme="minorHAnsi" w:cstheme="minorHAnsi"/>
          <w:sz w:val="22"/>
          <w:szCs w:val="22"/>
        </w:rPr>
        <w:t xml:space="preserve">) couplée à l’augmentation des crédits FRD </w:t>
      </w:r>
      <w:r>
        <w:rPr>
          <w:rFonts w:asciiTheme="minorHAnsi" w:hAnsiTheme="minorHAnsi" w:cstheme="minorHAnsi"/>
          <w:sz w:val="22"/>
          <w:szCs w:val="22"/>
        </w:rPr>
        <w:t>permet</w:t>
      </w:r>
      <w:r w:rsidRPr="00CD417D">
        <w:rPr>
          <w:rFonts w:asciiTheme="minorHAnsi" w:hAnsiTheme="minorHAnsi" w:cstheme="minorHAnsi"/>
          <w:sz w:val="22"/>
          <w:szCs w:val="22"/>
        </w:rPr>
        <w:t xml:space="preserve"> d’augmenter très significativement le montant moyen</w:t>
      </w:r>
      <w:r>
        <w:rPr>
          <w:rFonts w:asciiTheme="minorHAnsi" w:hAnsiTheme="minorHAnsi" w:cstheme="minorHAnsi"/>
          <w:sz w:val="22"/>
          <w:szCs w:val="22"/>
        </w:rPr>
        <w:t xml:space="preserve"> consacré à chaque projet (+ 28</w:t>
      </w:r>
      <w:r w:rsidRPr="00CD417D">
        <w:rPr>
          <w:rFonts w:asciiTheme="minorHAnsi" w:hAnsiTheme="minorHAnsi" w:cstheme="minorHAnsi"/>
          <w:sz w:val="22"/>
          <w:szCs w:val="22"/>
        </w:rPr>
        <w:t xml:space="preserve"> %). La parcellisation de l’investissement dans cette </w:t>
      </w:r>
      <w:proofErr w:type="spellStart"/>
      <w:r w:rsidR="001246CD">
        <w:rPr>
          <w:rFonts w:asciiTheme="minorHAnsi" w:hAnsiTheme="minorHAnsi" w:cstheme="minorHAnsi"/>
          <w:sz w:val="22"/>
          <w:szCs w:val="22"/>
        </w:rPr>
        <w:t>Moughataa</w:t>
      </w:r>
      <w:proofErr w:type="spellEnd"/>
      <w:r w:rsidRPr="00CD417D">
        <w:rPr>
          <w:rFonts w:asciiTheme="minorHAnsi" w:hAnsiTheme="minorHAnsi" w:cstheme="minorHAnsi"/>
          <w:sz w:val="22"/>
          <w:szCs w:val="22"/>
        </w:rPr>
        <w:t xml:space="preserve"> est donc limitée et en situation d’amélioration.</w:t>
      </w:r>
    </w:p>
    <w:p w:rsidR="00B1048B" w:rsidRPr="00CD417D" w:rsidRDefault="00B1048B" w:rsidP="00B1048B">
      <w:pPr>
        <w:jc w:val="both"/>
        <w:rPr>
          <w:rFonts w:asciiTheme="minorHAnsi" w:hAnsiTheme="minorHAnsi" w:cstheme="minorHAnsi"/>
          <w:sz w:val="22"/>
          <w:szCs w:val="22"/>
        </w:rPr>
      </w:pPr>
      <w:r>
        <w:rPr>
          <w:rFonts w:asciiTheme="minorHAnsi" w:hAnsiTheme="minorHAnsi" w:cstheme="minorHAnsi"/>
          <w:sz w:val="22"/>
          <w:szCs w:val="22"/>
        </w:rPr>
        <w:t>En termes de priorité d’investissement, le secteur des transports arrive en première position. Avec 29,61% des engagements correspondant à 8 799 110 MRO répartis en 2 projets.</w:t>
      </w:r>
    </w:p>
    <w:p w:rsidR="00B1048B" w:rsidRDefault="00B1048B" w:rsidP="00B1048B">
      <w:pPr>
        <w:jc w:val="both"/>
        <w:rPr>
          <w:rFonts w:asciiTheme="minorHAnsi" w:hAnsiTheme="minorHAnsi" w:cstheme="minorHAnsi"/>
          <w:sz w:val="22"/>
          <w:szCs w:val="22"/>
        </w:rPr>
      </w:pPr>
      <w:r>
        <w:rPr>
          <w:rFonts w:asciiTheme="minorHAnsi" w:hAnsiTheme="minorHAnsi" w:cstheme="minorHAnsi"/>
          <w:sz w:val="22"/>
          <w:szCs w:val="22"/>
        </w:rPr>
        <w:t>Ensuite, les bâtiments communaux à hauteur de 27,90% des engagements. Soit 8 291 714 MRO pour 2 projets.</w:t>
      </w:r>
    </w:p>
    <w:p w:rsidR="00B1048B" w:rsidRDefault="00B1048B" w:rsidP="00B1048B">
      <w:pPr>
        <w:jc w:val="both"/>
        <w:rPr>
          <w:rFonts w:asciiTheme="minorHAnsi" w:hAnsiTheme="minorHAnsi" w:cstheme="minorHAnsi"/>
          <w:sz w:val="22"/>
          <w:szCs w:val="22"/>
        </w:rPr>
      </w:pPr>
      <w:r>
        <w:rPr>
          <w:rFonts w:asciiTheme="minorHAnsi" w:hAnsiTheme="minorHAnsi" w:cstheme="minorHAnsi"/>
          <w:sz w:val="22"/>
          <w:szCs w:val="22"/>
        </w:rPr>
        <w:t>En troisième position, le secteur de l’éducation avec 4 projets dotés de 5 998 150 MRO, soit 20,18% des crédits engagés.</w:t>
      </w:r>
    </w:p>
    <w:p w:rsidR="00B1048B" w:rsidRDefault="00B1048B" w:rsidP="0019066F">
      <w:pPr>
        <w:jc w:val="both"/>
        <w:rPr>
          <w:rFonts w:asciiTheme="minorHAnsi" w:hAnsiTheme="minorHAnsi" w:cstheme="minorHAnsi"/>
          <w:sz w:val="22"/>
          <w:szCs w:val="22"/>
        </w:rPr>
      </w:pPr>
    </w:p>
    <w:p w:rsidR="00B1048B" w:rsidRPr="00CD417D" w:rsidRDefault="00B1048B" w:rsidP="0019066F">
      <w:pPr>
        <w:jc w:val="both"/>
        <w:rPr>
          <w:rFonts w:asciiTheme="minorHAnsi" w:hAnsiTheme="minorHAnsi" w:cstheme="minorHAnsi"/>
          <w:sz w:val="22"/>
          <w:szCs w:val="22"/>
        </w:rPr>
      </w:pPr>
    </w:p>
    <w:p w:rsidR="0019066F" w:rsidRPr="00566854" w:rsidRDefault="0019066F" w:rsidP="0019066F">
      <w:pPr>
        <w:jc w:val="both"/>
        <w:rPr>
          <w:rFonts w:asciiTheme="minorHAnsi" w:hAnsiTheme="minorHAnsi" w:cstheme="minorHAnsi"/>
          <w:sz w:val="22"/>
          <w:szCs w:val="22"/>
        </w:rPr>
      </w:pPr>
      <w:r w:rsidRPr="00362287">
        <w:rPr>
          <w:rFonts w:asciiTheme="minorHAnsi" w:hAnsiTheme="minorHAnsi" w:cstheme="minorHAnsi"/>
          <w:noProof/>
          <w:sz w:val="22"/>
          <w:szCs w:val="22"/>
        </w:rPr>
        <w:drawing>
          <wp:inline distT="0" distB="0" distL="0" distR="0">
            <wp:extent cx="6610350" cy="2447925"/>
            <wp:effectExtent l="19050" t="0" r="0" b="0"/>
            <wp:docPr id="276"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8" cstate="print"/>
                    <a:stretch>
                      <a:fillRect/>
                    </a:stretch>
                  </pic:blipFill>
                  <pic:spPr>
                    <a:xfrm>
                      <a:off x="0" y="0"/>
                      <a:ext cx="6609525" cy="2447620"/>
                    </a:xfrm>
                    <a:prstGeom prst="rect">
                      <a:avLst/>
                    </a:prstGeom>
                  </pic:spPr>
                </pic:pic>
              </a:graphicData>
            </a:graphic>
          </wp:inline>
        </w:drawing>
      </w:r>
    </w:p>
    <w:p w:rsidR="00C31677" w:rsidRPr="00CD417D" w:rsidRDefault="00566854" w:rsidP="0019066F">
      <w:pPr>
        <w:jc w:val="both"/>
        <w:rPr>
          <w:rFonts w:asciiTheme="minorHAnsi" w:hAnsiTheme="minorHAnsi" w:cstheme="minorHAnsi"/>
          <w:sz w:val="22"/>
          <w:szCs w:val="22"/>
        </w:rPr>
      </w:pPr>
      <w:r w:rsidRPr="00566854">
        <w:rPr>
          <w:noProof/>
        </w:rPr>
        <w:drawing>
          <wp:inline distT="0" distB="0" distL="0" distR="0">
            <wp:extent cx="6645910" cy="2819400"/>
            <wp:effectExtent l="19050" t="0" r="2540" b="0"/>
            <wp:docPr id="297"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9" cstate="print"/>
                    <a:stretch>
                      <a:fillRect/>
                    </a:stretch>
                  </pic:blipFill>
                  <pic:spPr>
                    <a:xfrm>
                      <a:off x="0" y="0"/>
                      <a:ext cx="6645910" cy="2819400"/>
                    </a:xfrm>
                    <a:prstGeom prst="rect">
                      <a:avLst/>
                    </a:prstGeom>
                  </pic:spPr>
                </pic:pic>
              </a:graphicData>
            </a:graphic>
          </wp:inline>
        </w:drawing>
      </w:r>
    </w:p>
    <w:p w:rsidR="00B1048B" w:rsidRDefault="00B1048B" w:rsidP="0019066F">
      <w:pPr>
        <w:jc w:val="center"/>
        <w:rPr>
          <w:rFonts w:asciiTheme="minorHAnsi" w:hAnsiTheme="minorHAnsi" w:cstheme="minorHAnsi"/>
          <w:b/>
          <w:sz w:val="22"/>
          <w:szCs w:val="22"/>
          <w:u w:val="single"/>
        </w:rPr>
      </w:pPr>
    </w:p>
    <w:p w:rsidR="0019066F" w:rsidRPr="00CD417D" w:rsidRDefault="001246CD" w:rsidP="0019066F">
      <w:pPr>
        <w:jc w:val="center"/>
        <w:rPr>
          <w:rFonts w:asciiTheme="minorHAnsi" w:hAnsiTheme="minorHAnsi" w:cstheme="minorHAnsi"/>
          <w:sz w:val="22"/>
          <w:szCs w:val="22"/>
          <w:u w:val="single"/>
        </w:rPr>
      </w:pPr>
      <w:proofErr w:type="spellStart"/>
      <w:r>
        <w:rPr>
          <w:rFonts w:asciiTheme="minorHAnsi" w:hAnsiTheme="minorHAnsi" w:cstheme="minorHAnsi"/>
          <w:b/>
          <w:sz w:val="22"/>
          <w:szCs w:val="22"/>
          <w:u w:val="single"/>
        </w:rPr>
        <w:t>Moughataa</w:t>
      </w:r>
      <w:proofErr w:type="spellEnd"/>
      <w:r w:rsidR="0019066F" w:rsidRPr="00CD417D">
        <w:rPr>
          <w:rFonts w:asciiTheme="minorHAnsi" w:hAnsiTheme="minorHAnsi" w:cstheme="minorHAnsi"/>
          <w:b/>
          <w:sz w:val="22"/>
          <w:szCs w:val="22"/>
          <w:u w:val="single"/>
        </w:rPr>
        <w:t xml:space="preserve"> de </w:t>
      </w:r>
      <w:proofErr w:type="spellStart"/>
      <w:r w:rsidR="0019066F" w:rsidRPr="00CD417D">
        <w:rPr>
          <w:rFonts w:asciiTheme="minorHAnsi" w:hAnsiTheme="minorHAnsi" w:cstheme="minorHAnsi"/>
          <w:b/>
          <w:sz w:val="22"/>
          <w:szCs w:val="22"/>
          <w:u w:val="single"/>
        </w:rPr>
        <w:t>Chinguity</w:t>
      </w:r>
      <w:proofErr w:type="spellEnd"/>
    </w:p>
    <w:p w:rsidR="0019066F" w:rsidRPr="00CD417D" w:rsidRDefault="0019066F" w:rsidP="0019066F">
      <w:pPr>
        <w:jc w:val="both"/>
        <w:rPr>
          <w:rFonts w:asciiTheme="minorHAnsi" w:hAnsiTheme="minorHAnsi" w:cstheme="minorHAnsi"/>
          <w:sz w:val="22"/>
          <w:szCs w:val="22"/>
        </w:rPr>
      </w:pPr>
    </w:p>
    <w:p w:rsidR="0019066F" w:rsidRPr="00CD417D" w:rsidRDefault="0019066F" w:rsidP="0019066F">
      <w:pPr>
        <w:jc w:val="both"/>
        <w:rPr>
          <w:rFonts w:asciiTheme="minorHAnsi" w:hAnsiTheme="minorHAnsi" w:cstheme="minorHAnsi"/>
          <w:sz w:val="22"/>
          <w:szCs w:val="22"/>
        </w:rPr>
      </w:pPr>
      <w:r w:rsidRPr="00CD417D">
        <w:rPr>
          <w:rFonts w:asciiTheme="minorHAnsi" w:hAnsiTheme="minorHAnsi" w:cstheme="minorHAnsi"/>
          <w:sz w:val="22"/>
          <w:szCs w:val="22"/>
        </w:rPr>
        <w:t xml:space="preserve">Les communes de la </w:t>
      </w:r>
      <w:proofErr w:type="spellStart"/>
      <w:r w:rsidR="001246CD">
        <w:rPr>
          <w:rFonts w:asciiTheme="minorHAnsi" w:hAnsiTheme="minorHAnsi" w:cstheme="minorHAnsi"/>
          <w:sz w:val="22"/>
          <w:szCs w:val="22"/>
        </w:rPr>
        <w:t>Moughataa</w:t>
      </w:r>
      <w:proofErr w:type="spellEnd"/>
      <w:r w:rsidRPr="00CD417D">
        <w:rPr>
          <w:rFonts w:asciiTheme="minorHAnsi" w:hAnsiTheme="minorHAnsi" w:cstheme="minorHAnsi"/>
          <w:sz w:val="22"/>
          <w:szCs w:val="22"/>
        </w:rPr>
        <w:t xml:space="preserve"> de </w:t>
      </w:r>
      <w:proofErr w:type="spellStart"/>
      <w:r w:rsidRPr="00CD417D">
        <w:rPr>
          <w:rFonts w:asciiTheme="minorHAnsi" w:hAnsiTheme="minorHAnsi" w:cstheme="minorHAnsi"/>
          <w:sz w:val="22"/>
          <w:szCs w:val="22"/>
        </w:rPr>
        <w:t>Ching</w:t>
      </w:r>
      <w:r w:rsidR="00C31677">
        <w:rPr>
          <w:rFonts w:asciiTheme="minorHAnsi" w:hAnsiTheme="minorHAnsi" w:cstheme="minorHAnsi"/>
          <w:sz w:val="22"/>
          <w:szCs w:val="22"/>
        </w:rPr>
        <w:t>uity</w:t>
      </w:r>
      <w:proofErr w:type="spellEnd"/>
      <w:r w:rsidR="00C31677">
        <w:rPr>
          <w:rFonts w:asciiTheme="minorHAnsi" w:hAnsiTheme="minorHAnsi" w:cstheme="minorHAnsi"/>
          <w:sz w:val="22"/>
          <w:szCs w:val="22"/>
        </w:rPr>
        <w:t xml:space="preserve"> ont bénéficié d’un FRD 2012 pour l’équipement de 5 662 076 MRO (+6,84 % par rapport à 2011). Elles ont engagé 4 667 918</w:t>
      </w:r>
      <w:r w:rsidRPr="00CD417D">
        <w:rPr>
          <w:rFonts w:asciiTheme="minorHAnsi" w:hAnsiTheme="minorHAnsi" w:cstheme="minorHAnsi"/>
          <w:sz w:val="22"/>
          <w:szCs w:val="22"/>
        </w:rPr>
        <w:t xml:space="preserve"> MRO pour la réalisation de </w:t>
      </w:r>
      <w:r w:rsidRPr="00A2170B">
        <w:rPr>
          <w:rFonts w:asciiTheme="minorHAnsi" w:hAnsiTheme="minorHAnsi" w:cstheme="minorHAnsi"/>
          <w:b/>
          <w:sz w:val="22"/>
          <w:szCs w:val="22"/>
        </w:rPr>
        <w:t>11 projets</w:t>
      </w:r>
      <w:r w:rsidRPr="00CD417D">
        <w:rPr>
          <w:rFonts w:asciiTheme="minorHAnsi" w:hAnsiTheme="minorHAnsi" w:cstheme="minorHAnsi"/>
          <w:sz w:val="22"/>
          <w:szCs w:val="22"/>
        </w:rPr>
        <w:t xml:space="preserve">, soit un </w:t>
      </w:r>
      <w:r w:rsidR="00C31677">
        <w:rPr>
          <w:rFonts w:asciiTheme="minorHAnsi" w:hAnsiTheme="minorHAnsi" w:cstheme="minorHAnsi"/>
          <w:b/>
          <w:sz w:val="22"/>
          <w:szCs w:val="22"/>
        </w:rPr>
        <w:t>taux d’absorption de 82,44</w:t>
      </w:r>
      <w:r w:rsidRPr="00CD417D">
        <w:rPr>
          <w:rFonts w:asciiTheme="minorHAnsi" w:hAnsiTheme="minorHAnsi" w:cstheme="minorHAnsi"/>
          <w:b/>
          <w:sz w:val="22"/>
          <w:szCs w:val="22"/>
        </w:rPr>
        <w:t xml:space="preserve"> %.</w:t>
      </w:r>
      <w:r w:rsidR="00C31677">
        <w:rPr>
          <w:rFonts w:asciiTheme="minorHAnsi" w:hAnsiTheme="minorHAnsi" w:cstheme="minorHAnsi"/>
          <w:b/>
          <w:sz w:val="22"/>
          <w:szCs w:val="22"/>
        </w:rPr>
        <w:t xml:space="preserve"> </w:t>
      </w:r>
    </w:p>
    <w:p w:rsidR="0019066F" w:rsidRPr="00CD417D" w:rsidRDefault="0019066F" w:rsidP="0019066F">
      <w:pPr>
        <w:jc w:val="both"/>
        <w:rPr>
          <w:rFonts w:asciiTheme="minorHAnsi" w:hAnsiTheme="minorHAnsi" w:cstheme="minorHAnsi"/>
          <w:b/>
          <w:sz w:val="22"/>
          <w:szCs w:val="22"/>
        </w:rPr>
      </w:pPr>
    </w:p>
    <w:p w:rsidR="0019066F" w:rsidRDefault="0019066F" w:rsidP="0019066F">
      <w:pPr>
        <w:jc w:val="both"/>
        <w:rPr>
          <w:rFonts w:asciiTheme="minorHAnsi" w:hAnsiTheme="minorHAnsi" w:cstheme="minorHAnsi"/>
          <w:b/>
          <w:sz w:val="22"/>
          <w:szCs w:val="22"/>
        </w:rPr>
      </w:pPr>
      <w:r w:rsidRPr="00557DF3">
        <w:rPr>
          <w:noProof/>
        </w:rPr>
        <w:drawing>
          <wp:inline distT="0" distB="0" distL="0" distR="0">
            <wp:extent cx="3238500" cy="4257675"/>
            <wp:effectExtent l="19050" t="0" r="0" b="0"/>
            <wp:docPr id="277"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0" cstate="print"/>
                    <a:stretch>
                      <a:fillRect/>
                    </a:stretch>
                  </pic:blipFill>
                  <pic:spPr>
                    <a:xfrm>
                      <a:off x="0" y="0"/>
                      <a:ext cx="3238096" cy="4257144"/>
                    </a:xfrm>
                    <a:prstGeom prst="rect">
                      <a:avLst/>
                    </a:prstGeom>
                  </pic:spPr>
                </pic:pic>
              </a:graphicData>
            </a:graphic>
          </wp:inline>
        </w:drawing>
      </w:r>
      <w:r w:rsidRPr="00DE26AB">
        <w:rPr>
          <w:rFonts w:asciiTheme="minorHAnsi" w:hAnsiTheme="minorHAnsi" w:cstheme="minorHAnsi"/>
          <w:b/>
          <w:noProof/>
          <w:sz w:val="22"/>
          <w:szCs w:val="22"/>
        </w:rPr>
        <w:drawing>
          <wp:inline distT="0" distB="0" distL="0" distR="0">
            <wp:extent cx="3286125" cy="4257675"/>
            <wp:effectExtent l="19050" t="0" r="9525" b="0"/>
            <wp:docPr id="279"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1" cstate="print"/>
                    <a:stretch>
                      <a:fillRect/>
                    </a:stretch>
                  </pic:blipFill>
                  <pic:spPr>
                    <a:xfrm>
                      <a:off x="0" y="0"/>
                      <a:ext cx="3285715" cy="4257144"/>
                    </a:xfrm>
                    <a:prstGeom prst="rect">
                      <a:avLst/>
                    </a:prstGeom>
                  </pic:spPr>
                </pic:pic>
              </a:graphicData>
            </a:graphic>
          </wp:inline>
        </w:drawing>
      </w:r>
    </w:p>
    <w:p w:rsidR="00B5146A" w:rsidRDefault="003A4CC3" w:rsidP="0019066F">
      <w:pPr>
        <w:jc w:val="both"/>
        <w:rPr>
          <w:rFonts w:asciiTheme="minorHAnsi" w:hAnsiTheme="minorHAnsi" w:cstheme="minorHAnsi"/>
          <w:b/>
          <w:sz w:val="22"/>
          <w:szCs w:val="22"/>
        </w:rPr>
      </w:pPr>
      <w:r w:rsidRPr="003A4CC3">
        <w:rPr>
          <w:noProof/>
          <w:szCs w:val="22"/>
        </w:rPr>
        <w:drawing>
          <wp:inline distT="0" distB="0" distL="0" distR="0">
            <wp:extent cx="6645910" cy="1533525"/>
            <wp:effectExtent l="19050" t="0" r="2540" b="0"/>
            <wp:docPr id="96" name="Imag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212" cstate="print"/>
                    <a:srcRect/>
                    <a:stretch>
                      <a:fillRect/>
                    </a:stretch>
                  </pic:blipFill>
                  <pic:spPr bwMode="auto">
                    <a:xfrm>
                      <a:off x="0" y="0"/>
                      <a:ext cx="6645910" cy="1533525"/>
                    </a:xfrm>
                    <a:prstGeom prst="rect">
                      <a:avLst/>
                    </a:prstGeom>
                    <a:noFill/>
                    <a:ln w="9525">
                      <a:noFill/>
                      <a:miter lim="800000"/>
                      <a:headEnd/>
                      <a:tailEnd/>
                    </a:ln>
                  </pic:spPr>
                </pic:pic>
              </a:graphicData>
            </a:graphic>
          </wp:inline>
        </w:drawing>
      </w:r>
    </w:p>
    <w:p w:rsidR="003A4CC3" w:rsidRDefault="003A4CC3" w:rsidP="00B5146A">
      <w:pPr>
        <w:jc w:val="both"/>
        <w:rPr>
          <w:rFonts w:asciiTheme="minorHAnsi" w:hAnsiTheme="minorHAnsi" w:cstheme="minorHAnsi"/>
          <w:sz w:val="22"/>
          <w:szCs w:val="22"/>
        </w:rPr>
      </w:pPr>
    </w:p>
    <w:p w:rsidR="00B5146A" w:rsidRPr="00CD417D" w:rsidRDefault="00B5146A" w:rsidP="00B5146A">
      <w:pPr>
        <w:jc w:val="both"/>
        <w:rPr>
          <w:rFonts w:asciiTheme="minorHAnsi" w:hAnsiTheme="minorHAnsi" w:cstheme="minorHAnsi"/>
          <w:sz w:val="22"/>
          <w:szCs w:val="22"/>
        </w:rPr>
      </w:pPr>
      <w:r w:rsidRPr="00B5146A">
        <w:rPr>
          <w:rFonts w:asciiTheme="minorHAnsi" w:hAnsiTheme="minorHAnsi" w:cstheme="minorHAnsi"/>
          <w:sz w:val="22"/>
          <w:szCs w:val="22"/>
        </w:rPr>
        <w:t xml:space="preserve">Le taux d’absorption des communes de la </w:t>
      </w:r>
      <w:proofErr w:type="spellStart"/>
      <w:r w:rsidR="001246CD">
        <w:rPr>
          <w:rFonts w:asciiTheme="minorHAnsi" w:hAnsiTheme="minorHAnsi" w:cstheme="minorHAnsi"/>
          <w:sz w:val="22"/>
          <w:szCs w:val="22"/>
        </w:rPr>
        <w:t>Moughataa</w:t>
      </w:r>
      <w:proofErr w:type="spellEnd"/>
      <w:r w:rsidRPr="00B5146A">
        <w:rPr>
          <w:rFonts w:asciiTheme="minorHAnsi" w:hAnsiTheme="minorHAnsi" w:cstheme="minorHAnsi"/>
          <w:sz w:val="22"/>
          <w:szCs w:val="22"/>
        </w:rPr>
        <w:t xml:space="preserve"> de </w:t>
      </w:r>
      <w:proofErr w:type="spellStart"/>
      <w:r w:rsidRPr="00B5146A">
        <w:rPr>
          <w:rFonts w:asciiTheme="minorHAnsi" w:hAnsiTheme="minorHAnsi" w:cstheme="minorHAnsi"/>
          <w:sz w:val="22"/>
          <w:szCs w:val="22"/>
        </w:rPr>
        <w:t>Chinguity</w:t>
      </w:r>
      <w:proofErr w:type="spellEnd"/>
      <w:r>
        <w:rPr>
          <w:rFonts w:asciiTheme="minorHAnsi" w:hAnsiTheme="minorHAnsi" w:cstheme="minorHAnsi"/>
          <w:sz w:val="22"/>
          <w:szCs w:val="22"/>
        </w:rPr>
        <w:t>, en baisse constante depuis trois exercices, atteint un niveau qui mériterait un examen plus approfondi</w:t>
      </w:r>
      <w:r w:rsidR="009F4944">
        <w:rPr>
          <w:rFonts w:asciiTheme="minorHAnsi" w:hAnsiTheme="minorHAnsi" w:cstheme="minorHAnsi"/>
          <w:sz w:val="22"/>
          <w:szCs w:val="22"/>
        </w:rPr>
        <w:t xml:space="preserve">, en particulier pour la Commune de </w:t>
      </w:r>
      <w:proofErr w:type="spellStart"/>
      <w:r w:rsidR="009F4944">
        <w:rPr>
          <w:rFonts w:asciiTheme="minorHAnsi" w:hAnsiTheme="minorHAnsi" w:cstheme="minorHAnsi"/>
          <w:sz w:val="22"/>
          <w:szCs w:val="22"/>
        </w:rPr>
        <w:t>Chinguity</w:t>
      </w:r>
      <w:proofErr w:type="spellEnd"/>
      <w:r w:rsidR="009F4944">
        <w:rPr>
          <w:rFonts w:asciiTheme="minorHAnsi" w:hAnsiTheme="minorHAnsi" w:cstheme="minorHAnsi"/>
          <w:sz w:val="22"/>
          <w:szCs w:val="22"/>
        </w:rPr>
        <w:t xml:space="preserve"> et son taux à 72,91% en 2012</w:t>
      </w:r>
      <w:r w:rsidRPr="00CD417D">
        <w:rPr>
          <w:rFonts w:asciiTheme="minorHAnsi" w:hAnsiTheme="minorHAnsi" w:cstheme="minorHAnsi"/>
          <w:sz w:val="22"/>
          <w:szCs w:val="22"/>
        </w:rPr>
        <w:t>. Il est en effet inférieur aux taux relevés aux niveaux régional et nati</w:t>
      </w:r>
      <w:r>
        <w:rPr>
          <w:rFonts w:asciiTheme="minorHAnsi" w:hAnsiTheme="minorHAnsi" w:cstheme="minorHAnsi"/>
          <w:sz w:val="22"/>
          <w:szCs w:val="22"/>
        </w:rPr>
        <w:t>onal</w:t>
      </w:r>
      <w:r w:rsidRPr="00CD417D">
        <w:rPr>
          <w:rFonts w:asciiTheme="minorHAnsi" w:hAnsiTheme="minorHAnsi" w:cstheme="minorHAnsi"/>
          <w:sz w:val="22"/>
          <w:szCs w:val="22"/>
        </w:rPr>
        <w:t xml:space="preserve">. </w:t>
      </w:r>
    </w:p>
    <w:p w:rsidR="009F4944" w:rsidRDefault="009F4944" w:rsidP="003A4CC3">
      <w:pPr>
        <w:jc w:val="both"/>
        <w:rPr>
          <w:rFonts w:asciiTheme="minorHAnsi" w:hAnsiTheme="minorHAnsi" w:cstheme="minorHAnsi"/>
          <w:sz w:val="22"/>
          <w:szCs w:val="22"/>
        </w:rPr>
      </w:pPr>
    </w:p>
    <w:p w:rsidR="003A4CC3" w:rsidRDefault="003A4CC3" w:rsidP="003A4CC3">
      <w:pPr>
        <w:jc w:val="both"/>
        <w:rPr>
          <w:rFonts w:asciiTheme="minorHAnsi" w:hAnsiTheme="minorHAnsi" w:cstheme="minorHAnsi"/>
          <w:sz w:val="22"/>
          <w:szCs w:val="22"/>
        </w:rPr>
      </w:pPr>
      <w:r w:rsidRPr="00CD417D">
        <w:rPr>
          <w:rFonts w:asciiTheme="minorHAnsi" w:hAnsiTheme="minorHAnsi" w:cstheme="minorHAnsi"/>
          <w:sz w:val="22"/>
          <w:szCs w:val="22"/>
        </w:rPr>
        <w:t xml:space="preserve">Le montant </w:t>
      </w:r>
      <w:r>
        <w:rPr>
          <w:rFonts w:asciiTheme="minorHAnsi" w:hAnsiTheme="minorHAnsi" w:cstheme="minorHAnsi"/>
          <w:sz w:val="22"/>
          <w:szCs w:val="22"/>
        </w:rPr>
        <w:t xml:space="preserve">moyen </w:t>
      </w:r>
      <w:r w:rsidRPr="00CD417D">
        <w:rPr>
          <w:rFonts w:asciiTheme="minorHAnsi" w:hAnsiTheme="minorHAnsi" w:cstheme="minorHAnsi"/>
          <w:sz w:val="22"/>
          <w:szCs w:val="22"/>
        </w:rPr>
        <w:t xml:space="preserve">par </w:t>
      </w:r>
      <w:r>
        <w:rPr>
          <w:rFonts w:asciiTheme="minorHAnsi" w:hAnsiTheme="minorHAnsi" w:cstheme="minorHAnsi"/>
          <w:sz w:val="22"/>
          <w:szCs w:val="22"/>
        </w:rPr>
        <w:t>projet d’</w:t>
      </w:r>
      <w:r w:rsidRPr="00CD417D">
        <w:rPr>
          <w:rFonts w:asciiTheme="minorHAnsi" w:hAnsiTheme="minorHAnsi" w:cstheme="minorHAnsi"/>
          <w:sz w:val="22"/>
          <w:szCs w:val="22"/>
        </w:rPr>
        <w:t xml:space="preserve">investissement est </w:t>
      </w:r>
      <w:r>
        <w:rPr>
          <w:rFonts w:asciiTheme="minorHAnsi" w:hAnsiTheme="minorHAnsi" w:cstheme="minorHAnsi"/>
          <w:sz w:val="22"/>
          <w:szCs w:val="22"/>
        </w:rPr>
        <w:t xml:space="preserve">en outre </w:t>
      </w:r>
      <w:r w:rsidRPr="00CD417D">
        <w:rPr>
          <w:rFonts w:asciiTheme="minorHAnsi" w:hAnsiTheme="minorHAnsi" w:cstheme="minorHAnsi"/>
          <w:sz w:val="22"/>
          <w:szCs w:val="22"/>
        </w:rPr>
        <w:t>très faible. C’est très généralement le cas lorsque les montants FRD disponible</w:t>
      </w:r>
      <w:r>
        <w:rPr>
          <w:rFonts w:asciiTheme="minorHAnsi" w:hAnsiTheme="minorHAnsi" w:cstheme="minorHAnsi"/>
          <w:sz w:val="22"/>
          <w:szCs w:val="22"/>
        </w:rPr>
        <w:t>s</w:t>
      </w:r>
      <w:r w:rsidRPr="00CD417D">
        <w:rPr>
          <w:rFonts w:asciiTheme="minorHAnsi" w:hAnsiTheme="minorHAnsi" w:cstheme="minorHAnsi"/>
          <w:sz w:val="22"/>
          <w:szCs w:val="22"/>
        </w:rPr>
        <w:t xml:space="preserve"> sont particulièrement faible</w:t>
      </w:r>
      <w:r>
        <w:rPr>
          <w:rFonts w:asciiTheme="minorHAnsi" w:hAnsiTheme="minorHAnsi" w:cstheme="minorHAnsi"/>
          <w:sz w:val="22"/>
          <w:szCs w:val="22"/>
        </w:rPr>
        <w:t>s. Avec un nombre de projets constant arrêté à 11 en 2012, il est passé de 413 572 MRO en 2011 à 424 356 MRO en 2012</w:t>
      </w:r>
      <w:r w:rsidRPr="00CD417D">
        <w:rPr>
          <w:rFonts w:asciiTheme="minorHAnsi" w:hAnsiTheme="minorHAnsi" w:cstheme="minorHAnsi"/>
          <w:sz w:val="22"/>
          <w:szCs w:val="22"/>
        </w:rPr>
        <w:t>.</w:t>
      </w:r>
      <w:r>
        <w:rPr>
          <w:rFonts w:asciiTheme="minorHAnsi" w:hAnsiTheme="minorHAnsi" w:cstheme="minorHAnsi"/>
          <w:sz w:val="22"/>
          <w:szCs w:val="22"/>
        </w:rPr>
        <w:t xml:space="preserve"> On ne peut pas véritablement parler de parcellisation, eu égard au nombre restreint de projets, la problématique est plutôt celle de la faiblesse des crédits alloués, d’autant plus qu’il a été constaté une hausse limitée à seulement 6,84% (pour mémoire, l’augmentation du FRD équipement a été de 16,67% au niveau national) au titre de l’exercice 2012 suite à un trop-perçu au titre de l’exercice 2011.</w:t>
      </w:r>
    </w:p>
    <w:p w:rsidR="00B5146A" w:rsidRPr="00CD417D" w:rsidRDefault="00B5146A" w:rsidP="0019066F">
      <w:pPr>
        <w:jc w:val="both"/>
        <w:rPr>
          <w:rFonts w:asciiTheme="minorHAnsi" w:hAnsiTheme="minorHAnsi" w:cstheme="minorHAnsi"/>
          <w:b/>
          <w:sz w:val="22"/>
          <w:szCs w:val="22"/>
        </w:rPr>
      </w:pPr>
    </w:p>
    <w:p w:rsidR="0019066F" w:rsidRPr="00CD417D" w:rsidRDefault="0019066F" w:rsidP="0019066F">
      <w:pPr>
        <w:jc w:val="both"/>
        <w:rPr>
          <w:rFonts w:asciiTheme="minorHAnsi" w:hAnsiTheme="minorHAnsi" w:cstheme="minorHAnsi"/>
          <w:b/>
          <w:sz w:val="22"/>
          <w:szCs w:val="22"/>
        </w:rPr>
      </w:pPr>
      <w:r w:rsidRPr="00362287">
        <w:rPr>
          <w:rFonts w:asciiTheme="minorHAnsi" w:hAnsiTheme="minorHAnsi" w:cstheme="minorHAnsi"/>
          <w:b/>
          <w:noProof/>
          <w:sz w:val="22"/>
          <w:szCs w:val="22"/>
        </w:rPr>
        <w:drawing>
          <wp:inline distT="0" distB="0" distL="0" distR="0">
            <wp:extent cx="6610350" cy="2209800"/>
            <wp:effectExtent l="19050" t="0" r="0" b="0"/>
            <wp:docPr id="280"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3" cstate="print"/>
                    <a:stretch>
                      <a:fillRect/>
                    </a:stretch>
                  </pic:blipFill>
                  <pic:spPr>
                    <a:xfrm>
                      <a:off x="0" y="0"/>
                      <a:ext cx="6609525" cy="2209524"/>
                    </a:xfrm>
                    <a:prstGeom prst="rect">
                      <a:avLst/>
                    </a:prstGeom>
                  </pic:spPr>
                </pic:pic>
              </a:graphicData>
            </a:graphic>
          </wp:inline>
        </w:drawing>
      </w:r>
    </w:p>
    <w:p w:rsidR="0019066F" w:rsidRDefault="009F4944" w:rsidP="0019066F">
      <w:pPr>
        <w:jc w:val="both"/>
        <w:rPr>
          <w:rFonts w:asciiTheme="minorHAnsi" w:hAnsiTheme="minorHAnsi" w:cstheme="minorHAnsi"/>
          <w:sz w:val="22"/>
          <w:szCs w:val="22"/>
        </w:rPr>
      </w:pPr>
      <w:r w:rsidRPr="009F4944">
        <w:rPr>
          <w:noProof/>
        </w:rPr>
        <w:drawing>
          <wp:inline distT="0" distB="0" distL="0" distR="0">
            <wp:extent cx="6610350" cy="1562100"/>
            <wp:effectExtent l="19050" t="0" r="0" b="0"/>
            <wp:docPr id="298"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4" cstate="print"/>
                    <a:stretch>
                      <a:fillRect/>
                    </a:stretch>
                  </pic:blipFill>
                  <pic:spPr>
                    <a:xfrm>
                      <a:off x="0" y="0"/>
                      <a:ext cx="6610350" cy="1562100"/>
                    </a:xfrm>
                    <a:prstGeom prst="rect">
                      <a:avLst/>
                    </a:prstGeom>
                  </pic:spPr>
                </pic:pic>
              </a:graphicData>
            </a:graphic>
          </wp:inline>
        </w:drawing>
      </w:r>
    </w:p>
    <w:p w:rsidR="00D40A7D" w:rsidRDefault="00D40A7D" w:rsidP="0019066F">
      <w:pPr>
        <w:jc w:val="both"/>
        <w:rPr>
          <w:rFonts w:asciiTheme="minorHAnsi" w:hAnsiTheme="minorHAnsi" w:cstheme="minorHAnsi"/>
          <w:sz w:val="22"/>
          <w:szCs w:val="22"/>
        </w:rPr>
      </w:pPr>
    </w:p>
    <w:p w:rsidR="00D40A7D" w:rsidRPr="00CD417D" w:rsidRDefault="00D40A7D" w:rsidP="0019066F">
      <w:pPr>
        <w:jc w:val="both"/>
        <w:rPr>
          <w:rFonts w:asciiTheme="minorHAnsi" w:hAnsiTheme="minorHAnsi" w:cstheme="minorHAnsi"/>
          <w:sz w:val="22"/>
          <w:szCs w:val="22"/>
        </w:rPr>
      </w:pPr>
    </w:p>
    <w:p w:rsidR="0019066F" w:rsidRPr="00CD417D" w:rsidRDefault="001246CD" w:rsidP="0019066F">
      <w:pPr>
        <w:jc w:val="center"/>
        <w:rPr>
          <w:rFonts w:asciiTheme="minorHAnsi" w:hAnsiTheme="minorHAnsi" w:cstheme="minorHAnsi"/>
          <w:sz w:val="22"/>
          <w:szCs w:val="22"/>
          <w:u w:val="single"/>
        </w:rPr>
      </w:pPr>
      <w:proofErr w:type="spellStart"/>
      <w:r>
        <w:rPr>
          <w:rFonts w:asciiTheme="minorHAnsi" w:hAnsiTheme="minorHAnsi" w:cstheme="minorHAnsi"/>
          <w:b/>
          <w:sz w:val="22"/>
          <w:szCs w:val="22"/>
          <w:u w:val="single"/>
        </w:rPr>
        <w:t>Moughataa</w:t>
      </w:r>
      <w:proofErr w:type="spellEnd"/>
      <w:r w:rsidR="0019066F" w:rsidRPr="00CD417D">
        <w:rPr>
          <w:rFonts w:asciiTheme="minorHAnsi" w:hAnsiTheme="minorHAnsi" w:cstheme="minorHAnsi"/>
          <w:b/>
          <w:sz w:val="22"/>
          <w:szCs w:val="22"/>
          <w:u w:val="single"/>
        </w:rPr>
        <w:t xml:space="preserve"> de </w:t>
      </w:r>
      <w:proofErr w:type="spellStart"/>
      <w:r w:rsidR="0019066F" w:rsidRPr="00CD417D">
        <w:rPr>
          <w:rFonts w:asciiTheme="minorHAnsi" w:hAnsiTheme="minorHAnsi" w:cstheme="minorHAnsi"/>
          <w:b/>
          <w:sz w:val="22"/>
          <w:szCs w:val="22"/>
          <w:u w:val="single"/>
        </w:rPr>
        <w:t>Wadane</w:t>
      </w:r>
      <w:proofErr w:type="spellEnd"/>
    </w:p>
    <w:p w:rsidR="0019066F" w:rsidRPr="00CD417D" w:rsidRDefault="0019066F" w:rsidP="0019066F">
      <w:pPr>
        <w:jc w:val="both"/>
        <w:rPr>
          <w:rFonts w:asciiTheme="minorHAnsi" w:hAnsiTheme="minorHAnsi" w:cstheme="minorHAnsi"/>
          <w:sz w:val="22"/>
          <w:szCs w:val="22"/>
        </w:rPr>
      </w:pPr>
    </w:p>
    <w:p w:rsidR="0019066F" w:rsidRPr="00CD417D" w:rsidRDefault="0019066F" w:rsidP="0019066F">
      <w:pPr>
        <w:jc w:val="both"/>
        <w:rPr>
          <w:rFonts w:asciiTheme="minorHAnsi" w:hAnsiTheme="minorHAnsi" w:cstheme="minorHAnsi"/>
          <w:sz w:val="22"/>
          <w:szCs w:val="22"/>
        </w:rPr>
      </w:pPr>
      <w:r w:rsidRPr="00CD417D">
        <w:rPr>
          <w:rFonts w:asciiTheme="minorHAnsi" w:hAnsiTheme="minorHAnsi" w:cstheme="minorHAnsi"/>
          <w:sz w:val="22"/>
          <w:szCs w:val="22"/>
        </w:rPr>
        <w:t xml:space="preserve">Les communes de la </w:t>
      </w:r>
      <w:proofErr w:type="spellStart"/>
      <w:r w:rsidR="001246CD">
        <w:rPr>
          <w:rFonts w:asciiTheme="minorHAnsi" w:hAnsiTheme="minorHAnsi" w:cstheme="minorHAnsi"/>
          <w:sz w:val="22"/>
          <w:szCs w:val="22"/>
        </w:rPr>
        <w:t>Moughataa</w:t>
      </w:r>
      <w:proofErr w:type="spellEnd"/>
      <w:r w:rsidR="00CC33B5">
        <w:rPr>
          <w:rFonts w:asciiTheme="minorHAnsi" w:hAnsiTheme="minorHAnsi" w:cstheme="minorHAnsi"/>
          <w:sz w:val="22"/>
          <w:szCs w:val="22"/>
        </w:rPr>
        <w:t xml:space="preserve"> de </w:t>
      </w:r>
      <w:proofErr w:type="spellStart"/>
      <w:r w:rsidR="00CC33B5">
        <w:rPr>
          <w:rFonts w:asciiTheme="minorHAnsi" w:hAnsiTheme="minorHAnsi" w:cstheme="minorHAnsi"/>
          <w:sz w:val="22"/>
          <w:szCs w:val="22"/>
        </w:rPr>
        <w:t>Wadane</w:t>
      </w:r>
      <w:proofErr w:type="spellEnd"/>
      <w:r w:rsidR="00CC33B5">
        <w:rPr>
          <w:rFonts w:asciiTheme="minorHAnsi" w:hAnsiTheme="minorHAnsi" w:cstheme="minorHAnsi"/>
          <w:sz w:val="22"/>
          <w:szCs w:val="22"/>
        </w:rPr>
        <w:t xml:space="preserve"> ont bénéficié d’un FRD 2012 pour l’équipement de 3 143 540 MRO (+9,68 % par rapport à 2011</w:t>
      </w:r>
      <w:r w:rsidR="00CF003F">
        <w:rPr>
          <w:rFonts w:asciiTheme="minorHAnsi" w:hAnsiTheme="minorHAnsi" w:cstheme="minorHAnsi"/>
          <w:sz w:val="22"/>
          <w:szCs w:val="22"/>
        </w:rPr>
        <w:t>, taux inférieur à la moyenne nationale après une attribution erronée en 2011</w:t>
      </w:r>
      <w:r w:rsidR="00CC33B5">
        <w:rPr>
          <w:rFonts w:asciiTheme="minorHAnsi" w:hAnsiTheme="minorHAnsi" w:cstheme="minorHAnsi"/>
          <w:sz w:val="22"/>
          <w:szCs w:val="22"/>
        </w:rPr>
        <w:t>). Elles ont engagé 2 252 270</w:t>
      </w:r>
      <w:r w:rsidRPr="00CD417D">
        <w:rPr>
          <w:rFonts w:asciiTheme="minorHAnsi" w:hAnsiTheme="minorHAnsi" w:cstheme="minorHAnsi"/>
          <w:sz w:val="22"/>
          <w:szCs w:val="22"/>
        </w:rPr>
        <w:t xml:space="preserve"> MRO pour la réalisation de </w:t>
      </w:r>
      <w:r w:rsidR="00CC33B5">
        <w:rPr>
          <w:rFonts w:asciiTheme="minorHAnsi" w:hAnsiTheme="minorHAnsi" w:cstheme="minorHAnsi"/>
          <w:b/>
          <w:sz w:val="22"/>
          <w:szCs w:val="22"/>
        </w:rPr>
        <w:t>6</w:t>
      </w:r>
      <w:r w:rsidRPr="00A2170B">
        <w:rPr>
          <w:rFonts w:asciiTheme="minorHAnsi" w:hAnsiTheme="minorHAnsi" w:cstheme="minorHAnsi"/>
          <w:b/>
          <w:sz w:val="22"/>
          <w:szCs w:val="22"/>
        </w:rPr>
        <w:t xml:space="preserve"> projets</w:t>
      </w:r>
      <w:r w:rsidRPr="00CD417D">
        <w:rPr>
          <w:rFonts w:asciiTheme="minorHAnsi" w:hAnsiTheme="minorHAnsi" w:cstheme="minorHAnsi"/>
          <w:sz w:val="22"/>
          <w:szCs w:val="22"/>
        </w:rPr>
        <w:t xml:space="preserve">, soit un </w:t>
      </w:r>
      <w:r w:rsidR="00CC33B5">
        <w:rPr>
          <w:rFonts w:asciiTheme="minorHAnsi" w:hAnsiTheme="minorHAnsi" w:cstheme="minorHAnsi"/>
          <w:b/>
          <w:sz w:val="22"/>
          <w:szCs w:val="22"/>
        </w:rPr>
        <w:t>taux d’absorption de 71,65</w:t>
      </w:r>
      <w:r w:rsidRPr="00CD417D">
        <w:rPr>
          <w:rFonts w:asciiTheme="minorHAnsi" w:hAnsiTheme="minorHAnsi" w:cstheme="minorHAnsi"/>
          <w:b/>
          <w:sz w:val="22"/>
          <w:szCs w:val="22"/>
        </w:rPr>
        <w:t xml:space="preserve"> %.</w:t>
      </w:r>
    </w:p>
    <w:p w:rsidR="0019066F" w:rsidRDefault="0019066F" w:rsidP="0019066F">
      <w:pPr>
        <w:jc w:val="both"/>
        <w:rPr>
          <w:rFonts w:asciiTheme="minorHAnsi" w:hAnsiTheme="minorHAnsi" w:cstheme="minorHAnsi"/>
          <w:sz w:val="22"/>
          <w:szCs w:val="22"/>
        </w:rPr>
      </w:pPr>
      <w:r w:rsidRPr="00654E5D">
        <w:rPr>
          <w:noProof/>
        </w:rPr>
        <w:drawing>
          <wp:inline distT="0" distB="0" distL="0" distR="0">
            <wp:extent cx="3381375" cy="3629024"/>
            <wp:effectExtent l="19050" t="0" r="9525" b="0"/>
            <wp:docPr id="281"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5" cstate="print"/>
                    <a:stretch>
                      <a:fillRect/>
                    </a:stretch>
                  </pic:blipFill>
                  <pic:spPr>
                    <a:xfrm>
                      <a:off x="0" y="0"/>
                      <a:ext cx="3381375" cy="3629024"/>
                    </a:xfrm>
                    <a:prstGeom prst="rect">
                      <a:avLst/>
                    </a:prstGeom>
                  </pic:spPr>
                </pic:pic>
              </a:graphicData>
            </a:graphic>
          </wp:inline>
        </w:drawing>
      </w:r>
      <w:r w:rsidRPr="00DE26AB">
        <w:rPr>
          <w:rFonts w:asciiTheme="minorHAnsi" w:hAnsiTheme="minorHAnsi" w:cstheme="minorHAnsi"/>
          <w:noProof/>
          <w:sz w:val="22"/>
          <w:szCs w:val="22"/>
        </w:rPr>
        <w:drawing>
          <wp:inline distT="0" distB="0" distL="0" distR="0">
            <wp:extent cx="3200400" cy="3629025"/>
            <wp:effectExtent l="19050" t="0" r="0" b="0"/>
            <wp:docPr id="282"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6" cstate="print"/>
                    <a:stretch>
                      <a:fillRect/>
                    </a:stretch>
                  </pic:blipFill>
                  <pic:spPr>
                    <a:xfrm>
                      <a:off x="0" y="0"/>
                      <a:ext cx="3200001" cy="3628573"/>
                    </a:xfrm>
                    <a:prstGeom prst="rect">
                      <a:avLst/>
                    </a:prstGeom>
                  </pic:spPr>
                </pic:pic>
              </a:graphicData>
            </a:graphic>
          </wp:inline>
        </w:drawing>
      </w:r>
    </w:p>
    <w:p w:rsidR="00D40A7D" w:rsidRDefault="00D40A7D" w:rsidP="0019066F">
      <w:pPr>
        <w:jc w:val="both"/>
        <w:rPr>
          <w:rFonts w:asciiTheme="minorHAnsi" w:hAnsiTheme="minorHAnsi" w:cstheme="minorHAnsi"/>
          <w:sz w:val="22"/>
          <w:szCs w:val="22"/>
        </w:rPr>
      </w:pPr>
    </w:p>
    <w:p w:rsidR="005E0089" w:rsidRDefault="005931E2" w:rsidP="0019066F">
      <w:pPr>
        <w:jc w:val="both"/>
        <w:rPr>
          <w:rFonts w:asciiTheme="minorHAnsi" w:hAnsiTheme="minorHAnsi" w:cstheme="minorHAnsi"/>
          <w:sz w:val="22"/>
          <w:szCs w:val="22"/>
        </w:rPr>
      </w:pPr>
      <w:r>
        <w:rPr>
          <w:rFonts w:asciiTheme="minorHAnsi" w:hAnsiTheme="minorHAnsi" w:cstheme="minorHAnsi"/>
          <w:sz w:val="22"/>
          <w:szCs w:val="22"/>
        </w:rPr>
        <w:t xml:space="preserve">Comme pour la Commune </w:t>
      </w:r>
      <w:r w:rsidR="00CC33B5">
        <w:rPr>
          <w:rFonts w:asciiTheme="minorHAnsi" w:hAnsiTheme="minorHAnsi" w:cstheme="minorHAnsi"/>
          <w:sz w:val="22"/>
          <w:szCs w:val="22"/>
        </w:rPr>
        <w:t xml:space="preserve">de </w:t>
      </w:r>
      <w:proofErr w:type="spellStart"/>
      <w:r w:rsidR="00CC33B5">
        <w:rPr>
          <w:rFonts w:asciiTheme="minorHAnsi" w:hAnsiTheme="minorHAnsi" w:cstheme="minorHAnsi"/>
          <w:sz w:val="22"/>
          <w:szCs w:val="22"/>
        </w:rPr>
        <w:t>Chinguity</w:t>
      </w:r>
      <w:proofErr w:type="spellEnd"/>
      <w:r w:rsidR="00CC33B5">
        <w:rPr>
          <w:rFonts w:asciiTheme="minorHAnsi" w:hAnsiTheme="minorHAnsi" w:cstheme="minorHAnsi"/>
          <w:sz w:val="22"/>
          <w:szCs w:val="22"/>
        </w:rPr>
        <w:t xml:space="preserve">, il faudra regarder de plus près cette forte baisse en 2012 pour savoir s’il faut s’en inquiéter ou s’il s’agit simplement d’une pause pour pouvoir entreprendre ultérieurement des opérations d’investissement plus ambitieux, eu égard au volume assez faible des crédits alloués. </w:t>
      </w:r>
    </w:p>
    <w:p w:rsidR="003A4CC3" w:rsidRDefault="003A4CC3" w:rsidP="003A4CC3">
      <w:pPr>
        <w:jc w:val="both"/>
        <w:rPr>
          <w:rFonts w:asciiTheme="minorHAnsi" w:hAnsiTheme="minorHAnsi" w:cstheme="minorHAnsi"/>
          <w:sz w:val="22"/>
          <w:szCs w:val="22"/>
        </w:rPr>
      </w:pPr>
      <w:r w:rsidRPr="00CD417D">
        <w:rPr>
          <w:rFonts w:asciiTheme="minorHAnsi" w:hAnsiTheme="minorHAnsi" w:cstheme="minorHAnsi"/>
          <w:sz w:val="22"/>
          <w:szCs w:val="22"/>
        </w:rPr>
        <w:t xml:space="preserve">Le montant </w:t>
      </w:r>
      <w:r>
        <w:rPr>
          <w:rFonts w:asciiTheme="minorHAnsi" w:hAnsiTheme="minorHAnsi" w:cstheme="minorHAnsi"/>
          <w:sz w:val="22"/>
          <w:szCs w:val="22"/>
        </w:rPr>
        <w:t xml:space="preserve">moyen </w:t>
      </w:r>
      <w:r w:rsidRPr="00CD417D">
        <w:rPr>
          <w:rFonts w:asciiTheme="minorHAnsi" w:hAnsiTheme="minorHAnsi" w:cstheme="minorHAnsi"/>
          <w:sz w:val="22"/>
          <w:szCs w:val="22"/>
        </w:rPr>
        <w:t xml:space="preserve">par </w:t>
      </w:r>
      <w:r>
        <w:rPr>
          <w:rFonts w:asciiTheme="minorHAnsi" w:hAnsiTheme="minorHAnsi" w:cstheme="minorHAnsi"/>
          <w:sz w:val="22"/>
          <w:szCs w:val="22"/>
        </w:rPr>
        <w:t>projet d’</w:t>
      </w:r>
      <w:r w:rsidRPr="00CD417D">
        <w:rPr>
          <w:rFonts w:asciiTheme="minorHAnsi" w:hAnsiTheme="minorHAnsi" w:cstheme="minorHAnsi"/>
          <w:sz w:val="22"/>
          <w:szCs w:val="22"/>
        </w:rPr>
        <w:t>investissement est faible.</w:t>
      </w:r>
      <w:r>
        <w:rPr>
          <w:rFonts w:asciiTheme="minorHAnsi" w:hAnsiTheme="minorHAnsi" w:cstheme="minorHAnsi"/>
          <w:sz w:val="22"/>
          <w:szCs w:val="22"/>
        </w:rPr>
        <w:t xml:space="preserve"> L’explication donnée pour la </w:t>
      </w:r>
      <w:proofErr w:type="spellStart"/>
      <w:r w:rsidR="001246CD">
        <w:rPr>
          <w:rFonts w:asciiTheme="minorHAnsi" w:hAnsiTheme="minorHAnsi" w:cstheme="minorHAnsi"/>
          <w:sz w:val="22"/>
          <w:szCs w:val="22"/>
        </w:rPr>
        <w:t>Moughataa</w:t>
      </w:r>
      <w:proofErr w:type="spellEnd"/>
      <w:r>
        <w:rPr>
          <w:rFonts w:asciiTheme="minorHAnsi" w:hAnsiTheme="minorHAnsi" w:cstheme="minorHAnsi"/>
          <w:sz w:val="22"/>
          <w:szCs w:val="22"/>
        </w:rPr>
        <w:t xml:space="preserve"> de </w:t>
      </w:r>
      <w:proofErr w:type="spellStart"/>
      <w:r>
        <w:rPr>
          <w:rFonts w:asciiTheme="minorHAnsi" w:hAnsiTheme="minorHAnsi" w:cstheme="minorHAnsi"/>
          <w:sz w:val="22"/>
          <w:szCs w:val="22"/>
        </w:rPr>
        <w:t>Chinguity</w:t>
      </w:r>
      <w:proofErr w:type="spellEnd"/>
      <w:r>
        <w:rPr>
          <w:rFonts w:asciiTheme="minorHAnsi" w:hAnsiTheme="minorHAnsi" w:cstheme="minorHAnsi"/>
          <w:sz w:val="22"/>
          <w:szCs w:val="22"/>
        </w:rPr>
        <w:t xml:space="preserve"> vaut également pour la </w:t>
      </w:r>
      <w:proofErr w:type="spellStart"/>
      <w:r w:rsidR="001246CD">
        <w:rPr>
          <w:rFonts w:asciiTheme="minorHAnsi" w:hAnsiTheme="minorHAnsi" w:cstheme="minorHAnsi"/>
          <w:sz w:val="22"/>
          <w:szCs w:val="22"/>
        </w:rPr>
        <w:t>Moughataa</w:t>
      </w:r>
      <w:proofErr w:type="spellEnd"/>
      <w:r w:rsidR="005931E2">
        <w:rPr>
          <w:rFonts w:asciiTheme="minorHAnsi" w:hAnsiTheme="minorHAnsi" w:cstheme="minorHAnsi"/>
          <w:sz w:val="22"/>
          <w:szCs w:val="22"/>
        </w:rPr>
        <w:t>/Commune</w:t>
      </w:r>
      <w:r>
        <w:rPr>
          <w:rFonts w:asciiTheme="minorHAnsi" w:hAnsiTheme="minorHAnsi" w:cstheme="minorHAnsi"/>
          <w:sz w:val="22"/>
          <w:szCs w:val="22"/>
        </w:rPr>
        <w:t xml:space="preserve"> de </w:t>
      </w:r>
      <w:proofErr w:type="spellStart"/>
      <w:r>
        <w:rPr>
          <w:rFonts w:asciiTheme="minorHAnsi" w:hAnsiTheme="minorHAnsi" w:cstheme="minorHAnsi"/>
          <w:sz w:val="22"/>
          <w:szCs w:val="22"/>
        </w:rPr>
        <w:t>Wadane</w:t>
      </w:r>
      <w:proofErr w:type="spellEnd"/>
      <w:r w:rsidR="005931E2">
        <w:rPr>
          <w:rFonts w:asciiTheme="minorHAnsi" w:hAnsiTheme="minorHAnsi" w:cstheme="minorHAnsi"/>
          <w:sz w:val="22"/>
          <w:szCs w:val="22"/>
        </w:rPr>
        <w:t xml:space="preserve"> qui perçoit également un montant faible de FRD.</w:t>
      </w:r>
    </w:p>
    <w:p w:rsidR="003A4CC3" w:rsidRDefault="003A4CC3" w:rsidP="003A4CC3">
      <w:pPr>
        <w:jc w:val="both"/>
        <w:rPr>
          <w:rFonts w:asciiTheme="minorHAnsi" w:hAnsiTheme="minorHAnsi" w:cstheme="minorHAnsi"/>
          <w:sz w:val="22"/>
          <w:szCs w:val="22"/>
        </w:rPr>
      </w:pPr>
      <w:r>
        <w:rPr>
          <w:rFonts w:asciiTheme="minorHAnsi" w:hAnsiTheme="minorHAnsi" w:cstheme="minorHAnsi"/>
          <w:sz w:val="22"/>
          <w:szCs w:val="22"/>
        </w:rPr>
        <w:t xml:space="preserve">De surcroît, vu la rareté des crédits alloués, la moindre augmentation du nombre de projets fait plonger le montant moyen de l’investissement : ainsi, la </w:t>
      </w:r>
      <w:proofErr w:type="spellStart"/>
      <w:r w:rsidR="001246CD">
        <w:rPr>
          <w:rFonts w:asciiTheme="minorHAnsi" w:hAnsiTheme="minorHAnsi" w:cstheme="minorHAnsi"/>
          <w:sz w:val="22"/>
          <w:szCs w:val="22"/>
        </w:rPr>
        <w:t>Moughataa</w:t>
      </w:r>
      <w:proofErr w:type="spellEnd"/>
      <w:r>
        <w:rPr>
          <w:rFonts w:asciiTheme="minorHAnsi" w:hAnsiTheme="minorHAnsi" w:cstheme="minorHAnsi"/>
          <w:sz w:val="22"/>
          <w:szCs w:val="22"/>
        </w:rPr>
        <w:t xml:space="preserve"> est passée de 4 à 6 projets avec pour conséquence une diminution de 715 947 MRO en 2011 à 375 378 MRO en 2012. </w:t>
      </w:r>
    </w:p>
    <w:p w:rsidR="005931E2" w:rsidRPr="00CD417D" w:rsidRDefault="005931E2" w:rsidP="003A4CC3">
      <w:pPr>
        <w:jc w:val="both"/>
        <w:rPr>
          <w:rFonts w:asciiTheme="minorHAnsi" w:hAnsiTheme="minorHAnsi" w:cstheme="minorHAnsi"/>
          <w:sz w:val="22"/>
          <w:szCs w:val="22"/>
        </w:rPr>
      </w:pPr>
    </w:p>
    <w:p w:rsidR="003A4CC3" w:rsidRDefault="005931E2" w:rsidP="003A4CC3">
      <w:pPr>
        <w:jc w:val="both"/>
        <w:rPr>
          <w:rFonts w:asciiTheme="minorHAnsi" w:hAnsiTheme="minorHAnsi" w:cstheme="minorHAnsi"/>
          <w:sz w:val="22"/>
          <w:szCs w:val="22"/>
        </w:rPr>
      </w:pPr>
      <w:r>
        <w:rPr>
          <w:rFonts w:asciiTheme="minorHAnsi" w:hAnsiTheme="minorHAnsi" w:cstheme="minorHAnsi"/>
          <w:sz w:val="22"/>
          <w:szCs w:val="22"/>
        </w:rPr>
        <w:t>D</w:t>
      </w:r>
      <w:r w:rsidR="003A4CC3">
        <w:rPr>
          <w:rFonts w:asciiTheme="minorHAnsi" w:hAnsiTheme="minorHAnsi" w:cstheme="minorHAnsi"/>
          <w:sz w:val="22"/>
          <w:szCs w:val="22"/>
        </w:rPr>
        <w:t xml:space="preserve">es projets </w:t>
      </w:r>
      <w:r>
        <w:rPr>
          <w:rFonts w:asciiTheme="minorHAnsi" w:hAnsiTheme="minorHAnsi" w:cstheme="minorHAnsi"/>
          <w:sz w:val="22"/>
          <w:szCs w:val="22"/>
        </w:rPr>
        <w:t xml:space="preserve">modestes </w:t>
      </w:r>
      <w:r w:rsidR="003A4CC3">
        <w:rPr>
          <w:rFonts w:asciiTheme="minorHAnsi" w:hAnsiTheme="minorHAnsi" w:cstheme="minorHAnsi"/>
          <w:sz w:val="22"/>
          <w:szCs w:val="22"/>
        </w:rPr>
        <w:t>ont été entrepris avec en première priorité le secteur de la santé : 56,47% des e</w:t>
      </w:r>
      <w:r w:rsidR="006D05CE">
        <w:rPr>
          <w:rFonts w:asciiTheme="minorHAnsi" w:hAnsiTheme="minorHAnsi" w:cstheme="minorHAnsi"/>
          <w:sz w:val="22"/>
          <w:szCs w:val="22"/>
        </w:rPr>
        <w:t>ngagements pour 1 271 770 MRO (un</w:t>
      </w:r>
      <w:r w:rsidR="003A4CC3">
        <w:rPr>
          <w:rFonts w:asciiTheme="minorHAnsi" w:hAnsiTheme="minorHAnsi" w:cstheme="minorHAnsi"/>
          <w:sz w:val="22"/>
          <w:szCs w:val="22"/>
        </w:rPr>
        <w:t xml:space="preserve"> projet unique).</w:t>
      </w:r>
    </w:p>
    <w:p w:rsidR="003A4CC3" w:rsidRDefault="003A4CC3" w:rsidP="003A4CC3">
      <w:pPr>
        <w:jc w:val="both"/>
        <w:rPr>
          <w:rFonts w:asciiTheme="minorHAnsi" w:hAnsiTheme="minorHAnsi" w:cstheme="minorHAnsi"/>
          <w:sz w:val="22"/>
          <w:szCs w:val="22"/>
        </w:rPr>
      </w:pPr>
      <w:r>
        <w:rPr>
          <w:rFonts w:asciiTheme="minorHAnsi" w:hAnsiTheme="minorHAnsi" w:cstheme="minorHAnsi"/>
          <w:sz w:val="22"/>
          <w:szCs w:val="22"/>
        </w:rPr>
        <w:t>Ensuite, vient en deuxième position le secteur agricole avec 18,63% des engagements se chiffrant à 419 500 MRO consacrés également à un projet unique.</w:t>
      </w:r>
    </w:p>
    <w:p w:rsidR="003A4CC3" w:rsidRDefault="003A4CC3" w:rsidP="003A4CC3">
      <w:pPr>
        <w:jc w:val="both"/>
        <w:rPr>
          <w:rFonts w:asciiTheme="minorHAnsi" w:hAnsiTheme="minorHAnsi" w:cstheme="minorHAnsi"/>
          <w:sz w:val="22"/>
          <w:szCs w:val="22"/>
        </w:rPr>
      </w:pPr>
      <w:r>
        <w:rPr>
          <w:rFonts w:asciiTheme="minorHAnsi" w:hAnsiTheme="minorHAnsi" w:cstheme="minorHAnsi"/>
          <w:sz w:val="22"/>
          <w:szCs w:val="22"/>
        </w:rPr>
        <w:t>En troisième position, le secteur de l’hydraulique pour 13,32% des engagements. Soit 300 000 MRO pour un seul projet.</w:t>
      </w:r>
    </w:p>
    <w:p w:rsidR="00D40A7D" w:rsidRPr="00CD417D" w:rsidRDefault="00D40A7D" w:rsidP="0019066F">
      <w:pPr>
        <w:jc w:val="both"/>
        <w:rPr>
          <w:rFonts w:asciiTheme="minorHAnsi" w:hAnsiTheme="minorHAnsi" w:cstheme="minorHAnsi"/>
          <w:sz w:val="22"/>
          <w:szCs w:val="22"/>
        </w:rPr>
      </w:pPr>
    </w:p>
    <w:p w:rsidR="0019066F" w:rsidRPr="00CD417D" w:rsidRDefault="0019066F" w:rsidP="0019066F">
      <w:pPr>
        <w:jc w:val="both"/>
        <w:rPr>
          <w:rFonts w:asciiTheme="minorHAnsi" w:hAnsiTheme="minorHAnsi" w:cstheme="minorHAnsi"/>
          <w:sz w:val="22"/>
          <w:szCs w:val="22"/>
        </w:rPr>
      </w:pPr>
      <w:r w:rsidRPr="00362287">
        <w:rPr>
          <w:rFonts w:asciiTheme="minorHAnsi" w:hAnsiTheme="minorHAnsi" w:cstheme="minorHAnsi"/>
          <w:noProof/>
          <w:sz w:val="22"/>
          <w:szCs w:val="22"/>
        </w:rPr>
        <w:drawing>
          <wp:inline distT="0" distB="0" distL="0" distR="0">
            <wp:extent cx="6610350" cy="2085975"/>
            <wp:effectExtent l="19050" t="0" r="0" b="0"/>
            <wp:docPr id="283"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7" cstate="print"/>
                    <a:stretch>
                      <a:fillRect/>
                    </a:stretch>
                  </pic:blipFill>
                  <pic:spPr>
                    <a:xfrm>
                      <a:off x="0" y="0"/>
                      <a:ext cx="6609525" cy="2085715"/>
                    </a:xfrm>
                    <a:prstGeom prst="rect">
                      <a:avLst/>
                    </a:prstGeom>
                  </pic:spPr>
                </pic:pic>
              </a:graphicData>
            </a:graphic>
          </wp:inline>
        </w:drawing>
      </w:r>
    </w:p>
    <w:p w:rsidR="0019066F" w:rsidRDefault="0019066F" w:rsidP="0019066F">
      <w:pPr>
        <w:jc w:val="both"/>
        <w:rPr>
          <w:rFonts w:asciiTheme="minorHAnsi" w:hAnsiTheme="minorHAnsi" w:cstheme="minorHAnsi"/>
          <w:sz w:val="22"/>
          <w:szCs w:val="22"/>
        </w:rPr>
      </w:pPr>
    </w:p>
    <w:p w:rsidR="00031767" w:rsidRDefault="00031767" w:rsidP="0019066F">
      <w:pPr>
        <w:jc w:val="center"/>
        <w:rPr>
          <w:rFonts w:asciiTheme="minorHAnsi" w:hAnsiTheme="minorHAnsi" w:cstheme="minorHAnsi"/>
          <w:b/>
          <w:sz w:val="22"/>
          <w:szCs w:val="22"/>
          <w:u w:val="single"/>
        </w:rPr>
      </w:pPr>
    </w:p>
    <w:p w:rsidR="0019066F" w:rsidRPr="00CD417D" w:rsidRDefault="001246CD" w:rsidP="0019066F">
      <w:pPr>
        <w:jc w:val="center"/>
        <w:rPr>
          <w:rFonts w:asciiTheme="minorHAnsi" w:hAnsiTheme="minorHAnsi" w:cstheme="minorHAnsi"/>
          <w:sz w:val="22"/>
          <w:szCs w:val="22"/>
          <w:u w:val="single"/>
        </w:rPr>
      </w:pPr>
      <w:proofErr w:type="spellStart"/>
      <w:r>
        <w:rPr>
          <w:rFonts w:asciiTheme="minorHAnsi" w:hAnsiTheme="minorHAnsi" w:cstheme="minorHAnsi"/>
          <w:b/>
          <w:sz w:val="22"/>
          <w:szCs w:val="22"/>
          <w:u w:val="single"/>
        </w:rPr>
        <w:t>Moughataa</w:t>
      </w:r>
      <w:proofErr w:type="spellEnd"/>
      <w:r w:rsidR="0019066F">
        <w:rPr>
          <w:rFonts w:asciiTheme="minorHAnsi" w:hAnsiTheme="minorHAnsi" w:cstheme="minorHAnsi"/>
          <w:b/>
          <w:sz w:val="22"/>
          <w:szCs w:val="22"/>
          <w:u w:val="single"/>
        </w:rPr>
        <w:t xml:space="preserve"> d’</w:t>
      </w:r>
      <w:proofErr w:type="spellStart"/>
      <w:r w:rsidR="0019066F" w:rsidRPr="00CD417D">
        <w:rPr>
          <w:rFonts w:asciiTheme="minorHAnsi" w:hAnsiTheme="minorHAnsi" w:cstheme="minorHAnsi"/>
          <w:b/>
          <w:sz w:val="22"/>
          <w:szCs w:val="22"/>
          <w:u w:val="single"/>
        </w:rPr>
        <w:t>Aoujeft</w:t>
      </w:r>
      <w:proofErr w:type="spellEnd"/>
    </w:p>
    <w:p w:rsidR="0019066F" w:rsidRPr="00CD417D" w:rsidRDefault="0019066F" w:rsidP="0019066F">
      <w:pPr>
        <w:jc w:val="both"/>
        <w:rPr>
          <w:rFonts w:asciiTheme="minorHAnsi" w:hAnsiTheme="minorHAnsi" w:cstheme="minorHAnsi"/>
          <w:sz w:val="22"/>
          <w:szCs w:val="22"/>
        </w:rPr>
      </w:pPr>
    </w:p>
    <w:p w:rsidR="0019066F" w:rsidRPr="00CD417D" w:rsidRDefault="0019066F" w:rsidP="0019066F">
      <w:pPr>
        <w:jc w:val="both"/>
        <w:rPr>
          <w:rFonts w:asciiTheme="minorHAnsi" w:hAnsiTheme="minorHAnsi" w:cstheme="minorHAnsi"/>
          <w:sz w:val="22"/>
          <w:szCs w:val="22"/>
        </w:rPr>
      </w:pPr>
      <w:r>
        <w:rPr>
          <w:rFonts w:asciiTheme="minorHAnsi" w:hAnsiTheme="minorHAnsi" w:cstheme="minorHAnsi"/>
          <w:sz w:val="22"/>
          <w:szCs w:val="22"/>
        </w:rPr>
        <w:t xml:space="preserve">Les communes de la </w:t>
      </w:r>
      <w:proofErr w:type="spellStart"/>
      <w:r w:rsidR="001246CD">
        <w:rPr>
          <w:rFonts w:asciiTheme="minorHAnsi" w:hAnsiTheme="minorHAnsi" w:cstheme="minorHAnsi"/>
          <w:sz w:val="22"/>
          <w:szCs w:val="22"/>
        </w:rPr>
        <w:t>Moughataa</w:t>
      </w:r>
      <w:proofErr w:type="spellEnd"/>
      <w:r>
        <w:rPr>
          <w:rFonts w:asciiTheme="minorHAnsi" w:hAnsiTheme="minorHAnsi" w:cstheme="minorHAnsi"/>
          <w:sz w:val="22"/>
          <w:szCs w:val="22"/>
        </w:rPr>
        <w:t xml:space="preserve"> d’</w:t>
      </w:r>
      <w:proofErr w:type="spellStart"/>
      <w:r w:rsidRPr="00CD417D">
        <w:rPr>
          <w:rFonts w:asciiTheme="minorHAnsi" w:hAnsiTheme="minorHAnsi" w:cstheme="minorHAnsi"/>
          <w:sz w:val="22"/>
          <w:szCs w:val="22"/>
        </w:rPr>
        <w:t>Aoujeft</w:t>
      </w:r>
      <w:proofErr w:type="spellEnd"/>
      <w:r w:rsidRPr="00CD417D">
        <w:rPr>
          <w:rFonts w:asciiTheme="minorHAnsi" w:hAnsiTheme="minorHAnsi" w:cstheme="minorHAnsi"/>
          <w:sz w:val="22"/>
          <w:szCs w:val="22"/>
        </w:rPr>
        <w:t xml:space="preserve"> ont bénéficié d’un </w:t>
      </w:r>
      <w:r w:rsidR="005E0089">
        <w:rPr>
          <w:rFonts w:asciiTheme="minorHAnsi" w:hAnsiTheme="minorHAnsi" w:cstheme="minorHAnsi"/>
          <w:sz w:val="22"/>
          <w:szCs w:val="22"/>
        </w:rPr>
        <w:t>FRD 2012</w:t>
      </w:r>
      <w:r w:rsidR="00914321">
        <w:rPr>
          <w:rFonts w:asciiTheme="minorHAnsi" w:hAnsiTheme="minorHAnsi" w:cstheme="minorHAnsi"/>
          <w:sz w:val="22"/>
          <w:szCs w:val="22"/>
        </w:rPr>
        <w:t xml:space="preserve"> pour l’équipement de 16 543 878 MRO (+13,99 % par rapport à 2011). Elles ont engagé 14 921 322</w:t>
      </w:r>
      <w:r w:rsidRPr="00CD417D">
        <w:rPr>
          <w:rFonts w:asciiTheme="minorHAnsi" w:hAnsiTheme="minorHAnsi" w:cstheme="minorHAnsi"/>
          <w:sz w:val="22"/>
          <w:szCs w:val="22"/>
        </w:rPr>
        <w:t xml:space="preserve"> MRO pour la réalisation de </w:t>
      </w:r>
      <w:r w:rsidR="00914321">
        <w:rPr>
          <w:rFonts w:asciiTheme="minorHAnsi" w:hAnsiTheme="minorHAnsi" w:cstheme="minorHAnsi"/>
          <w:b/>
          <w:sz w:val="22"/>
          <w:szCs w:val="22"/>
        </w:rPr>
        <w:t>10</w:t>
      </w:r>
      <w:r w:rsidRPr="00A2170B">
        <w:rPr>
          <w:rFonts w:asciiTheme="minorHAnsi" w:hAnsiTheme="minorHAnsi" w:cstheme="minorHAnsi"/>
          <w:b/>
          <w:sz w:val="22"/>
          <w:szCs w:val="22"/>
        </w:rPr>
        <w:t xml:space="preserve"> projets</w:t>
      </w:r>
      <w:r w:rsidRPr="00CD417D">
        <w:rPr>
          <w:rFonts w:asciiTheme="minorHAnsi" w:hAnsiTheme="minorHAnsi" w:cstheme="minorHAnsi"/>
          <w:sz w:val="22"/>
          <w:szCs w:val="22"/>
        </w:rPr>
        <w:t xml:space="preserve">, soit un </w:t>
      </w:r>
      <w:r w:rsidR="00914321">
        <w:rPr>
          <w:rFonts w:asciiTheme="minorHAnsi" w:hAnsiTheme="minorHAnsi" w:cstheme="minorHAnsi"/>
          <w:b/>
          <w:sz w:val="22"/>
          <w:szCs w:val="22"/>
        </w:rPr>
        <w:t>taux d’absorption de 90,19</w:t>
      </w:r>
      <w:r w:rsidRPr="00CD417D">
        <w:rPr>
          <w:rFonts w:asciiTheme="minorHAnsi" w:hAnsiTheme="minorHAnsi" w:cstheme="minorHAnsi"/>
          <w:b/>
          <w:sz w:val="22"/>
          <w:szCs w:val="22"/>
        </w:rPr>
        <w:t xml:space="preserve"> %.</w:t>
      </w:r>
    </w:p>
    <w:p w:rsidR="0019066F" w:rsidRPr="00CD417D" w:rsidRDefault="00914321" w:rsidP="0019066F">
      <w:pPr>
        <w:jc w:val="both"/>
        <w:rPr>
          <w:rFonts w:asciiTheme="minorHAnsi" w:hAnsiTheme="minorHAnsi" w:cstheme="minorHAnsi"/>
          <w:sz w:val="22"/>
          <w:szCs w:val="22"/>
        </w:rPr>
      </w:pPr>
      <w:r w:rsidRPr="00CD417D">
        <w:rPr>
          <w:rFonts w:asciiTheme="minorHAnsi" w:hAnsiTheme="minorHAnsi" w:cstheme="minorHAnsi"/>
          <w:sz w:val="22"/>
          <w:szCs w:val="22"/>
        </w:rPr>
        <w:t xml:space="preserve">Le taux </w:t>
      </w:r>
      <w:r>
        <w:rPr>
          <w:rFonts w:asciiTheme="minorHAnsi" w:hAnsiTheme="minorHAnsi" w:cstheme="minorHAnsi"/>
          <w:sz w:val="22"/>
          <w:szCs w:val="22"/>
        </w:rPr>
        <w:t xml:space="preserve">d’absorption de la </w:t>
      </w:r>
      <w:proofErr w:type="spellStart"/>
      <w:r w:rsidR="001246CD">
        <w:rPr>
          <w:rFonts w:asciiTheme="minorHAnsi" w:hAnsiTheme="minorHAnsi" w:cstheme="minorHAnsi"/>
          <w:sz w:val="22"/>
          <w:szCs w:val="22"/>
        </w:rPr>
        <w:t>Moughataa</w:t>
      </w:r>
      <w:proofErr w:type="spellEnd"/>
      <w:r>
        <w:rPr>
          <w:rFonts w:asciiTheme="minorHAnsi" w:hAnsiTheme="minorHAnsi" w:cstheme="minorHAnsi"/>
          <w:sz w:val="22"/>
          <w:szCs w:val="22"/>
        </w:rPr>
        <w:t xml:space="preserve"> d’</w:t>
      </w:r>
      <w:proofErr w:type="spellStart"/>
      <w:r w:rsidRPr="00CD417D">
        <w:rPr>
          <w:rFonts w:asciiTheme="minorHAnsi" w:hAnsiTheme="minorHAnsi" w:cstheme="minorHAnsi"/>
          <w:sz w:val="22"/>
          <w:szCs w:val="22"/>
        </w:rPr>
        <w:t>Aoujeft</w:t>
      </w:r>
      <w:proofErr w:type="spellEnd"/>
      <w:r w:rsidRPr="00CD417D">
        <w:rPr>
          <w:rFonts w:asciiTheme="minorHAnsi" w:hAnsiTheme="minorHAnsi" w:cstheme="minorHAnsi"/>
          <w:sz w:val="22"/>
          <w:szCs w:val="22"/>
        </w:rPr>
        <w:t xml:space="preserve"> est en </w:t>
      </w:r>
      <w:r>
        <w:rPr>
          <w:rFonts w:asciiTheme="minorHAnsi" w:hAnsiTheme="minorHAnsi" w:cstheme="minorHAnsi"/>
          <w:sz w:val="22"/>
          <w:szCs w:val="22"/>
        </w:rPr>
        <w:t xml:space="preserve">léger </w:t>
      </w:r>
      <w:r w:rsidRPr="00CD417D">
        <w:rPr>
          <w:rFonts w:asciiTheme="minorHAnsi" w:hAnsiTheme="minorHAnsi" w:cstheme="minorHAnsi"/>
          <w:sz w:val="22"/>
          <w:szCs w:val="22"/>
        </w:rPr>
        <w:t>recul par ra</w:t>
      </w:r>
      <w:r>
        <w:rPr>
          <w:rFonts w:asciiTheme="minorHAnsi" w:hAnsiTheme="minorHAnsi" w:cstheme="minorHAnsi"/>
          <w:sz w:val="22"/>
          <w:szCs w:val="22"/>
        </w:rPr>
        <w:t>pport à celui de 2011. Il est à peine</w:t>
      </w:r>
      <w:r w:rsidRPr="00CD417D">
        <w:rPr>
          <w:rFonts w:asciiTheme="minorHAnsi" w:hAnsiTheme="minorHAnsi" w:cstheme="minorHAnsi"/>
          <w:sz w:val="22"/>
          <w:szCs w:val="22"/>
        </w:rPr>
        <w:t xml:space="preserve"> satisfaisant</w:t>
      </w:r>
      <w:r>
        <w:rPr>
          <w:rFonts w:asciiTheme="minorHAnsi" w:hAnsiTheme="minorHAnsi" w:cstheme="minorHAnsi"/>
          <w:sz w:val="22"/>
          <w:szCs w:val="22"/>
        </w:rPr>
        <w:t>, en-deçà du niveau national</w:t>
      </w:r>
      <w:r w:rsidR="00870E6B">
        <w:rPr>
          <w:rFonts w:asciiTheme="minorHAnsi" w:hAnsiTheme="minorHAnsi" w:cstheme="minorHAnsi"/>
          <w:sz w:val="22"/>
          <w:szCs w:val="22"/>
        </w:rPr>
        <w:t>, sans être pour autant inquiétant</w:t>
      </w:r>
      <w:r w:rsidRPr="00CD417D">
        <w:rPr>
          <w:rFonts w:asciiTheme="minorHAnsi" w:hAnsiTheme="minorHAnsi" w:cstheme="minorHAnsi"/>
          <w:sz w:val="22"/>
          <w:szCs w:val="22"/>
        </w:rPr>
        <w:t xml:space="preserve">. </w:t>
      </w:r>
    </w:p>
    <w:p w:rsidR="0019066F" w:rsidRDefault="0019066F" w:rsidP="0019066F">
      <w:pPr>
        <w:jc w:val="both"/>
        <w:rPr>
          <w:rFonts w:asciiTheme="minorHAnsi" w:hAnsiTheme="minorHAnsi" w:cstheme="minorHAnsi"/>
          <w:sz w:val="22"/>
          <w:szCs w:val="22"/>
        </w:rPr>
      </w:pPr>
      <w:r w:rsidRPr="00281FE5">
        <w:rPr>
          <w:noProof/>
        </w:rPr>
        <w:drawing>
          <wp:inline distT="0" distB="0" distL="0" distR="0">
            <wp:extent cx="3552825" cy="3505200"/>
            <wp:effectExtent l="19050" t="0" r="9525" b="0"/>
            <wp:docPr id="284"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8" cstate="print"/>
                    <a:stretch>
                      <a:fillRect/>
                    </a:stretch>
                  </pic:blipFill>
                  <pic:spPr>
                    <a:xfrm>
                      <a:off x="0" y="0"/>
                      <a:ext cx="3552825" cy="3505200"/>
                    </a:xfrm>
                    <a:prstGeom prst="rect">
                      <a:avLst/>
                    </a:prstGeom>
                  </pic:spPr>
                </pic:pic>
              </a:graphicData>
            </a:graphic>
          </wp:inline>
        </w:drawing>
      </w:r>
      <w:r w:rsidRPr="00DE26AB">
        <w:rPr>
          <w:rFonts w:asciiTheme="minorHAnsi" w:hAnsiTheme="minorHAnsi" w:cstheme="minorHAnsi"/>
          <w:noProof/>
          <w:sz w:val="22"/>
          <w:szCs w:val="22"/>
        </w:rPr>
        <w:drawing>
          <wp:inline distT="0" distB="0" distL="0" distR="0">
            <wp:extent cx="2943225" cy="3505200"/>
            <wp:effectExtent l="19050" t="0" r="9525" b="0"/>
            <wp:docPr id="285"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9" cstate="print"/>
                    <a:stretch>
                      <a:fillRect/>
                    </a:stretch>
                  </pic:blipFill>
                  <pic:spPr>
                    <a:xfrm>
                      <a:off x="0" y="0"/>
                      <a:ext cx="2942858" cy="3504763"/>
                    </a:xfrm>
                    <a:prstGeom prst="rect">
                      <a:avLst/>
                    </a:prstGeom>
                  </pic:spPr>
                </pic:pic>
              </a:graphicData>
            </a:graphic>
          </wp:inline>
        </w:drawing>
      </w:r>
    </w:p>
    <w:p w:rsidR="003A4CC3" w:rsidRDefault="003A4CC3" w:rsidP="0019066F">
      <w:pPr>
        <w:jc w:val="both"/>
        <w:rPr>
          <w:rFonts w:asciiTheme="minorHAnsi" w:hAnsiTheme="minorHAnsi" w:cstheme="minorHAnsi"/>
          <w:sz w:val="22"/>
          <w:szCs w:val="22"/>
        </w:rPr>
      </w:pPr>
      <w:r w:rsidRPr="003A4CC3">
        <w:rPr>
          <w:noProof/>
          <w:szCs w:val="22"/>
        </w:rPr>
        <w:drawing>
          <wp:inline distT="0" distB="0" distL="0" distR="0">
            <wp:extent cx="6645910" cy="1476375"/>
            <wp:effectExtent l="19050" t="0" r="2540" b="0"/>
            <wp:docPr id="101" name="Imag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220" cstate="print"/>
                    <a:srcRect/>
                    <a:stretch>
                      <a:fillRect/>
                    </a:stretch>
                  </pic:blipFill>
                  <pic:spPr bwMode="auto">
                    <a:xfrm>
                      <a:off x="0" y="0"/>
                      <a:ext cx="6645910" cy="1476375"/>
                    </a:xfrm>
                    <a:prstGeom prst="rect">
                      <a:avLst/>
                    </a:prstGeom>
                    <a:noFill/>
                    <a:ln w="9525">
                      <a:noFill/>
                      <a:miter lim="800000"/>
                      <a:headEnd/>
                      <a:tailEnd/>
                    </a:ln>
                  </pic:spPr>
                </pic:pic>
              </a:graphicData>
            </a:graphic>
          </wp:inline>
        </w:drawing>
      </w:r>
    </w:p>
    <w:p w:rsidR="003A4CC3" w:rsidRDefault="003A4CC3" w:rsidP="003A4CC3">
      <w:pPr>
        <w:jc w:val="both"/>
        <w:rPr>
          <w:rFonts w:asciiTheme="minorHAnsi" w:hAnsiTheme="minorHAnsi" w:cstheme="minorHAnsi"/>
          <w:sz w:val="22"/>
          <w:szCs w:val="22"/>
        </w:rPr>
      </w:pPr>
    </w:p>
    <w:p w:rsidR="003A4CC3" w:rsidRDefault="003A4CC3" w:rsidP="003A4CC3">
      <w:pPr>
        <w:jc w:val="both"/>
        <w:rPr>
          <w:rFonts w:asciiTheme="minorHAnsi" w:hAnsiTheme="minorHAnsi" w:cstheme="minorHAnsi"/>
          <w:sz w:val="22"/>
          <w:szCs w:val="22"/>
        </w:rPr>
      </w:pPr>
      <w:r>
        <w:rPr>
          <w:rFonts w:asciiTheme="minorHAnsi" w:hAnsiTheme="minorHAnsi" w:cstheme="minorHAnsi"/>
          <w:sz w:val="22"/>
          <w:szCs w:val="22"/>
        </w:rPr>
        <w:t>En revanche, l</w:t>
      </w:r>
      <w:r w:rsidRPr="00CD417D">
        <w:rPr>
          <w:rFonts w:asciiTheme="minorHAnsi" w:hAnsiTheme="minorHAnsi" w:cstheme="minorHAnsi"/>
          <w:sz w:val="22"/>
          <w:szCs w:val="22"/>
        </w:rPr>
        <w:t xml:space="preserve">e montant </w:t>
      </w:r>
      <w:r>
        <w:rPr>
          <w:rFonts w:asciiTheme="minorHAnsi" w:hAnsiTheme="minorHAnsi" w:cstheme="minorHAnsi"/>
          <w:sz w:val="22"/>
          <w:szCs w:val="22"/>
        </w:rPr>
        <w:t xml:space="preserve">moyen </w:t>
      </w:r>
      <w:r w:rsidRPr="00CD417D">
        <w:rPr>
          <w:rFonts w:asciiTheme="minorHAnsi" w:hAnsiTheme="minorHAnsi" w:cstheme="minorHAnsi"/>
          <w:sz w:val="22"/>
          <w:szCs w:val="22"/>
        </w:rPr>
        <w:t xml:space="preserve">par </w:t>
      </w:r>
      <w:r>
        <w:rPr>
          <w:rFonts w:asciiTheme="minorHAnsi" w:hAnsiTheme="minorHAnsi" w:cstheme="minorHAnsi"/>
          <w:sz w:val="22"/>
          <w:szCs w:val="22"/>
        </w:rPr>
        <w:t xml:space="preserve">projet est encourageant, dans la mesure où il est passé de 345 037 MRO à 1 492 132 MRO en 2012, mettant fin à </w:t>
      </w:r>
      <w:r w:rsidRPr="00CD417D">
        <w:rPr>
          <w:rFonts w:asciiTheme="minorHAnsi" w:hAnsiTheme="minorHAnsi" w:cstheme="minorHAnsi"/>
          <w:sz w:val="22"/>
          <w:szCs w:val="22"/>
        </w:rPr>
        <w:t>une parcellisation de l’investiss</w:t>
      </w:r>
      <w:r>
        <w:rPr>
          <w:rFonts w:asciiTheme="minorHAnsi" w:hAnsiTheme="minorHAnsi" w:cstheme="minorHAnsi"/>
          <w:sz w:val="22"/>
          <w:szCs w:val="22"/>
        </w:rPr>
        <w:t>ement particulièrement sévère</w:t>
      </w:r>
      <w:r w:rsidRPr="00CD417D">
        <w:rPr>
          <w:rFonts w:asciiTheme="minorHAnsi" w:hAnsiTheme="minorHAnsi" w:cstheme="minorHAnsi"/>
          <w:sz w:val="22"/>
          <w:szCs w:val="22"/>
        </w:rPr>
        <w:t xml:space="preserve">. </w:t>
      </w:r>
      <w:r>
        <w:rPr>
          <w:rFonts w:asciiTheme="minorHAnsi" w:hAnsiTheme="minorHAnsi" w:cstheme="minorHAnsi"/>
          <w:sz w:val="22"/>
          <w:szCs w:val="22"/>
        </w:rPr>
        <w:t>Ainsi, le nombre de projets est passé de 39 à 10.</w:t>
      </w:r>
    </w:p>
    <w:p w:rsidR="003A4CC3" w:rsidRDefault="003A4CC3" w:rsidP="003A4CC3">
      <w:pPr>
        <w:jc w:val="both"/>
        <w:rPr>
          <w:rFonts w:asciiTheme="minorHAnsi" w:hAnsiTheme="minorHAnsi" w:cstheme="minorHAnsi"/>
        </w:rPr>
      </w:pPr>
      <w:r>
        <w:rPr>
          <w:rFonts w:asciiTheme="minorHAnsi" w:hAnsiTheme="minorHAnsi" w:cstheme="minorHAnsi"/>
        </w:rPr>
        <w:t>Premier secteur d’investissement : les bâtiments communaux, à hauteur de 53,29% des engagements. 4 projets pour 7 951 408 MRO.</w:t>
      </w:r>
    </w:p>
    <w:p w:rsidR="003A4CC3" w:rsidRDefault="003A4CC3" w:rsidP="003A4CC3">
      <w:pPr>
        <w:jc w:val="both"/>
        <w:rPr>
          <w:rFonts w:asciiTheme="minorHAnsi" w:hAnsiTheme="minorHAnsi" w:cstheme="minorHAnsi"/>
        </w:rPr>
      </w:pPr>
      <w:r>
        <w:rPr>
          <w:rFonts w:asciiTheme="minorHAnsi" w:hAnsiTheme="minorHAnsi" w:cstheme="minorHAnsi"/>
        </w:rPr>
        <w:t>Deuxième priorité dégagée en 2012 : l’hydraulique à hauteur de 28,16% des engagements, soit 3 projets pour un total de 4 202 284 MRO.</w:t>
      </w:r>
    </w:p>
    <w:p w:rsidR="003A4CC3" w:rsidRDefault="003A4CC3" w:rsidP="003A4CC3">
      <w:pPr>
        <w:jc w:val="both"/>
        <w:rPr>
          <w:rFonts w:asciiTheme="minorHAnsi" w:hAnsiTheme="minorHAnsi" w:cstheme="minorHAnsi"/>
        </w:rPr>
      </w:pPr>
      <w:r>
        <w:rPr>
          <w:rFonts w:asciiTheme="minorHAnsi" w:hAnsiTheme="minorHAnsi" w:cstheme="minorHAnsi"/>
        </w:rPr>
        <w:t xml:space="preserve">Enfin, l’équipement des mairies a été la troisième préoccupation des décideurs de la </w:t>
      </w:r>
      <w:proofErr w:type="spellStart"/>
      <w:r w:rsidR="001246CD">
        <w:rPr>
          <w:rFonts w:asciiTheme="minorHAnsi" w:hAnsiTheme="minorHAnsi" w:cstheme="minorHAnsi"/>
        </w:rPr>
        <w:t>Moughataa</w:t>
      </w:r>
      <w:proofErr w:type="spellEnd"/>
      <w:r>
        <w:rPr>
          <w:rFonts w:asciiTheme="minorHAnsi" w:hAnsiTheme="minorHAnsi" w:cstheme="minorHAnsi"/>
        </w:rPr>
        <w:t xml:space="preserve"> d’</w:t>
      </w:r>
      <w:proofErr w:type="spellStart"/>
      <w:r>
        <w:rPr>
          <w:rFonts w:asciiTheme="minorHAnsi" w:hAnsiTheme="minorHAnsi" w:cstheme="minorHAnsi"/>
        </w:rPr>
        <w:t>Aoujeft</w:t>
      </w:r>
      <w:proofErr w:type="spellEnd"/>
      <w:r>
        <w:rPr>
          <w:rFonts w:asciiTheme="minorHAnsi" w:hAnsiTheme="minorHAnsi" w:cstheme="minorHAnsi"/>
        </w:rPr>
        <w:t xml:space="preserve"> à hauteur de 12,10% des engagements : 1 804 978 MRO pour un projet unique.</w:t>
      </w:r>
    </w:p>
    <w:p w:rsidR="003A4CC3" w:rsidRPr="00CD417D" w:rsidRDefault="003A4CC3" w:rsidP="0019066F">
      <w:pPr>
        <w:jc w:val="both"/>
        <w:rPr>
          <w:rFonts w:asciiTheme="minorHAnsi" w:hAnsiTheme="minorHAnsi" w:cstheme="minorHAnsi"/>
          <w:sz w:val="22"/>
          <w:szCs w:val="22"/>
        </w:rPr>
      </w:pPr>
    </w:p>
    <w:p w:rsidR="0019066F" w:rsidRDefault="0019066F" w:rsidP="0019066F">
      <w:pPr>
        <w:jc w:val="both"/>
        <w:rPr>
          <w:rFonts w:asciiTheme="minorHAnsi" w:hAnsiTheme="minorHAnsi" w:cstheme="minorHAnsi"/>
          <w:sz w:val="22"/>
          <w:szCs w:val="22"/>
        </w:rPr>
      </w:pPr>
      <w:r w:rsidRPr="00362287">
        <w:rPr>
          <w:rFonts w:asciiTheme="minorHAnsi" w:hAnsiTheme="minorHAnsi" w:cstheme="minorHAnsi"/>
          <w:noProof/>
          <w:sz w:val="22"/>
          <w:szCs w:val="22"/>
        </w:rPr>
        <w:drawing>
          <wp:inline distT="0" distB="0" distL="0" distR="0">
            <wp:extent cx="6524625" cy="2886075"/>
            <wp:effectExtent l="19050" t="0" r="0" b="0"/>
            <wp:docPr id="286"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1" cstate="print"/>
                    <a:stretch>
                      <a:fillRect/>
                    </a:stretch>
                  </pic:blipFill>
                  <pic:spPr>
                    <a:xfrm>
                      <a:off x="0" y="0"/>
                      <a:ext cx="6523810" cy="2885715"/>
                    </a:xfrm>
                    <a:prstGeom prst="rect">
                      <a:avLst/>
                    </a:prstGeom>
                  </pic:spPr>
                </pic:pic>
              </a:graphicData>
            </a:graphic>
          </wp:inline>
        </w:drawing>
      </w:r>
    </w:p>
    <w:p w:rsidR="0019066F" w:rsidRPr="00CD417D" w:rsidRDefault="00F75E39" w:rsidP="0019066F">
      <w:pPr>
        <w:jc w:val="both"/>
        <w:rPr>
          <w:rFonts w:asciiTheme="minorHAnsi" w:hAnsiTheme="minorHAnsi" w:cstheme="minorHAnsi"/>
          <w:sz w:val="22"/>
          <w:szCs w:val="22"/>
        </w:rPr>
      </w:pPr>
      <w:r w:rsidRPr="00F75E39">
        <w:rPr>
          <w:noProof/>
        </w:rPr>
        <w:drawing>
          <wp:inline distT="0" distB="0" distL="0" distR="0">
            <wp:extent cx="6524624" cy="2724150"/>
            <wp:effectExtent l="19050" t="0" r="0" b="0"/>
            <wp:docPr id="299"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2" cstate="print"/>
                    <a:stretch>
                      <a:fillRect/>
                    </a:stretch>
                  </pic:blipFill>
                  <pic:spPr>
                    <a:xfrm>
                      <a:off x="0" y="0"/>
                      <a:ext cx="6533750" cy="2727960"/>
                    </a:xfrm>
                    <a:prstGeom prst="rect">
                      <a:avLst/>
                    </a:prstGeom>
                  </pic:spPr>
                </pic:pic>
              </a:graphicData>
            </a:graphic>
          </wp:inline>
        </w:drawing>
      </w:r>
    </w:p>
    <w:p w:rsidR="009B5FC4" w:rsidRDefault="009B5FC4">
      <w:pPr>
        <w:spacing w:after="200" w:line="276" w:lineRule="auto"/>
        <w:rPr>
          <w:rFonts w:asciiTheme="minorHAnsi" w:hAnsiTheme="minorHAnsi" w:cstheme="minorHAnsi"/>
        </w:rPr>
      </w:pPr>
      <w:r>
        <w:rPr>
          <w:rFonts w:asciiTheme="minorHAnsi" w:hAnsiTheme="minorHAnsi" w:cstheme="minorHAnsi"/>
        </w:rPr>
        <w:br w:type="page"/>
      </w:r>
    </w:p>
    <w:p w:rsidR="00074C50" w:rsidRDefault="00074C50" w:rsidP="00A27296">
      <w:pPr>
        <w:jc w:val="both"/>
        <w:rPr>
          <w:rFonts w:asciiTheme="minorHAnsi" w:hAnsiTheme="minorHAnsi" w:cstheme="minorHAnsi"/>
        </w:rPr>
      </w:pPr>
    </w:p>
    <w:p w:rsidR="002529BC" w:rsidRPr="00926744" w:rsidRDefault="001246CD" w:rsidP="0092674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2D050"/>
        <w:rPr>
          <w:rFonts w:asciiTheme="minorHAnsi" w:hAnsiTheme="minorHAnsi" w:cstheme="minorHAnsi"/>
          <w:b/>
          <w:smallCaps/>
          <w:sz w:val="28"/>
          <w:szCs w:val="28"/>
        </w:rPr>
      </w:pPr>
      <w:r>
        <w:rPr>
          <w:rFonts w:asciiTheme="minorHAnsi" w:hAnsiTheme="minorHAnsi" w:cstheme="minorHAnsi"/>
          <w:b/>
          <w:smallCaps/>
          <w:sz w:val="28"/>
          <w:szCs w:val="28"/>
        </w:rPr>
        <w:t>Wilaya</w:t>
      </w:r>
      <w:r w:rsidR="00A27296" w:rsidRPr="009B5FC4">
        <w:rPr>
          <w:rFonts w:asciiTheme="minorHAnsi" w:hAnsiTheme="minorHAnsi" w:cstheme="minorHAnsi"/>
          <w:b/>
          <w:smallCaps/>
          <w:sz w:val="28"/>
          <w:szCs w:val="28"/>
        </w:rPr>
        <w:t xml:space="preserve"> du </w:t>
      </w:r>
      <w:proofErr w:type="spellStart"/>
      <w:r w:rsidR="00A27296" w:rsidRPr="009B5FC4">
        <w:rPr>
          <w:rFonts w:asciiTheme="minorHAnsi" w:hAnsiTheme="minorHAnsi" w:cstheme="minorHAnsi"/>
          <w:b/>
          <w:smallCaps/>
          <w:sz w:val="28"/>
          <w:szCs w:val="28"/>
        </w:rPr>
        <w:t>Dakhlet</w:t>
      </w:r>
      <w:proofErr w:type="spellEnd"/>
      <w:r w:rsidR="00A27296" w:rsidRPr="009B5FC4">
        <w:rPr>
          <w:rFonts w:asciiTheme="minorHAnsi" w:hAnsiTheme="minorHAnsi" w:cstheme="minorHAnsi"/>
          <w:b/>
          <w:smallCaps/>
          <w:sz w:val="28"/>
          <w:szCs w:val="28"/>
        </w:rPr>
        <w:t>-Nouadhibou</w:t>
      </w:r>
    </w:p>
    <w:p w:rsidR="00926744" w:rsidRDefault="00926744" w:rsidP="00A27296">
      <w:pPr>
        <w:jc w:val="both"/>
        <w:rPr>
          <w:rFonts w:asciiTheme="minorHAnsi" w:hAnsiTheme="minorHAnsi" w:cstheme="minorHAnsi"/>
        </w:rPr>
      </w:pPr>
    </w:p>
    <w:p w:rsidR="00ED08DD" w:rsidRDefault="00ED08DD" w:rsidP="00A27296">
      <w:pPr>
        <w:jc w:val="both"/>
        <w:rPr>
          <w:rFonts w:asciiTheme="minorHAnsi" w:hAnsiTheme="minorHAnsi" w:cstheme="minorHAnsi"/>
        </w:rPr>
      </w:pPr>
      <w:r w:rsidRPr="00ED08DD">
        <w:rPr>
          <w:noProof/>
        </w:rPr>
        <w:drawing>
          <wp:inline distT="0" distB="0" distL="0" distR="0">
            <wp:extent cx="6645910" cy="1485900"/>
            <wp:effectExtent l="19050" t="0" r="2540" b="0"/>
            <wp:docPr id="287"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3" cstate="print"/>
                    <a:stretch>
                      <a:fillRect/>
                    </a:stretch>
                  </pic:blipFill>
                  <pic:spPr>
                    <a:xfrm>
                      <a:off x="0" y="0"/>
                      <a:ext cx="6645910" cy="1485900"/>
                    </a:xfrm>
                    <a:prstGeom prst="rect">
                      <a:avLst/>
                    </a:prstGeom>
                  </pic:spPr>
                </pic:pic>
              </a:graphicData>
            </a:graphic>
          </wp:inline>
        </w:drawing>
      </w:r>
    </w:p>
    <w:p w:rsidR="00ED08DD" w:rsidRDefault="00ED08DD" w:rsidP="00A27296">
      <w:pPr>
        <w:jc w:val="both"/>
        <w:rPr>
          <w:rFonts w:asciiTheme="minorHAnsi" w:hAnsiTheme="minorHAnsi" w:cstheme="minorHAnsi"/>
        </w:rPr>
      </w:pPr>
    </w:p>
    <w:p w:rsidR="00D4302D" w:rsidRPr="00D703B1" w:rsidRDefault="00A27296" w:rsidP="00D4302D">
      <w:pPr>
        <w:jc w:val="both"/>
        <w:rPr>
          <w:rFonts w:asciiTheme="minorHAnsi" w:hAnsiTheme="minorHAnsi" w:cstheme="minorHAnsi"/>
          <w:sz w:val="22"/>
          <w:szCs w:val="22"/>
        </w:rPr>
      </w:pPr>
      <w:r w:rsidRPr="00D703B1">
        <w:rPr>
          <w:rFonts w:asciiTheme="minorHAnsi" w:hAnsiTheme="minorHAnsi" w:cstheme="minorHAnsi"/>
          <w:sz w:val="22"/>
          <w:szCs w:val="22"/>
        </w:rPr>
        <w:t xml:space="preserve">La </w:t>
      </w:r>
      <w:r w:rsidR="001246CD">
        <w:rPr>
          <w:rFonts w:asciiTheme="minorHAnsi" w:hAnsiTheme="minorHAnsi" w:cstheme="minorHAnsi"/>
          <w:sz w:val="22"/>
          <w:szCs w:val="22"/>
        </w:rPr>
        <w:t>Wilaya</w:t>
      </w:r>
      <w:r w:rsidRPr="00D703B1">
        <w:rPr>
          <w:rFonts w:asciiTheme="minorHAnsi" w:hAnsiTheme="minorHAnsi" w:cstheme="minorHAnsi"/>
          <w:sz w:val="22"/>
          <w:szCs w:val="22"/>
        </w:rPr>
        <w:t xml:space="preserve"> du </w:t>
      </w:r>
      <w:proofErr w:type="spellStart"/>
      <w:r w:rsidRPr="00D703B1">
        <w:rPr>
          <w:rFonts w:asciiTheme="minorHAnsi" w:hAnsiTheme="minorHAnsi" w:cstheme="minorHAnsi"/>
          <w:sz w:val="22"/>
          <w:szCs w:val="22"/>
        </w:rPr>
        <w:t>Dakhlet</w:t>
      </w:r>
      <w:proofErr w:type="spellEnd"/>
      <w:r w:rsidRPr="00D703B1">
        <w:rPr>
          <w:rFonts w:asciiTheme="minorHAnsi" w:hAnsiTheme="minorHAnsi" w:cstheme="minorHAnsi"/>
          <w:sz w:val="22"/>
          <w:szCs w:val="22"/>
        </w:rPr>
        <w:t xml:space="preserve">-Nouadhibou ne comporte qu’une seule </w:t>
      </w:r>
      <w:proofErr w:type="spellStart"/>
      <w:r w:rsidR="001246CD">
        <w:rPr>
          <w:rFonts w:asciiTheme="minorHAnsi" w:hAnsiTheme="minorHAnsi" w:cstheme="minorHAnsi"/>
          <w:sz w:val="22"/>
          <w:szCs w:val="22"/>
        </w:rPr>
        <w:t>Moughataa</w:t>
      </w:r>
      <w:proofErr w:type="spellEnd"/>
      <w:r w:rsidRPr="00D703B1">
        <w:rPr>
          <w:rFonts w:asciiTheme="minorHAnsi" w:hAnsiTheme="minorHAnsi" w:cstheme="minorHAnsi"/>
          <w:sz w:val="22"/>
          <w:szCs w:val="22"/>
        </w:rPr>
        <w:t xml:space="preserve">, l’analyse de la </w:t>
      </w:r>
      <w:r w:rsidR="001246CD">
        <w:rPr>
          <w:rFonts w:asciiTheme="minorHAnsi" w:hAnsiTheme="minorHAnsi" w:cstheme="minorHAnsi"/>
          <w:sz w:val="22"/>
          <w:szCs w:val="22"/>
        </w:rPr>
        <w:t>Wilaya</w:t>
      </w:r>
      <w:r w:rsidRPr="00D703B1">
        <w:rPr>
          <w:rFonts w:asciiTheme="minorHAnsi" w:hAnsiTheme="minorHAnsi" w:cstheme="minorHAnsi"/>
          <w:sz w:val="22"/>
          <w:szCs w:val="22"/>
        </w:rPr>
        <w:t xml:space="preserve"> vaut donc pour l’ensemble. </w:t>
      </w:r>
      <w:r w:rsidR="00D4302D">
        <w:rPr>
          <w:rFonts w:asciiTheme="minorHAnsi" w:hAnsiTheme="minorHAnsi" w:cstheme="minorHAnsi"/>
          <w:sz w:val="22"/>
          <w:szCs w:val="22"/>
        </w:rPr>
        <w:t xml:space="preserve">De surcroît, comme pour l’exercice précédent, notre analyse ne pourra porter que sur la commune de Nouadhibou dans la mesure où les autres communes de la </w:t>
      </w:r>
      <w:proofErr w:type="spellStart"/>
      <w:r w:rsidR="001246CD">
        <w:rPr>
          <w:rFonts w:asciiTheme="minorHAnsi" w:hAnsiTheme="minorHAnsi" w:cstheme="minorHAnsi"/>
          <w:sz w:val="22"/>
          <w:szCs w:val="22"/>
        </w:rPr>
        <w:t>Moughataa</w:t>
      </w:r>
      <w:proofErr w:type="spellEnd"/>
      <w:r w:rsidR="00D4302D">
        <w:rPr>
          <w:rFonts w:asciiTheme="minorHAnsi" w:hAnsiTheme="minorHAnsi" w:cstheme="minorHAnsi"/>
          <w:sz w:val="22"/>
          <w:szCs w:val="22"/>
        </w:rPr>
        <w:t xml:space="preserve"> n’ont pas transmis leur rapport. Il s’agit des quatre communes de </w:t>
      </w:r>
      <w:proofErr w:type="spellStart"/>
      <w:r w:rsidR="00D4302D">
        <w:rPr>
          <w:rFonts w:asciiTheme="minorHAnsi" w:hAnsiTheme="minorHAnsi" w:cstheme="minorHAnsi"/>
          <w:sz w:val="22"/>
          <w:szCs w:val="22"/>
        </w:rPr>
        <w:t>Tmeïmichatt</w:t>
      </w:r>
      <w:proofErr w:type="spellEnd"/>
      <w:r w:rsidR="00D4302D">
        <w:rPr>
          <w:rFonts w:asciiTheme="minorHAnsi" w:hAnsiTheme="minorHAnsi" w:cstheme="minorHAnsi"/>
          <w:sz w:val="22"/>
          <w:szCs w:val="22"/>
        </w:rPr>
        <w:t xml:space="preserve">, </w:t>
      </w:r>
      <w:proofErr w:type="spellStart"/>
      <w:r w:rsidR="00D4302D">
        <w:rPr>
          <w:rFonts w:asciiTheme="minorHAnsi" w:hAnsiTheme="minorHAnsi" w:cstheme="minorHAnsi"/>
          <w:sz w:val="22"/>
          <w:szCs w:val="22"/>
        </w:rPr>
        <w:t>Inal</w:t>
      </w:r>
      <w:proofErr w:type="spellEnd"/>
      <w:r w:rsidR="00D4302D">
        <w:rPr>
          <w:rFonts w:asciiTheme="minorHAnsi" w:hAnsiTheme="minorHAnsi" w:cstheme="minorHAnsi"/>
          <w:sz w:val="22"/>
          <w:szCs w:val="22"/>
        </w:rPr>
        <w:t xml:space="preserve">, Nouamghar, </w:t>
      </w:r>
      <w:proofErr w:type="spellStart"/>
      <w:r w:rsidR="00D4302D">
        <w:rPr>
          <w:rFonts w:asciiTheme="minorHAnsi" w:hAnsiTheme="minorHAnsi" w:cstheme="minorHAnsi"/>
          <w:sz w:val="22"/>
          <w:szCs w:val="22"/>
        </w:rPr>
        <w:t>Boulenouar</w:t>
      </w:r>
      <w:proofErr w:type="spellEnd"/>
      <w:r w:rsidR="00D4302D">
        <w:rPr>
          <w:rFonts w:asciiTheme="minorHAnsi" w:hAnsiTheme="minorHAnsi" w:cstheme="minorHAnsi"/>
          <w:sz w:val="22"/>
          <w:szCs w:val="22"/>
        </w:rPr>
        <w:t>.</w:t>
      </w:r>
    </w:p>
    <w:p w:rsidR="00D4302D" w:rsidRDefault="00D4302D" w:rsidP="00A27296">
      <w:pPr>
        <w:jc w:val="both"/>
        <w:rPr>
          <w:rFonts w:asciiTheme="minorHAnsi" w:hAnsiTheme="minorHAnsi" w:cstheme="minorHAnsi"/>
          <w:sz w:val="22"/>
          <w:szCs w:val="22"/>
        </w:rPr>
      </w:pPr>
    </w:p>
    <w:p w:rsidR="0020373B" w:rsidRDefault="00A27296" w:rsidP="00A27296">
      <w:pPr>
        <w:jc w:val="both"/>
        <w:rPr>
          <w:rFonts w:asciiTheme="minorHAnsi" w:hAnsiTheme="minorHAnsi" w:cstheme="minorHAnsi"/>
          <w:sz w:val="22"/>
          <w:szCs w:val="22"/>
        </w:rPr>
      </w:pPr>
      <w:r w:rsidRPr="00D703B1">
        <w:rPr>
          <w:rFonts w:asciiTheme="minorHAnsi" w:hAnsiTheme="minorHAnsi" w:cstheme="minorHAnsi"/>
          <w:sz w:val="22"/>
          <w:szCs w:val="22"/>
        </w:rPr>
        <w:t xml:space="preserve">La </w:t>
      </w:r>
      <w:r w:rsidR="001246CD">
        <w:rPr>
          <w:rFonts w:asciiTheme="minorHAnsi" w:hAnsiTheme="minorHAnsi" w:cstheme="minorHAnsi"/>
          <w:sz w:val="22"/>
          <w:szCs w:val="22"/>
        </w:rPr>
        <w:t>Wilaya</w:t>
      </w:r>
      <w:r w:rsidRPr="00D703B1">
        <w:rPr>
          <w:rFonts w:asciiTheme="minorHAnsi" w:hAnsiTheme="minorHAnsi" w:cstheme="minorHAnsi"/>
          <w:sz w:val="22"/>
          <w:szCs w:val="22"/>
        </w:rPr>
        <w:t xml:space="preserve"> </w:t>
      </w:r>
      <w:r w:rsidR="009B5FC4">
        <w:rPr>
          <w:rFonts w:asciiTheme="minorHAnsi" w:hAnsiTheme="minorHAnsi" w:cstheme="minorHAnsi"/>
          <w:sz w:val="22"/>
          <w:szCs w:val="22"/>
        </w:rPr>
        <w:t>a bénéficié pour l’exercice 2012</w:t>
      </w:r>
      <w:r w:rsidRPr="00D703B1">
        <w:rPr>
          <w:rFonts w:asciiTheme="minorHAnsi" w:hAnsiTheme="minorHAnsi" w:cstheme="minorHAnsi"/>
          <w:sz w:val="22"/>
          <w:szCs w:val="22"/>
        </w:rPr>
        <w:t xml:space="preserve"> d’un FRD équipement de </w:t>
      </w:r>
      <w:r w:rsidR="009B5FC4">
        <w:rPr>
          <w:rFonts w:asciiTheme="minorHAnsi" w:hAnsiTheme="minorHAnsi" w:cstheme="minorHAnsi"/>
          <w:b/>
          <w:sz w:val="22"/>
          <w:szCs w:val="22"/>
        </w:rPr>
        <w:t>72 506 365</w:t>
      </w:r>
      <w:r w:rsidRPr="00D703B1">
        <w:rPr>
          <w:rFonts w:asciiTheme="minorHAnsi" w:hAnsiTheme="minorHAnsi" w:cstheme="minorHAnsi"/>
          <w:b/>
          <w:sz w:val="22"/>
          <w:szCs w:val="22"/>
        </w:rPr>
        <w:t xml:space="preserve"> </w:t>
      </w:r>
      <w:proofErr w:type="gramStart"/>
      <w:r w:rsidR="004871EA">
        <w:rPr>
          <w:rFonts w:asciiTheme="minorHAnsi" w:hAnsiTheme="minorHAnsi" w:cstheme="minorHAnsi"/>
          <w:b/>
          <w:sz w:val="22"/>
          <w:szCs w:val="22"/>
        </w:rPr>
        <w:t>ouguiya</w:t>
      </w:r>
      <w:proofErr w:type="gramEnd"/>
      <w:r w:rsidRPr="00D703B1">
        <w:rPr>
          <w:rFonts w:asciiTheme="minorHAnsi" w:hAnsiTheme="minorHAnsi" w:cstheme="minorHAnsi"/>
          <w:sz w:val="22"/>
          <w:szCs w:val="22"/>
        </w:rPr>
        <w:t xml:space="preserve">, soit une hausse de </w:t>
      </w:r>
      <w:r w:rsidR="009B5FC4">
        <w:rPr>
          <w:rFonts w:asciiTheme="minorHAnsi" w:hAnsiTheme="minorHAnsi" w:cstheme="minorHAnsi"/>
          <w:b/>
          <w:sz w:val="22"/>
          <w:szCs w:val="22"/>
        </w:rPr>
        <w:t>15,22</w:t>
      </w:r>
      <w:r w:rsidRPr="00D703B1">
        <w:rPr>
          <w:rFonts w:asciiTheme="minorHAnsi" w:hAnsiTheme="minorHAnsi" w:cstheme="minorHAnsi"/>
          <w:b/>
          <w:sz w:val="22"/>
          <w:szCs w:val="22"/>
        </w:rPr>
        <w:t>%.</w:t>
      </w:r>
      <w:r w:rsidR="009B5FC4">
        <w:rPr>
          <w:rFonts w:asciiTheme="minorHAnsi" w:hAnsiTheme="minorHAnsi" w:cstheme="minorHAnsi"/>
          <w:sz w:val="22"/>
          <w:szCs w:val="22"/>
        </w:rPr>
        <w:t xml:space="preserve"> 64 408 568 </w:t>
      </w:r>
      <w:proofErr w:type="gramStart"/>
      <w:r w:rsidR="004871EA">
        <w:rPr>
          <w:rFonts w:asciiTheme="minorHAnsi" w:hAnsiTheme="minorHAnsi" w:cstheme="minorHAnsi"/>
          <w:sz w:val="22"/>
          <w:szCs w:val="22"/>
        </w:rPr>
        <w:t>ouguiya</w:t>
      </w:r>
      <w:proofErr w:type="gramEnd"/>
      <w:r w:rsidR="009B5FC4">
        <w:rPr>
          <w:rFonts w:asciiTheme="minorHAnsi" w:hAnsiTheme="minorHAnsi" w:cstheme="minorHAnsi"/>
          <w:sz w:val="22"/>
          <w:szCs w:val="22"/>
        </w:rPr>
        <w:t xml:space="preserve"> ont été engagés en 2012</w:t>
      </w:r>
      <w:r w:rsidRPr="00D703B1">
        <w:rPr>
          <w:rFonts w:asciiTheme="minorHAnsi" w:hAnsiTheme="minorHAnsi" w:cstheme="minorHAnsi"/>
          <w:sz w:val="22"/>
          <w:szCs w:val="22"/>
        </w:rPr>
        <w:t xml:space="preserve">, soit un </w:t>
      </w:r>
      <w:r w:rsidR="009B5FC4">
        <w:rPr>
          <w:rFonts w:asciiTheme="minorHAnsi" w:hAnsiTheme="minorHAnsi" w:cstheme="minorHAnsi"/>
          <w:b/>
          <w:sz w:val="22"/>
          <w:szCs w:val="22"/>
        </w:rPr>
        <w:t xml:space="preserve">taux d’absorption de </w:t>
      </w:r>
      <w:r w:rsidR="00F75E39">
        <w:rPr>
          <w:rFonts w:asciiTheme="minorHAnsi" w:hAnsiTheme="minorHAnsi" w:cstheme="minorHAnsi"/>
          <w:b/>
          <w:sz w:val="22"/>
          <w:szCs w:val="22"/>
        </w:rPr>
        <w:t xml:space="preserve">relativement faible </w:t>
      </w:r>
      <w:r w:rsidR="009B5FC4">
        <w:rPr>
          <w:rFonts w:asciiTheme="minorHAnsi" w:hAnsiTheme="minorHAnsi" w:cstheme="minorHAnsi"/>
          <w:b/>
          <w:sz w:val="22"/>
          <w:szCs w:val="22"/>
        </w:rPr>
        <w:t>88,83</w:t>
      </w:r>
      <w:r w:rsidRPr="00D703B1">
        <w:rPr>
          <w:rFonts w:asciiTheme="minorHAnsi" w:hAnsiTheme="minorHAnsi" w:cstheme="minorHAnsi"/>
          <w:b/>
          <w:sz w:val="22"/>
          <w:szCs w:val="22"/>
        </w:rPr>
        <w:t xml:space="preserve"> </w:t>
      </w:r>
      <w:r w:rsidR="0020373B">
        <w:rPr>
          <w:rFonts w:asciiTheme="minorHAnsi" w:hAnsiTheme="minorHAnsi" w:cstheme="minorHAnsi"/>
          <w:sz w:val="22"/>
          <w:szCs w:val="22"/>
        </w:rPr>
        <w:t>%.</w:t>
      </w:r>
    </w:p>
    <w:p w:rsidR="00D4302D" w:rsidRDefault="00D4302D" w:rsidP="00A27296">
      <w:pPr>
        <w:jc w:val="both"/>
        <w:rPr>
          <w:rFonts w:asciiTheme="minorHAnsi" w:hAnsiTheme="minorHAnsi" w:cstheme="minorHAnsi"/>
          <w:sz w:val="22"/>
          <w:szCs w:val="22"/>
        </w:rPr>
      </w:pPr>
    </w:p>
    <w:p w:rsidR="00A27296" w:rsidRPr="00D703B1" w:rsidRDefault="00A27296" w:rsidP="00A27296">
      <w:pPr>
        <w:jc w:val="both"/>
        <w:rPr>
          <w:rFonts w:asciiTheme="minorHAnsi" w:hAnsiTheme="minorHAnsi" w:cstheme="minorHAnsi"/>
          <w:sz w:val="22"/>
          <w:szCs w:val="22"/>
        </w:rPr>
      </w:pPr>
      <w:r w:rsidRPr="00D703B1">
        <w:rPr>
          <w:rFonts w:asciiTheme="minorHAnsi" w:hAnsiTheme="minorHAnsi" w:cstheme="minorHAnsi"/>
          <w:sz w:val="22"/>
          <w:szCs w:val="22"/>
        </w:rPr>
        <w:t>Ce taux d’abs</w:t>
      </w:r>
      <w:r w:rsidR="009B5FC4">
        <w:rPr>
          <w:rFonts w:asciiTheme="minorHAnsi" w:hAnsiTheme="minorHAnsi" w:cstheme="minorHAnsi"/>
          <w:sz w:val="22"/>
          <w:szCs w:val="22"/>
        </w:rPr>
        <w:t xml:space="preserve">orption est </w:t>
      </w:r>
      <w:r w:rsidR="00F75E39">
        <w:rPr>
          <w:rFonts w:asciiTheme="minorHAnsi" w:hAnsiTheme="minorHAnsi" w:cstheme="minorHAnsi"/>
          <w:sz w:val="22"/>
          <w:szCs w:val="22"/>
        </w:rPr>
        <w:t xml:space="preserve">pourtant </w:t>
      </w:r>
      <w:r w:rsidR="009B5FC4">
        <w:rPr>
          <w:rFonts w:asciiTheme="minorHAnsi" w:hAnsiTheme="minorHAnsi" w:cstheme="minorHAnsi"/>
          <w:sz w:val="22"/>
          <w:szCs w:val="22"/>
        </w:rPr>
        <w:t>légèrement supérieur à celui constaté pour 2011</w:t>
      </w:r>
      <w:r w:rsidR="005102C7">
        <w:rPr>
          <w:rFonts w:asciiTheme="minorHAnsi" w:hAnsiTheme="minorHAnsi" w:cstheme="minorHAnsi"/>
          <w:sz w:val="22"/>
          <w:szCs w:val="22"/>
        </w:rPr>
        <w:t xml:space="preserve"> même si </w:t>
      </w:r>
      <w:r w:rsidR="000F304B">
        <w:rPr>
          <w:rFonts w:asciiTheme="minorHAnsi" w:hAnsiTheme="minorHAnsi" w:cstheme="minorHAnsi"/>
          <w:sz w:val="22"/>
          <w:szCs w:val="22"/>
        </w:rPr>
        <w:t>quatre</w:t>
      </w:r>
      <w:r w:rsidRPr="00D703B1">
        <w:rPr>
          <w:rFonts w:asciiTheme="minorHAnsi" w:hAnsiTheme="minorHAnsi" w:cstheme="minorHAnsi"/>
          <w:sz w:val="22"/>
          <w:szCs w:val="22"/>
        </w:rPr>
        <w:t xml:space="preserve"> communes sur les cinq que compte cette </w:t>
      </w:r>
      <w:r w:rsidR="001246CD">
        <w:rPr>
          <w:rFonts w:asciiTheme="minorHAnsi" w:hAnsiTheme="minorHAnsi" w:cstheme="minorHAnsi"/>
          <w:sz w:val="22"/>
          <w:szCs w:val="22"/>
        </w:rPr>
        <w:t>Wilaya</w:t>
      </w:r>
      <w:r w:rsidRPr="00D703B1">
        <w:rPr>
          <w:rFonts w:asciiTheme="minorHAnsi" w:hAnsiTheme="minorHAnsi" w:cstheme="minorHAnsi"/>
          <w:sz w:val="22"/>
          <w:szCs w:val="22"/>
        </w:rPr>
        <w:t xml:space="preserve"> n’ont pas rendu</w:t>
      </w:r>
      <w:r w:rsidR="009B5FC4">
        <w:rPr>
          <w:rFonts w:asciiTheme="minorHAnsi" w:hAnsiTheme="minorHAnsi" w:cstheme="minorHAnsi"/>
          <w:sz w:val="22"/>
          <w:szCs w:val="22"/>
        </w:rPr>
        <w:t xml:space="preserve"> de rapport pour l’exer</w:t>
      </w:r>
      <w:r w:rsidR="00D4302D">
        <w:rPr>
          <w:rFonts w:asciiTheme="minorHAnsi" w:hAnsiTheme="minorHAnsi" w:cstheme="minorHAnsi"/>
          <w:sz w:val="22"/>
          <w:szCs w:val="22"/>
        </w:rPr>
        <w:t>cice 2012</w:t>
      </w:r>
      <w:r w:rsidRPr="00D703B1">
        <w:rPr>
          <w:rFonts w:asciiTheme="minorHAnsi" w:hAnsiTheme="minorHAnsi" w:cstheme="minorHAnsi"/>
          <w:sz w:val="22"/>
          <w:szCs w:val="22"/>
        </w:rPr>
        <w:t>. Ce taux est néanmoins significatif car fondé sur les investissements de Nouadhibou</w:t>
      </w:r>
      <w:r w:rsidR="0020373B">
        <w:rPr>
          <w:rFonts w:asciiTheme="minorHAnsi" w:hAnsiTheme="minorHAnsi" w:cstheme="minorHAnsi"/>
          <w:sz w:val="22"/>
          <w:szCs w:val="22"/>
        </w:rPr>
        <w:t xml:space="preserve"> qui concentre à elle seule 88,84</w:t>
      </w:r>
      <w:r w:rsidRPr="00D703B1">
        <w:rPr>
          <w:rFonts w:asciiTheme="minorHAnsi" w:hAnsiTheme="minorHAnsi" w:cstheme="minorHAnsi"/>
          <w:sz w:val="22"/>
          <w:szCs w:val="22"/>
        </w:rPr>
        <w:t xml:space="preserve"> % du FRD équipement de la </w:t>
      </w:r>
      <w:r w:rsidR="001246CD">
        <w:rPr>
          <w:rFonts w:asciiTheme="minorHAnsi" w:hAnsiTheme="minorHAnsi" w:cstheme="minorHAnsi"/>
          <w:sz w:val="22"/>
          <w:szCs w:val="22"/>
        </w:rPr>
        <w:t>Wilaya</w:t>
      </w:r>
      <w:r w:rsidRPr="00D703B1">
        <w:rPr>
          <w:rFonts w:asciiTheme="minorHAnsi" w:hAnsiTheme="minorHAnsi" w:cstheme="minorHAnsi"/>
          <w:sz w:val="22"/>
          <w:szCs w:val="22"/>
        </w:rPr>
        <w:t>.</w:t>
      </w:r>
    </w:p>
    <w:p w:rsidR="00A27296" w:rsidRDefault="00A27296" w:rsidP="00A27296">
      <w:pPr>
        <w:jc w:val="both"/>
        <w:rPr>
          <w:rFonts w:asciiTheme="minorHAnsi" w:hAnsiTheme="minorHAnsi" w:cstheme="minorHAnsi"/>
          <w:sz w:val="22"/>
          <w:szCs w:val="22"/>
        </w:rPr>
      </w:pPr>
    </w:p>
    <w:p w:rsidR="00A27296" w:rsidRDefault="007775A6" w:rsidP="00A27296">
      <w:pPr>
        <w:jc w:val="both"/>
        <w:rPr>
          <w:rFonts w:asciiTheme="minorHAnsi" w:hAnsiTheme="minorHAnsi" w:cstheme="minorHAnsi"/>
          <w:sz w:val="22"/>
          <w:szCs w:val="22"/>
        </w:rPr>
      </w:pPr>
      <w:r w:rsidRPr="007775A6">
        <w:rPr>
          <w:noProof/>
          <w:szCs w:val="22"/>
        </w:rPr>
        <w:drawing>
          <wp:inline distT="0" distB="0" distL="0" distR="0">
            <wp:extent cx="6645910" cy="2028825"/>
            <wp:effectExtent l="19050" t="0" r="2540" b="0"/>
            <wp:docPr id="16"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4" cstate="print"/>
                    <a:srcRect/>
                    <a:stretch>
                      <a:fillRect/>
                    </a:stretch>
                  </pic:blipFill>
                  <pic:spPr bwMode="auto">
                    <a:xfrm>
                      <a:off x="0" y="0"/>
                      <a:ext cx="6645910" cy="2028825"/>
                    </a:xfrm>
                    <a:prstGeom prst="rect">
                      <a:avLst/>
                    </a:prstGeom>
                    <a:noFill/>
                    <a:ln w="9525">
                      <a:noFill/>
                      <a:miter lim="800000"/>
                      <a:headEnd/>
                      <a:tailEnd/>
                    </a:ln>
                  </pic:spPr>
                </pic:pic>
              </a:graphicData>
            </a:graphic>
          </wp:inline>
        </w:drawing>
      </w:r>
    </w:p>
    <w:p w:rsidR="00A27296" w:rsidRDefault="00A27296" w:rsidP="00A27296">
      <w:pPr>
        <w:jc w:val="both"/>
        <w:rPr>
          <w:rFonts w:asciiTheme="minorHAnsi" w:hAnsiTheme="minorHAnsi" w:cstheme="minorHAnsi"/>
          <w:sz w:val="22"/>
          <w:szCs w:val="22"/>
        </w:rPr>
      </w:pPr>
    </w:p>
    <w:p w:rsidR="00A27296" w:rsidRDefault="00B800AD" w:rsidP="00A27296">
      <w:pPr>
        <w:jc w:val="both"/>
        <w:rPr>
          <w:rFonts w:asciiTheme="minorHAnsi" w:hAnsiTheme="minorHAnsi" w:cstheme="minorHAnsi"/>
          <w:sz w:val="22"/>
          <w:szCs w:val="22"/>
        </w:rPr>
      </w:pPr>
      <w:r w:rsidRPr="00B800AD">
        <w:rPr>
          <w:noProof/>
          <w:szCs w:val="22"/>
        </w:rPr>
        <w:drawing>
          <wp:inline distT="0" distB="0" distL="0" distR="0">
            <wp:extent cx="6645910" cy="2552700"/>
            <wp:effectExtent l="19050" t="0" r="2540" b="0"/>
            <wp:docPr id="218"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5" cstate="print"/>
                    <a:srcRect/>
                    <a:stretch>
                      <a:fillRect/>
                    </a:stretch>
                  </pic:blipFill>
                  <pic:spPr bwMode="auto">
                    <a:xfrm>
                      <a:off x="0" y="0"/>
                      <a:ext cx="6645910" cy="2552700"/>
                    </a:xfrm>
                    <a:prstGeom prst="rect">
                      <a:avLst/>
                    </a:prstGeom>
                    <a:noFill/>
                    <a:ln w="9525">
                      <a:noFill/>
                      <a:miter lim="800000"/>
                      <a:headEnd/>
                      <a:tailEnd/>
                    </a:ln>
                  </pic:spPr>
                </pic:pic>
              </a:graphicData>
            </a:graphic>
          </wp:inline>
        </w:drawing>
      </w:r>
    </w:p>
    <w:p w:rsidR="00A27296" w:rsidRDefault="00A27296" w:rsidP="00A27296">
      <w:pPr>
        <w:jc w:val="both"/>
        <w:rPr>
          <w:rFonts w:asciiTheme="minorHAnsi" w:hAnsiTheme="minorHAnsi" w:cstheme="minorHAnsi"/>
          <w:sz w:val="22"/>
          <w:szCs w:val="22"/>
        </w:rPr>
      </w:pPr>
    </w:p>
    <w:p w:rsidR="00A27296" w:rsidRPr="00D703B1" w:rsidRDefault="0020373B" w:rsidP="00A27296">
      <w:pPr>
        <w:jc w:val="both"/>
        <w:rPr>
          <w:rFonts w:asciiTheme="minorHAnsi" w:hAnsiTheme="minorHAnsi" w:cstheme="minorHAnsi"/>
          <w:sz w:val="22"/>
          <w:szCs w:val="22"/>
        </w:rPr>
      </w:pPr>
      <w:r>
        <w:rPr>
          <w:rFonts w:asciiTheme="minorHAnsi" w:hAnsiTheme="minorHAnsi" w:cstheme="minorHAnsi"/>
          <w:sz w:val="22"/>
          <w:szCs w:val="22"/>
        </w:rPr>
        <w:t>Ces engagements financiers 2012</w:t>
      </w:r>
      <w:r w:rsidR="00A27296" w:rsidRPr="00D703B1">
        <w:rPr>
          <w:rFonts w:asciiTheme="minorHAnsi" w:hAnsiTheme="minorHAnsi" w:cstheme="minorHAnsi"/>
          <w:sz w:val="22"/>
          <w:szCs w:val="22"/>
        </w:rPr>
        <w:t xml:space="preserve"> correspondent à </w:t>
      </w:r>
      <w:r>
        <w:rPr>
          <w:rFonts w:asciiTheme="minorHAnsi" w:hAnsiTheme="minorHAnsi" w:cstheme="minorHAnsi"/>
          <w:b/>
          <w:sz w:val="22"/>
          <w:szCs w:val="22"/>
        </w:rPr>
        <w:t>30</w:t>
      </w:r>
      <w:r w:rsidR="00A27296" w:rsidRPr="00D703B1">
        <w:rPr>
          <w:rFonts w:asciiTheme="minorHAnsi" w:hAnsiTheme="minorHAnsi" w:cstheme="minorHAnsi"/>
          <w:b/>
          <w:sz w:val="22"/>
          <w:szCs w:val="22"/>
        </w:rPr>
        <w:t xml:space="preserve"> projets</w:t>
      </w:r>
      <w:r w:rsidR="00A27296" w:rsidRPr="00D703B1">
        <w:rPr>
          <w:rFonts w:asciiTheme="minorHAnsi" w:hAnsiTheme="minorHAnsi" w:cstheme="minorHAnsi"/>
          <w:sz w:val="22"/>
          <w:szCs w:val="22"/>
        </w:rPr>
        <w:t xml:space="preserve">. Il s’agit d’un </w:t>
      </w:r>
      <w:r>
        <w:rPr>
          <w:rFonts w:asciiTheme="minorHAnsi" w:hAnsiTheme="minorHAnsi" w:cstheme="minorHAnsi"/>
          <w:sz w:val="22"/>
          <w:szCs w:val="22"/>
        </w:rPr>
        <w:t>chiffre en hausse de 30 % (+ 7</w:t>
      </w:r>
      <w:r w:rsidR="00A27296" w:rsidRPr="00D703B1">
        <w:rPr>
          <w:rFonts w:asciiTheme="minorHAnsi" w:hAnsiTheme="minorHAnsi" w:cstheme="minorHAnsi"/>
          <w:sz w:val="22"/>
          <w:szCs w:val="22"/>
        </w:rPr>
        <w:t xml:space="preserve"> projets). </w:t>
      </w:r>
      <w:r w:rsidR="00A27296" w:rsidRPr="00D703B1">
        <w:rPr>
          <w:rFonts w:asciiTheme="minorHAnsi" w:hAnsiTheme="minorHAnsi" w:cstheme="minorHAnsi"/>
          <w:b/>
          <w:sz w:val="22"/>
          <w:szCs w:val="22"/>
        </w:rPr>
        <w:t>Le montant moyen de l’investissement par projet</w:t>
      </w:r>
      <w:r>
        <w:rPr>
          <w:rFonts w:asciiTheme="minorHAnsi" w:hAnsiTheme="minorHAnsi" w:cstheme="minorHAnsi"/>
          <w:sz w:val="22"/>
          <w:szCs w:val="22"/>
        </w:rPr>
        <w:t xml:space="preserve"> se monte lui à 2 146 952 MRO</w:t>
      </w:r>
      <w:r w:rsidR="00B51CBC">
        <w:rPr>
          <w:rFonts w:asciiTheme="minorHAnsi" w:hAnsiTheme="minorHAnsi" w:cstheme="minorHAnsi"/>
          <w:sz w:val="22"/>
          <w:szCs w:val="22"/>
        </w:rPr>
        <w:t xml:space="preserve"> pour 2012</w:t>
      </w:r>
      <w:r w:rsidR="00A27296" w:rsidRPr="00D703B1">
        <w:rPr>
          <w:rFonts w:asciiTheme="minorHAnsi" w:hAnsiTheme="minorHAnsi" w:cstheme="minorHAnsi"/>
          <w:sz w:val="22"/>
          <w:szCs w:val="22"/>
        </w:rPr>
        <w:t>.</w:t>
      </w:r>
      <w:r>
        <w:rPr>
          <w:rFonts w:asciiTheme="minorHAnsi" w:hAnsiTheme="minorHAnsi" w:cstheme="minorHAnsi"/>
          <w:sz w:val="22"/>
          <w:szCs w:val="22"/>
        </w:rPr>
        <w:t xml:space="preserve"> La légère baisse constatée </w:t>
      </w:r>
      <w:r w:rsidR="00B51CBC">
        <w:rPr>
          <w:rFonts w:asciiTheme="minorHAnsi" w:hAnsiTheme="minorHAnsi" w:cstheme="minorHAnsi"/>
          <w:sz w:val="22"/>
          <w:szCs w:val="22"/>
        </w:rPr>
        <w:t>(-9,28%) au niveau du montant par projet s’explique donc par le nombre supérieur de projets en 2012.</w:t>
      </w:r>
    </w:p>
    <w:p w:rsidR="00A27296" w:rsidRPr="00D703B1" w:rsidRDefault="00B51CBC" w:rsidP="00A27296">
      <w:pPr>
        <w:jc w:val="both"/>
        <w:rPr>
          <w:rFonts w:asciiTheme="minorHAnsi" w:hAnsiTheme="minorHAnsi" w:cstheme="minorHAnsi"/>
          <w:sz w:val="22"/>
          <w:szCs w:val="22"/>
        </w:rPr>
      </w:pPr>
      <w:r>
        <w:rPr>
          <w:rFonts w:asciiTheme="minorHAnsi" w:hAnsiTheme="minorHAnsi" w:cstheme="minorHAnsi"/>
          <w:sz w:val="22"/>
          <w:szCs w:val="22"/>
        </w:rPr>
        <w:t xml:space="preserve">Pour autant, eu égard à la moyenne nationale, la </w:t>
      </w:r>
      <w:r w:rsidR="001246CD">
        <w:rPr>
          <w:rFonts w:asciiTheme="minorHAnsi" w:hAnsiTheme="minorHAnsi" w:cstheme="minorHAnsi"/>
          <w:sz w:val="22"/>
          <w:szCs w:val="22"/>
        </w:rPr>
        <w:t>Wilaya</w:t>
      </w:r>
      <w:r>
        <w:rPr>
          <w:rFonts w:asciiTheme="minorHAnsi" w:hAnsiTheme="minorHAnsi" w:cstheme="minorHAnsi"/>
          <w:sz w:val="22"/>
          <w:szCs w:val="22"/>
        </w:rPr>
        <w:t xml:space="preserve"> du </w:t>
      </w:r>
      <w:proofErr w:type="spellStart"/>
      <w:r>
        <w:rPr>
          <w:rFonts w:asciiTheme="minorHAnsi" w:hAnsiTheme="minorHAnsi" w:cstheme="minorHAnsi"/>
          <w:sz w:val="22"/>
          <w:szCs w:val="22"/>
        </w:rPr>
        <w:t>Dakhlet</w:t>
      </w:r>
      <w:proofErr w:type="spellEnd"/>
      <w:r>
        <w:rPr>
          <w:rFonts w:asciiTheme="minorHAnsi" w:hAnsiTheme="minorHAnsi" w:cstheme="minorHAnsi"/>
          <w:sz w:val="22"/>
          <w:szCs w:val="22"/>
        </w:rPr>
        <w:t>-Nouadhibou met en œuvre des projets d’investissement relativement bien dotés, cherchant à éviter une trop grande parcellisation de l’investissement.</w:t>
      </w:r>
    </w:p>
    <w:p w:rsidR="00A27296" w:rsidRDefault="00A27296" w:rsidP="00A27296">
      <w:pPr>
        <w:jc w:val="both"/>
        <w:rPr>
          <w:rFonts w:asciiTheme="minorHAnsi" w:hAnsiTheme="minorHAnsi" w:cstheme="minorHAnsi"/>
          <w:sz w:val="22"/>
          <w:szCs w:val="22"/>
        </w:rPr>
      </w:pPr>
    </w:p>
    <w:p w:rsidR="003E6DE0" w:rsidRDefault="00A27296" w:rsidP="00A27296">
      <w:pPr>
        <w:jc w:val="both"/>
        <w:rPr>
          <w:rFonts w:asciiTheme="minorHAnsi" w:hAnsiTheme="minorHAnsi" w:cstheme="minorHAnsi"/>
          <w:sz w:val="22"/>
          <w:szCs w:val="22"/>
        </w:rPr>
      </w:pPr>
      <w:r w:rsidRPr="00D703B1">
        <w:rPr>
          <w:rFonts w:asciiTheme="minorHAnsi" w:hAnsiTheme="minorHAnsi" w:cstheme="minorHAnsi"/>
          <w:b/>
          <w:sz w:val="22"/>
          <w:szCs w:val="22"/>
        </w:rPr>
        <w:t>En termes de priorités d’investissement</w:t>
      </w:r>
      <w:r w:rsidRPr="00D703B1">
        <w:rPr>
          <w:rFonts w:asciiTheme="minorHAnsi" w:hAnsiTheme="minorHAnsi" w:cstheme="minorHAnsi"/>
          <w:sz w:val="22"/>
          <w:szCs w:val="22"/>
        </w:rPr>
        <w:t xml:space="preserve">, la </w:t>
      </w:r>
      <w:r w:rsidR="001246CD">
        <w:rPr>
          <w:rFonts w:asciiTheme="minorHAnsi" w:hAnsiTheme="minorHAnsi" w:cstheme="minorHAnsi"/>
          <w:sz w:val="22"/>
          <w:szCs w:val="22"/>
        </w:rPr>
        <w:t>Wilaya</w:t>
      </w:r>
      <w:r w:rsidRPr="00D703B1">
        <w:rPr>
          <w:rFonts w:asciiTheme="minorHAnsi" w:hAnsiTheme="minorHAnsi" w:cstheme="minorHAnsi"/>
          <w:sz w:val="22"/>
          <w:szCs w:val="22"/>
        </w:rPr>
        <w:t xml:space="preserve"> </w:t>
      </w:r>
      <w:r w:rsidR="003E6DE0">
        <w:rPr>
          <w:rFonts w:asciiTheme="minorHAnsi" w:hAnsiTheme="minorHAnsi" w:cstheme="minorHAnsi"/>
          <w:sz w:val="22"/>
          <w:szCs w:val="22"/>
        </w:rPr>
        <w:t xml:space="preserve">du </w:t>
      </w:r>
      <w:proofErr w:type="spellStart"/>
      <w:r w:rsidR="003E6DE0">
        <w:rPr>
          <w:rFonts w:asciiTheme="minorHAnsi" w:hAnsiTheme="minorHAnsi" w:cstheme="minorHAnsi"/>
          <w:sz w:val="22"/>
          <w:szCs w:val="22"/>
        </w:rPr>
        <w:t>Dakhlet</w:t>
      </w:r>
      <w:proofErr w:type="spellEnd"/>
      <w:r w:rsidR="003E6DE0">
        <w:rPr>
          <w:rFonts w:asciiTheme="minorHAnsi" w:hAnsiTheme="minorHAnsi" w:cstheme="minorHAnsi"/>
          <w:sz w:val="22"/>
          <w:szCs w:val="22"/>
        </w:rPr>
        <w:t>-Nouadhibou cherche donc à favoriser des projets d’envergure</w:t>
      </w:r>
      <w:r w:rsidRPr="00D703B1">
        <w:rPr>
          <w:rFonts w:asciiTheme="minorHAnsi" w:hAnsiTheme="minorHAnsi" w:cstheme="minorHAnsi"/>
          <w:sz w:val="22"/>
          <w:szCs w:val="22"/>
        </w:rPr>
        <w:t>.</w:t>
      </w:r>
    </w:p>
    <w:p w:rsidR="00A27296" w:rsidRPr="00D703B1" w:rsidRDefault="003E6DE0" w:rsidP="00A27296">
      <w:pPr>
        <w:jc w:val="both"/>
        <w:rPr>
          <w:rFonts w:asciiTheme="minorHAnsi" w:hAnsiTheme="minorHAnsi" w:cstheme="minorHAnsi"/>
          <w:sz w:val="22"/>
          <w:szCs w:val="22"/>
        </w:rPr>
      </w:pPr>
      <w:r>
        <w:rPr>
          <w:rFonts w:asciiTheme="minorHAnsi" w:hAnsiTheme="minorHAnsi" w:cstheme="minorHAnsi"/>
          <w:sz w:val="22"/>
          <w:szCs w:val="22"/>
        </w:rPr>
        <w:t xml:space="preserve">Tel est le cas du secteur de l’assainissement, qui se trouve en priorité n°1 au niveau de la </w:t>
      </w:r>
      <w:r w:rsidR="001246CD">
        <w:rPr>
          <w:rFonts w:asciiTheme="minorHAnsi" w:hAnsiTheme="minorHAnsi" w:cstheme="minorHAnsi"/>
          <w:sz w:val="22"/>
          <w:szCs w:val="22"/>
        </w:rPr>
        <w:t>Wilaya</w:t>
      </w:r>
      <w:r>
        <w:rPr>
          <w:rFonts w:asciiTheme="minorHAnsi" w:hAnsiTheme="minorHAnsi" w:cstheme="minorHAnsi"/>
          <w:sz w:val="22"/>
          <w:szCs w:val="22"/>
        </w:rPr>
        <w:t xml:space="preserve"> et au quatrième rang au niveau national. Avec 37 957 440 MRO engagés sur 9 projets, soit une moyenne de plus de 4 millions par projet hydraulique, le secteur représente 58,93% des engagements 2012. Il y a donc une stratégie plus mature en termes</w:t>
      </w:r>
      <w:r w:rsidR="00097CF1">
        <w:rPr>
          <w:rFonts w:asciiTheme="minorHAnsi" w:hAnsiTheme="minorHAnsi" w:cstheme="minorHAnsi"/>
          <w:sz w:val="22"/>
          <w:szCs w:val="22"/>
        </w:rPr>
        <w:t xml:space="preserve"> de choix opérés en matière d’investissement, à la différence de la plupart des communes qui multiplient le nombre d’opérations dans le secteur de l’hydraulique sans se soucier de la faisabilité ni de la pérennité des équipements (études pré-opérationnelles, sondages, coût de l’entretien des équipements …).</w:t>
      </w:r>
    </w:p>
    <w:p w:rsidR="00A27296" w:rsidRDefault="00A27296" w:rsidP="00A27296">
      <w:pPr>
        <w:jc w:val="both"/>
        <w:rPr>
          <w:rFonts w:asciiTheme="minorHAnsi" w:hAnsiTheme="minorHAnsi" w:cstheme="minorHAnsi"/>
          <w:sz w:val="22"/>
          <w:szCs w:val="22"/>
        </w:rPr>
      </w:pPr>
    </w:p>
    <w:p w:rsidR="00A27296" w:rsidRDefault="003E0F11" w:rsidP="00A27296">
      <w:pPr>
        <w:jc w:val="both"/>
        <w:rPr>
          <w:rFonts w:asciiTheme="minorHAnsi" w:hAnsiTheme="minorHAnsi" w:cstheme="minorHAnsi"/>
          <w:sz w:val="22"/>
          <w:szCs w:val="22"/>
        </w:rPr>
      </w:pPr>
      <w:r w:rsidRPr="003E0F11">
        <w:rPr>
          <w:noProof/>
        </w:rPr>
        <w:drawing>
          <wp:inline distT="0" distB="0" distL="0" distR="0">
            <wp:extent cx="6353175" cy="3381375"/>
            <wp:effectExtent l="19050" t="0" r="9525" b="0"/>
            <wp:docPr id="301"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6" cstate="print"/>
                    <a:stretch>
                      <a:fillRect/>
                    </a:stretch>
                  </pic:blipFill>
                  <pic:spPr>
                    <a:xfrm>
                      <a:off x="0" y="0"/>
                      <a:ext cx="6352382" cy="3380953"/>
                    </a:xfrm>
                    <a:prstGeom prst="rect">
                      <a:avLst/>
                    </a:prstGeom>
                  </pic:spPr>
                </pic:pic>
              </a:graphicData>
            </a:graphic>
          </wp:inline>
        </w:drawing>
      </w:r>
    </w:p>
    <w:p w:rsidR="00A27296" w:rsidRDefault="00A27296" w:rsidP="00A27296">
      <w:pPr>
        <w:jc w:val="both"/>
        <w:rPr>
          <w:rFonts w:asciiTheme="minorHAnsi" w:hAnsiTheme="minorHAnsi" w:cstheme="minorHAnsi"/>
          <w:sz w:val="22"/>
          <w:szCs w:val="22"/>
        </w:rPr>
      </w:pPr>
    </w:p>
    <w:p w:rsidR="00A27296" w:rsidRDefault="003E6DE0" w:rsidP="00A27296">
      <w:pPr>
        <w:jc w:val="both"/>
        <w:rPr>
          <w:rFonts w:asciiTheme="minorHAnsi" w:hAnsiTheme="minorHAnsi" w:cstheme="minorHAnsi"/>
          <w:sz w:val="22"/>
          <w:szCs w:val="22"/>
        </w:rPr>
      </w:pPr>
      <w:r>
        <w:rPr>
          <w:rFonts w:asciiTheme="minorHAnsi" w:hAnsiTheme="minorHAnsi" w:cstheme="minorHAnsi"/>
          <w:sz w:val="22"/>
          <w:szCs w:val="22"/>
        </w:rPr>
        <w:t>En deuxième position, on retrouve le secteur des bâtiments communaux avec 28,05% des engagements correspondant à 18 064 547 MRO pour 13 projets.</w:t>
      </w:r>
    </w:p>
    <w:p w:rsidR="00A27296" w:rsidRDefault="00097CF1" w:rsidP="00A27296">
      <w:pPr>
        <w:jc w:val="both"/>
        <w:rPr>
          <w:rFonts w:asciiTheme="minorHAnsi" w:hAnsiTheme="minorHAnsi" w:cstheme="minorHAnsi"/>
          <w:sz w:val="22"/>
          <w:szCs w:val="22"/>
        </w:rPr>
      </w:pPr>
      <w:r>
        <w:rPr>
          <w:rFonts w:asciiTheme="minorHAnsi" w:hAnsiTheme="minorHAnsi" w:cstheme="minorHAnsi"/>
          <w:sz w:val="22"/>
          <w:szCs w:val="22"/>
        </w:rPr>
        <w:t>Enfin, en troisième position, l’équipement de la Mairie a conduit à des engagements à hauteur de 10,06%, pour 2 projets se chiffrant à 1 904 655 MRO.</w:t>
      </w:r>
    </w:p>
    <w:p w:rsidR="00097CF1" w:rsidRDefault="00097CF1" w:rsidP="00A27296">
      <w:pPr>
        <w:jc w:val="both"/>
        <w:rPr>
          <w:rFonts w:asciiTheme="minorHAnsi" w:hAnsiTheme="minorHAnsi" w:cstheme="minorHAnsi"/>
          <w:sz w:val="22"/>
          <w:szCs w:val="22"/>
        </w:rPr>
      </w:pPr>
    </w:p>
    <w:p w:rsidR="00097CF1" w:rsidRDefault="00097CF1">
      <w:pPr>
        <w:spacing w:after="200" w:line="276" w:lineRule="auto"/>
        <w:rPr>
          <w:rFonts w:asciiTheme="minorHAnsi" w:hAnsiTheme="minorHAnsi" w:cstheme="minorHAnsi"/>
          <w:sz w:val="22"/>
          <w:szCs w:val="22"/>
        </w:rPr>
      </w:pPr>
      <w:r>
        <w:rPr>
          <w:rFonts w:asciiTheme="minorHAnsi" w:hAnsiTheme="minorHAnsi" w:cstheme="minorHAnsi"/>
          <w:sz w:val="22"/>
          <w:szCs w:val="22"/>
        </w:rPr>
        <w:br w:type="page"/>
      </w:r>
    </w:p>
    <w:p w:rsidR="005951CF" w:rsidRPr="005951CF" w:rsidRDefault="001246CD" w:rsidP="005951C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2D050"/>
        <w:rPr>
          <w:rFonts w:asciiTheme="minorHAnsi" w:hAnsiTheme="minorHAnsi" w:cstheme="minorHAnsi"/>
          <w:b/>
          <w:smallCaps/>
          <w:sz w:val="28"/>
          <w:szCs w:val="28"/>
        </w:rPr>
      </w:pPr>
      <w:r>
        <w:rPr>
          <w:rFonts w:asciiTheme="minorHAnsi" w:hAnsiTheme="minorHAnsi" w:cstheme="minorHAnsi"/>
          <w:b/>
          <w:smallCaps/>
          <w:sz w:val="28"/>
          <w:szCs w:val="28"/>
        </w:rPr>
        <w:t>Wilaya</w:t>
      </w:r>
      <w:r w:rsidR="005951CF" w:rsidRPr="005951CF">
        <w:rPr>
          <w:rFonts w:asciiTheme="minorHAnsi" w:hAnsiTheme="minorHAnsi" w:cstheme="minorHAnsi"/>
          <w:b/>
          <w:smallCaps/>
          <w:sz w:val="28"/>
          <w:szCs w:val="28"/>
        </w:rPr>
        <w:t xml:space="preserve"> du </w:t>
      </w:r>
      <w:proofErr w:type="spellStart"/>
      <w:r w:rsidR="005951CF" w:rsidRPr="005951CF">
        <w:rPr>
          <w:rFonts w:asciiTheme="minorHAnsi" w:hAnsiTheme="minorHAnsi" w:cstheme="minorHAnsi"/>
          <w:b/>
          <w:smallCaps/>
          <w:sz w:val="28"/>
          <w:szCs w:val="28"/>
        </w:rPr>
        <w:t>Tagant</w:t>
      </w:r>
      <w:proofErr w:type="spellEnd"/>
    </w:p>
    <w:p w:rsidR="00801339" w:rsidRDefault="00801339" w:rsidP="005951CF">
      <w:pPr>
        <w:jc w:val="both"/>
        <w:rPr>
          <w:rFonts w:asciiTheme="minorHAnsi" w:hAnsiTheme="minorHAnsi" w:cstheme="minorHAnsi"/>
        </w:rPr>
      </w:pPr>
    </w:p>
    <w:p w:rsidR="008714DC" w:rsidRDefault="008714DC" w:rsidP="005951CF">
      <w:pPr>
        <w:jc w:val="both"/>
        <w:rPr>
          <w:rFonts w:asciiTheme="minorHAnsi" w:hAnsiTheme="minorHAnsi" w:cstheme="minorHAnsi"/>
        </w:rPr>
      </w:pPr>
      <w:r w:rsidRPr="008714DC">
        <w:rPr>
          <w:noProof/>
        </w:rPr>
        <w:drawing>
          <wp:inline distT="0" distB="0" distL="0" distR="0">
            <wp:extent cx="6645908" cy="2105025"/>
            <wp:effectExtent l="19050" t="0" r="2542" b="0"/>
            <wp:docPr id="288"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7" cstate="print"/>
                    <a:stretch>
                      <a:fillRect/>
                    </a:stretch>
                  </pic:blipFill>
                  <pic:spPr>
                    <a:xfrm>
                      <a:off x="0" y="0"/>
                      <a:ext cx="6660557" cy="2109665"/>
                    </a:xfrm>
                    <a:prstGeom prst="rect">
                      <a:avLst/>
                    </a:prstGeom>
                  </pic:spPr>
                </pic:pic>
              </a:graphicData>
            </a:graphic>
          </wp:inline>
        </w:drawing>
      </w:r>
    </w:p>
    <w:p w:rsidR="008714DC" w:rsidRDefault="008714DC" w:rsidP="005951CF">
      <w:pPr>
        <w:jc w:val="both"/>
        <w:rPr>
          <w:rFonts w:asciiTheme="minorHAnsi" w:hAnsiTheme="minorHAnsi" w:cstheme="minorHAnsi"/>
        </w:rPr>
      </w:pPr>
    </w:p>
    <w:p w:rsidR="00AE7B29" w:rsidRPr="0093300F" w:rsidRDefault="005951CF" w:rsidP="00AE7B29">
      <w:pPr>
        <w:jc w:val="both"/>
        <w:rPr>
          <w:rFonts w:asciiTheme="minorHAnsi" w:hAnsiTheme="minorHAnsi" w:cstheme="minorHAnsi"/>
          <w:sz w:val="22"/>
          <w:szCs w:val="22"/>
        </w:rPr>
      </w:pPr>
      <w:r w:rsidRPr="0093300F">
        <w:rPr>
          <w:rFonts w:asciiTheme="minorHAnsi" w:hAnsiTheme="minorHAnsi" w:cstheme="minorHAnsi"/>
          <w:sz w:val="22"/>
          <w:szCs w:val="22"/>
        </w:rPr>
        <w:t xml:space="preserve">La </w:t>
      </w:r>
      <w:r w:rsidR="001246CD">
        <w:rPr>
          <w:rFonts w:asciiTheme="minorHAnsi" w:hAnsiTheme="minorHAnsi" w:cstheme="minorHAnsi"/>
          <w:sz w:val="22"/>
          <w:szCs w:val="22"/>
        </w:rPr>
        <w:t>Wilaya</w:t>
      </w:r>
      <w:r w:rsidRPr="0093300F">
        <w:rPr>
          <w:rFonts w:asciiTheme="minorHAnsi" w:hAnsiTheme="minorHAnsi" w:cstheme="minorHAnsi"/>
          <w:sz w:val="22"/>
          <w:szCs w:val="22"/>
        </w:rPr>
        <w:t xml:space="preserve"> du </w:t>
      </w:r>
      <w:proofErr w:type="spellStart"/>
      <w:r w:rsidRPr="0093300F">
        <w:rPr>
          <w:rFonts w:asciiTheme="minorHAnsi" w:hAnsiTheme="minorHAnsi" w:cstheme="minorHAnsi"/>
          <w:sz w:val="22"/>
          <w:szCs w:val="22"/>
        </w:rPr>
        <w:t>Tagant</w:t>
      </w:r>
      <w:proofErr w:type="spellEnd"/>
      <w:r w:rsidRPr="0093300F">
        <w:rPr>
          <w:rFonts w:asciiTheme="minorHAnsi" w:hAnsiTheme="minorHAnsi" w:cstheme="minorHAnsi"/>
          <w:sz w:val="22"/>
          <w:szCs w:val="22"/>
        </w:rPr>
        <w:t xml:space="preserve"> </w:t>
      </w:r>
      <w:r w:rsidR="009F1C07">
        <w:rPr>
          <w:rFonts w:asciiTheme="minorHAnsi" w:hAnsiTheme="minorHAnsi" w:cstheme="minorHAnsi"/>
          <w:sz w:val="22"/>
          <w:szCs w:val="22"/>
        </w:rPr>
        <w:t>a bénéficié pour l’exercice 2012</w:t>
      </w:r>
      <w:r w:rsidRPr="0093300F">
        <w:rPr>
          <w:rFonts w:asciiTheme="minorHAnsi" w:hAnsiTheme="minorHAnsi" w:cstheme="minorHAnsi"/>
          <w:sz w:val="22"/>
          <w:szCs w:val="22"/>
        </w:rPr>
        <w:t xml:space="preserve"> d’un FRD équipement de </w:t>
      </w:r>
      <w:r w:rsidR="009F1C07">
        <w:rPr>
          <w:rFonts w:asciiTheme="minorHAnsi" w:hAnsiTheme="minorHAnsi" w:cstheme="minorHAnsi"/>
          <w:b/>
          <w:sz w:val="22"/>
          <w:szCs w:val="22"/>
        </w:rPr>
        <w:t>66 356 908</w:t>
      </w:r>
      <w:r w:rsidRPr="0093300F">
        <w:rPr>
          <w:rFonts w:asciiTheme="minorHAnsi" w:hAnsiTheme="minorHAnsi" w:cstheme="minorHAnsi"/>
          <w:b/>
          <w:sz w:val="22"/>
          <w:szCs w:val="22"/>
        </w:rPr>
        <w:t xml:space="preserve"> </w:t>
      </w:r>
      <w:proofErr w:type="gramStart"/>
      <w:r w:rsidR="004871EA">
        <w:rPr>
          <w:rFonts w:asciiTheme="minorHAnsi" w:hAnsiTheme="minorHAnsi" w:cstheme="minorHAnsi"/>
          <w:b/>
          <w:sz w:val="22"/>
          <w:szCs w:val="22"/>
        </w:rPr>
        <w:t>ouguiya</w:t>
      </w:r>
      <w:proofErr w:type="gramEnd"/>
      <w:r w:rsidRPr="0093300F">
        <w:rPr>
          <w:rFonts w:asciiTheme="minorHAnsi" w:hAnsiTheme="minorHAnsi" w:cstheme="minorHAnsi"/>
          <w:sz w:val="22"/>
          <w:szCs w:val="22"/>
        </w:rPr>
        <w:t xml:space="preserve">, soit une hausse de </w:t>
      </w:r>
      <w:r w:rsidR="00AE7B29">
        <w:rPr>
          <w:rFonts w:asciiTheme="minorHAnsi" w:hAnsiTheme="minorHAnsi" w:cstheme="minorHAnsi"/>
          <w:b/>
          <w:sz w:val="22"/>
          <w:szCs w:val="22"/>
        </w:rPr>
        <w:t>14,33</w:t>
      </w:r>
      <w:r w:rsidRPr="0093300F">
        <w:rPr>
          <w:rFonts w:asciiTheme="minorHAnsi" w:hAnsiTheme="minorHAnsi" w:cstheme="minorHAnsi"/>
          <w:b/>
          <w:sz w:val="22"/>
          <w:szCs w:val="22"/>
        </w:rPr>
        <w:t>%.</w:t>
      </w:r>
      <w:r w:rsidR="00AE7B29">
        <w:rPr>
          <w:rFonts w:asciiTheme="minorHAnsi" w:hAnsiTheme="minorHAnsi" w:cstheme="minorHAnsi"/>
          <w:sz w:val="22"/>
          <w:szCs w:val="22"/>
        </w:rPr>
        <w:t xml:space="preserve"> 61 358 469 </w:t>
      </w:r>
      <w:proofErr w:type="gramStart"/>
      <w:r w:rsidR="004871EA">
        <w:rPr>
          <w:rFonts w:asciiTheme="minorHAnsi" w:hAnsiTheme="minorHAnsi" w:cstheme="minorHAnsi"/>
          <w:sz w:val="22"/>
          <w:szCs w:val="22"/>
        </w:rPr>
        <w:t>ouguiya</w:t>
      </w:r>
      <w:proofErr w:type="gramEnd"/>
      <w:r w:rsidR="00AE7B29">
        <w:rPr>
          <w:rFonts w:asciiTheme="minorHAnsi" w:hAnsiTheme="minorHAnsi" w:cstheme="minorHAnsi"/>
          <w:sz w:val="22"/>
          <w:szCs w:val="22"/>
        </w:rPr>
        <w:t xml:space="preserve"> ont été engagés en 2012</w:t>
      </w:r>
      <w:r w:rsidRPr="0093300F">
        <w:rPr>
          <w:rFonts w:asciiTheme="minorHAnsi" w:hAnsiTheme="minorHAnsi" w:cstheme="minorHAnsi"/>
          <w:sz w:val="22"/>
          <w:szCs w:val="22"/>
        </w:rPr>
        <w:t xml:space="preserve">, soit un </w:t>
      </w:r>
      <w:r w:rsidR="00AE7B29">
        <w:rPr>
          <w:rFonts w:asciiTheme="minorHAnsi" w:hAnsiTheme="minorHAnsi" w:cstheme="minorHAnsi"/>
          <w:b/>
          <w:sz w:val="22"/>
          <w:szCs w:val="22"/>
        </w:rPr>
        <w:t>taux d’absorption de 92,47</w:t>
      </w:r>
      <w:r w:rsidRPr="0093300F">
        <w:rPr>
          <w:rFonts w:asciiTheme="minorHAnsi" w:hAnsiTheme="minorHAnsi" w:cstheme="minorHAnsi"/>
          <w:b/>
          <w:sz w:val="22"/>
          <w:szCs w:val="22"/>
        </w:rPr>
        <w:t>%</w:t>
      </w:r>
      <w:r w:rsidRPr="0093300F">
        <w:rPr>
          <w:rFonts w:asciiTheme="minorHAnsi" w:hAnsiTheme="minorHAnsi" w:cstheme="minorHAnsi"/>
          <w:sz w:val="22"/>
          <w:szCs w:val="22"/>
        </w:rPr>
        <w:t xml:space="preserve">. </w:t>
      </w:r>
      <w:r w:rsidR="00AE7B29">
        <w:rPr>
          <w:rFonts w:asciiTheme="minorHAnsi" w:hAnsiTheme="minorHAnsi" w:cstheme="minorHAnsi"/>
          <w:sz w:val="22"/>
          <w:szCs w:val="22"/>
        </w:rPr>
        <w:t xml:space="preserve">Il s’agit d’un taux légèrement inférieur à la moyenne nationale, en baisse par rapport aux exercices précédents qui se caractérisaient par une utilisation importante des reliquats (107,33% en 2010 et 109,88% en 2011). </w:t>
      </w:r>
    </w:p>
    <w:p w:rsidR="00AE7B29" w:rsidRDefault="00AE7B29" w:rsidP="00D23A59">
      <w:pPr>
        <w:jc w:val="both"/>
        <w:rPr>
          <w:rFonts w:asciiTheme="minorHAnsi" w:hAnsiTheme="minorHAnsi" w:cstheme="minorHAnsi"/>
          <w:sz w:val="22"/>
          <w:szCs w:val="22"/>
        </w:rPr>
      </w:pPr>
      <w:r w:rsidRPr="00D23A59">
        <w:rPr>
          <w:rFonts w:asciiTheme="minorHAnsi" w:hAnsiTheme="minorHAnsi" w:cstheme="minorHAnsi"/>
          <w:sz w:val="22"/>
          <w:szCs w:val="22"/>
        </w:rPr>
        <w:t>La progression du FRD est inférieure à la moyenne nationale. Ce qui est particulièrement vra</w:t>
      </w:r>
      <w:r w:rsidR="00FB0E8A" w:rsidRPr="00D23A59">
        <w:rPr>
          <w:rFonts w:asciiTheme="minorHAnsi" w:hAnsiTheme="minorHAnsi" w:cstheme="minorHAnsi"/>
          <w:sz w:val="22"/>
          <w:szCs w:val="22"/>
        </w:rPr>
        <w:t xml:space="preserve">i pour la </w:t>
      </w:r>
      <w:proofErr w:type="spellStart"/>
      <w:r w:rsidR="001246CD">
        <w:rPr>
          <w:rFonts w:asciiTheme="minorHAnsi" w:hAnsiTheme="minorHAnsi" w:cstheme="minorHAnsi"/>
          <w:sz w:val="22"/>
          <w:szCs w:val="22"/>
        </w:rPr>
        <w:t>Moughataa</w:t>
      </w:r>
      <w:proofErr w:type="spellEnd"/>
      <w:r w:rsidR="00FB0E8A" w:rsidRPr="00D23A59">
        <w:rPr>
          <w:rFonts w:asciiTheme="minorHAnsi" w:hAnsiTheme="minorHAnsi" w:cstheme="minorHAnsi"/>
          <w:sz w:val="22"/>
          <w:szCs w:val="22"/>
        </w:rPr>
        <w:t xml:space="preserve"> de </w:t>
      </w:r>
      <w:proofErr w:type="spellStart"/>
      <w:r w:rsidR="00FB0E8A" w:rsidRPr="00D23A59">
        <w:rPr>
          <w:rFonts w:asciiTheme="minorHAnsi" w:hAnsiTheme="minorHAnsi" w:cstheme="minorHAnsi"/>
          <w:sz w:val="22"/>
          <w:szCs w:val="22"/>
        </w:rPr>
        <w:t>Tichitt</w:t>
      </w:r>
      <w:proofErr w:type="spellEnd"/>
      <w:r w:rsidR="00FB0E8A" w:rsidRPr="00D23A59">
        <w:rPr>
          <w:rFonts w:asciiTheme="minorHAnsi" w:hAnsiTheme="minorHAnsi" w:cstheme="minorHAnsi"/>
          <w:sz w:val="22"/>
          <w:szCs w:val="22"/>
        </w:rPr>
        <w:t xml:space="preserve"> qui, avec seulement 2,38% d’augmentation de ses crédits FRD, soit plus de 14 points d’écart avec la moyenne nationale, a subi des corrections en ce qui concerne l’attribution de sa part pour l’exercice 2012</w:t>
      </w:r>
      <w:r w:rsidR="00005BF6" w:rsidRPr="00D23A59">
        <w:rPr>
          <w:rFonts w:asciiTheme="minorHAnsi" w:hAnsiTheme="minorHAnsi" w:cstheme="minorHAnsi"/>
          <w:sz w:val="22"/>
          <w:szCs w:val="22"/>
        </w:rPr>
        <w:t>.</w:t>
      </w:r>
      <w:r w:rsidR="00D23A59" w:rsidRPr="00D23A59">
        <w:rPr>
          <w:rFonts w:asciiTheme="minorHAnsi" w:hAnsiTheme="minorHAnsi" w:cstheme="minorHAnsi"/>
          <w:sz w:val="22"/>
          <w:szCs w:val="22"/>
        </w:rPr>
        <w:t xml:space="preserve"> La </w:t>
      </w:r>
      <w:proofErr w:type="spellStart"/>
      <w:r w:rsidR="001246CD">
        <w:rPr>
          <w:rFonts w:asciiTheme="minorHAnsi" w:hAnsiTheme="minorHAnsi" w:cstheme="minorHAnsi"/>
          <w:sz w:val="22"/>
          <w:szCs w:val="22"/>
        </w:rPr>
        <w:t>Moughataa</w:t>
      </w:r>
      <w:proofErr w:type="spellEnd"/>
      <w:r w:rsidR="00D23A59" w:rsidRPr="00D23A59">
        <w:rPr>
          <w:rFonts w:asciiTheme="minorHAnsi" w:hAnsiTheme="minorHAnsi" w:cstheme="minorHAnsi"/>
          <w:sz w:val="22"/>
          <w:szCs w:val="22"/>
        </w:rPr>
        <w:t xml:space="preserve"> avait en effet vu bondir de 40,42% son attribution de FRD en 2011.</w:t>
      </w:r>
    </w:p>
    <w:p w:rsidR="00DC6D5C" w:rsidRPr="0093300F" w:rsidRDefault="00DC6D5C" w:rsidP="00D23A59">
      <w:pPr>
        <w:jc w:val="both"/>
        <w:rPr>
          <w:rFonts w:asciiTheme="minorHAnsi" w:hAnsiTheme="minorHAnsi" w:cstheme="minorHAnsi"/>
          <w:sz w:val="22"/>
          <w:szCs w:val="22"/>
        </w:rPr>
      </w:pPr>
    </w:p>
    <w:p w:rsidR="005951CF" w:rsidRDefault="005951CF" w:rsidP="005951CF">
      <w:pPr>
        <w:jc w:val="both"/>
        <w:rPr>
          <w:rFonts w:asciiTheme="minorHAnsi" w:hAnsiTheme="minorHAnsi" w:cstheme="minorHAnsi"/>
          <w:sz w:val="22"/>
          <w:szCs w:val="22"/>
        </w:rPr>
      </w:pPr>
      <w:r w:rsidRPr="001A7E08">
        <w:rPr>
          <w:noProof/>
          <w:szCs w:val="22"/>
        </w:rPr>
        <w:drawing>
          <wp:inline distT="0" distB="0" distL="0" distR="0">
            <wp:extent cx="6645910" cy="2238375"/>
            <wp:effectExtent l="19050" t="0" r="2540" b="0"/>
            <wp:docPr id="10"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8" cstate="print"/>
                    <a:srcRect/>
                    <a:stretch>
                      <a:fillRect/>
                    </a:stretch>
                  </pic:blipFill>
                  <pic:spPr bwMode="auto">
                    <a:xfrm>
                      <a:off x="0" y="0"/>
                      <a:ext cx="6645910" cy="2238375"/>
                    </a:xfrm>
                    <a:prstGeom prst="rect">
                      <a:avLst/>
                    </a:prstGeom>
                    <a:noFill/>
                    <a:ln w="9525">
                      <a:noFill/>
                      <a:miter lim="800000"/>
                      <a:headEnd/>
                      <a:tailEnd/>
                    </a:ln>
                  </pic:spPr>
                </pic:pic>
              </a:graphicData>
            </a:graphic>
          </wp:inline>
        </w:drawing>
      </w:r>
    </w:p>
    <w:p w:rsidR="005951CF" w:rsidRDefault="005951CF" w:rsidP="005951CF">
      <w:pPr>
        <w:jc w:val="both"/>
        <w:rPr>
          <w:rFonts w:asciiTheme="minorHAnsi" w:hAnsiTheme="minorHAnsi" w:cstheme="minorHAnsi"/>
          <w:sz w:val="22"/>
          <w:szCs w:val="22"/>
        </w:rPr>
      </w:pPr>
    </w:p>
    <w:p w:rsidR="005951CF" w:rsidRDefault="005951CF" w:rsidP="005951CF">
      <w:pPr>
        <w:jc w:val="both"/>
        <w:rPr>
          <w:rFonts w:asciiTheme="minorHAnsi" w:hAnsiTheme="minorHAnsi" w:cstheme="minorHAnsi"/>
          <w:sz w:val="22"/>
          <w:szCs w:val="22"/>
        </w:rPr>
      </w:pPr>
      <w:r w:rsidRPr="00B07F3B">
        <w:rPr>
          <w:noProof/>
          <w:szCs w:val="22"/>
        </w:rPr>
        <w:drawing>
          <wp:inline distT="0" distB="0" distL="0" distR="0">
            <wp:extent cx="6645910" cy="2190750"/>
            <wp:effectExtent l="19050" t="0" r="2540" b="0"/>
            <wp:docPr id="17"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9" cstate="print"/>
                    <a:srcRect/>
                    <a:stretch>
                      <a:fillRect/>
                    </a:stretch>
                  </pic:blipFill>
                  <pic:spPr bwMode="auto">
                    <a:xfrm>
                      <a:off x="0" y="0"/>
                      <a:ext cx="6645910" cy="2190750"/>
                    </a:xfrm>
                    <a:prstGeom prst="rect">
                      <a:avLst/>
                    </a:prstGeom>
                    <a:noFill/>
                    <a:ln w="9525">
                      <a:noFill/>
                      <a:miter lim="800000"/>
                      <a:headEnd/>
                      <a:tailEnd/>
                    </a:ln>
                  </pic:spPr>
                </pic:pic>
              </a:graphicData>
            </a:graphic>
          </wp:inline>
        </w:drawing>
      </w:r>
    </w:p>
    <w:p w:rsidR="005951CF" w:rsidRPr="0093300F" w:rsidRDefault="005951CF" w:rsidP="005951CF">
      <w:pPr>
        <w:jc w:val="both"/>
        <w:rPr>
          <w:rFonts w:asciiTheme="minorHAnsi" w:hAnsiTheme="minorHAnsi" w:cstheme="minorHAnsi"/>
          <w:sz w:val="22"/>
          <w:szCs w:val="22"/>
        </w:rPr>
      </w:pPr>
      <w:r w:rsidRPr="0093300F">
        <w:rPr>
          <w:rFonts w:asciiTheme="minorHAnsi" w:hAnsiTheme="minorHAnsi" w:cstheme="minorHAnsi"/>
          <w:sz w:val="22"/>
          <w:szCs w:val="22"/>
        </w:rPr>
        <w:t xml:space="preserve">Ces engagements financiers 2011 correspondent à </w:t>
      </w:r>
      <w:r w:rsidR="00DC6D5C">
        <w:rPr>
          <w:rFonts w:asciiTheme="minorHAnsi" w:hAnsiTheme="minorHAnsi" w:cstheme="minorHAnsi"/>
          <w:b/>
          <w:sz w:val="22"/>
          <w:szCs w:val="22"/>
        </w:rPr>
        <w:t>49</w:t>
      </w:r>
      <w:r w:rsidRPr="0093300F">
        <w:rPr>
          <w:rFonts w:asciiTheme="minorHAnsi" w:hAnsiTheme="minorHAnsi" w:cstheme="minorHAnsi"/>
          <w:b/>
          <w:sz w:val="22"/>
          <w:szCs w:val="22"/>
        </w:rPr>
        <w:t xml:space="preserve"> projets</w:t>
      </w:r>
      <w:r w:rsidRPr="0093300F">
        <w:rPr>
          <w:rFonts w:asciiTheme="minorHAnsi" w:hAnsiTheme="minorHAnsi" w:cstheme="minorHAnsi"/>
          <w:sz w:val="22"/>
          <w:szCs w:val="22"/>
        </w:rPr>
        <w:t>. Il s’a</w:t>
      </w:r>
      <w:r w:rsidR="00DC6D5C">
        <w:rPr>
          <w:rFonts w:asciiTheme="minorHAnsi" w:hAnsiTheme="minorHAnsi" w:cstheme="minorHAnsi"/>
          <w:sz w:val="22"/>
          <w:szCs w:val="22"/>
        </w:rPr>
        <w:t>git d’un chiffre en baisse puisque 60 projets ont été engagés au titre de l’exercice 2011</w:t>
      </w:r>
      <w:r w:rsidRPr="0093300F">
        <w:rPr>
          <w:rFonts w:asciiTheme="minorHAnsi" w:hAnsiTheme="minorHAnsi" w:cstheme="minorHAnsi"/>
          <w:sz w:val="22"/>
          <w:szCs w:val="22"/>
        </w:rPr>
        <w:t xml:space="preserve">. Cette baisse du nombre de projets cumulée à la hausse du montant FRD donne </w:t>
      </w:r>
      <w:r w:rsidRPr="0093300F">
        <w:rPr>
          <w:rFonts w:asciiTheme="minorHAnsi" w:hAnsiTheme="minorHAnsi" w:cstheme="minorHAnsi"/>
          <w:b/>
          <w:sz w:val="22"/>
          <w:szCs w:val="22"/>
        </w:rPr>
        <w:t>un montant moyen de l’investissement par projet</w:t>
      </w:r>
      <w:r w:rsidR="00DC6D5C">
        <w:rPr>
          <w:rFonts w:asciiTheme="minorHAnsi" w:hAnsiTheme="minorHAnsi" w:cstheme="minorHAnsi"/>
          <w:sz w:val="22"/>
          <w:szCs w:val="22"/>
        </w:rPr>
        <w:t xml:space="preserve"> en</w:t>
      </w:r>
      <w:r w:rsidRPr="0093300F">
        <w:rPr>
          <w:rFonts w:asciiTheme="minorHAnsi" w:hAnsiTheme="minorHAnsi" w:cstheme="minorHAnsi"/>
          <w:sz w:val="22"/>
          <w:szCs w:val="22"/>
        </w:rPr>
        <w:t xml:space="preserve"> progression</w:t>
      </w:r>
      <w:r w:rsidR="00DC6D5C">
        <w:rPr>
          <w:rFonts w:asciiTheme="minorHAnsi" w:hAnsiTheme="minorHAnsi" w:cstheme="minorHAnsi"/>
          <w:sz w:val="22"/>
          <w:szCs w:val="22"/>
        </w:rPr>
        <w:t xml:space="preserve">, passant de 1 062 824 MRO à 1 252 214 MRO, </w:t>
      </w:r>
      <w:r w:rsidRPr="0093300F">
        <w:rPr>
          <w:rFonts w:asciiTheme="minorHAnsi" w:hAnsiTheme="minorHAnsi" w:cstheme="minorHAnsi"/>
          <w:sz w:val="22"/>
          <w:szCs w:val="22"/>
        </w:rPr>
        <w:t>similaire au montant observé au niveau national. La situation en matière de parcellisation de l’investissement, sans être satisfaisante</w:t>
      </w:r>
      <w:r w:rsidR="00E15949">
        <w:rPr>
          <w:rFonts w:asciiTheme="minorHAnsi" w:hAnsiTheme="minorHAnsi" w:cstheme="minorHAnsi"/>
          <w:sz w:val="22"/>
          <w:szCs w:val="22"/>
        </w:rPr>
        <w:t>,</w:t>
      </w:r>
      <w:r w:rsidRPr="0093300F">
        <w:rPr>
          <w:rFonts w:asciiTheme="minorHAnsi" w:hAnsiTheme="minorHAnsi" w:cstheme="minorHAnsi"/>
          <w:sz w:val="22"/>
          <w:szCs w:val="22"/>
        </w:rPr>
        <w:t xml:space="preserve"> s’améliore notamment parce que les communes de cette </w:t>
      </w:r>
      <w:r w:rsidR="001246CD">
        <w:rPr>
          <w:rFonts w:asciiTheme="minorHAnsi" w:hAnsiTheme="minorHAnsi" w:cstheme="minorHAnsi"/>
          <w:sz w:val="22"/>
          <w:szCs w:val="22"/>
        </w:rPr>
        <w:t>Wilaya</w:t>
      </w:r>
      <w:r w:rsidRPr="0093300F">
        <w:rPr>
          <w:rFonts w:asciiTheme="minorHAnsi" w:hAnsiTheme="minorHAnsi" w:cstheme="minorHAnsi"/>
          <w:sz w:val="22"/>
          <w:szCs w:val="22"/>
        </w:rPr>
        <w:t xml:space="preserve"> ont de manière général</w:t>
      </w:r>
      <w:r>
        <w:rPr>
          <w:rFonts w:asciiTheme="minorHAnsi" w:hAnsiTheme="minorHAnsi" w:cstheme="minorHAnsi"/>
          <w:sz w:val="22"/>
          <w:szCs w:val="22"/>
        </w:rPr>
        <w:t>e</w:t>
      </w:r>
      <w:r w:rsidRPr="0093300F">
        <w:rPr>
          <w:rFonts w:asciiTheme="minorHAnsi" w:hAnsiTheme="minorHAnsi" w:cstheme="minorHAnsi"/>
          <w:sz w:val="22"/>
          <w:szCs w:val="22"/>
        </w:rPr>
        <w:t xml:space="preserve"> limité le nombre de projet</w:t>
      </w:r>
      <w:r>
        <w:rPr>
          <w:rFonts w:asciiTheme="minorHAnsi" w:hAnsiTheme="minorHAnsi" w:cstheme="minorHAnsi"/>
          <w:sz w:val="22"/>
          <w:szCs w:val="22"/>
        </w:rPr>
        <w:t>s</w:t>
      </w:r>
      <w:r w:rsidRPr="0093300F">
        <w:rPr>
          <w:rFonts w:asciiTheme="minorHAnsi" w:hAnsiTheme="minorHAnsi" w:cstheme="minorHAnsi"/>
          <w:sz w:val="22"/>
          <w:szCs w:val="22"/>
        </w:rPr>
        <w:t xml:space="preserve"> quand bien même elles disposaient d’un FRD supérieur à celui des années précédentes.</w:t>
      </w:r>
    </w:p>
    <w:p w:rsidR="005951CF" w:rsidRDefault="005951CF" w:rsidP="005951CF">
      <w:pPr>
        <w:jc w:val="both"/>
        <w:rPr>
          <w:rFonts w:asciiTheme="minorHAnsi" w:hAnsiTheme="minorHAnsi" w:cstheme="minorHAnsi"/>
          <w:b/>
          <w:sz w:val="22"/>
          <w:szCs w:val="22"/>
        </w:rPr>
      </w:pPr>
    </w:p>
    <w:p w:rsidR="005951CF" w:rsidRDefault="005951CF" w:rsidP="005951CF">
      <w:pPr>
        <w:jc w:val="both"/>
        <w:rPr>
          <w:rFonts w:asciiTheme="minorHAnsi" w:hAnsiTheme="minorHAnsi" w:cstheme="minorHAnsi"/>
          <w:sz w:val="22"/>
          <w:szCs w:val="22"/>
        </w:rPr>
      </w:pPr>
      <w:r w:rsidRPr="0093300F">
        <w:rPr>
          <w:rFonts w:asciiTheme="minorHAnsi" w:hAnsiTheme="minorHAnsi" w:cstheme="minorHAnsi"/>
          <w:b/>
          <w:sz w:val="22"/>
          <w:szCs w:val="22"/>
        </w:rPr>
        <w:t>En termes de priorités d’investissement</w:t>
      </w:r>
      <w:r w:rsidRPr="0093300F">
        <w:rPr>
          <w:rFonts w:asciiTheme="minorHAnsi" w:hAnsiTheme="minorHAnsi" w:cstheme="minorHAnsi"/>
          <w:sz w:val="22"/>
          <w:szCs w:val="22"/>
        </w:rPr>
        <w:t xml:space="preserve">, la </w:t>
      </w:r>
      <w:r w:rsidR="001246CD">
        <w:rPr>
          <w:rFonts w:asciiTheme="minorHAnsi" w:hAnsiTheme="minorHAnsi" w:cstheme="minorHAnsi"/>
          <w:sz w:val="22"/>
          <w:szCs w:val="22"/>
        </w:rPr>
        <w:t>Wilaya</w:t>
      </w:r>
      <w:r w:rsidRPr="0093300F">
        <w:rPr>
          <w:rFonts w:asciiTheme="minorHAnsi" w:hAnsiTheme="minorHAnsi" w:cstheme="minorHAnsi"/>
          <w:sz w:val="22"/>
          <w:szCs w:val="22"/>
        </w:rPr>
        <w:t xml:space="preserve"> du </w:t>
      </w:r>
      <w:proofErr w:type="spellStart"/>
      <w:r w:rsidRPr="0093300F">
        <w:rPr>
          <w:rFonts w:asciiTheme="minorHAnsi" w:hAnsiTheme="minorHAnsi" w:cstheme="minorHAnsi"/>
          <w:sz w:val="22"/>
          <w:szCs w:val="22"/>
        </w:rPr>
        <w:t>Tagant</w:t>
      </w:r>
      <w:proofErr w:type="spellEnd"/>
      <w:r w:rsidR="00125A22">
        <w:rPr>
          <w:rFonts w:asciiTheme="minorHAnsi" w:hAnsiTheme="minorHAnsi" w:cstheme="minorHAnsi"/>
          <w:sz w:val="22"/>
          <w:szCs w:val="22"/>
        </w:rPr>
        <w:t>,</w:t>
      </w:r>
      <w:r w:rsidRPr="0093300F">
        <w:rPr>
          <w:rFonts w:asciiTheme="minorHAnsi" w:hAnsiTheme="minorHAnsi" w:cstheme="minorHAnsi"/>
          <w:sz w:val="22"/>
          <w:szCs w:val="22"/>
        </w:rPr>
        <w:t xml:space="preserve"> à l’image du niveau national</w:t>
      </w:r>
      <w:r w:rsidR="00125A22">
        <w:rPr>
          <w:rFonts w:asciiTheme="minorHAnsi" w:hAnsiTheme="minorHAnsi" w:cstheme="minorHAnsi"/>
          <w:sz w:val="22"/>
          <w:szCs w:val="22"/>
        </w:rPr>
        <w:t>,</w:t>
      </w:r>
      <w:r w:rsidRPr="0093300F">
        <w:rPr>
          <w:rFonts w:asciiTheme="minorHAnsi" w:hAnsiTheme="minorHAnsi" w:cstheme="minorHAnsi"/>
          <w:sz w:val="22"/>
          <w:szCs w:val="22"/>
        </w:rPr>
        <w:t xml:space="preserve"> consacre la part la plus importante de ses c</w:t>
      </w:r>
      <w:r w:rsidR="00DC6D5C">
        <w:rPr>
          <w:rFonts w:asciiTheme="minorHAnsi" w:hAnsiTheme="minorHAnsi" w:cstheme="minorHAnsi"/>
          <w:sz w:val="22"/>
          <w:szCs w:val="22"/>
        </w:rPr>
        <w:t>rédits au secteur des bâtiments communaux (30,38% des engagements), soit 9 projets pour 18 643 188 MRO.</w:t>
      </w:r>
    </w:p>
    <w:p w:rsidR="005951CF" w:rsidRDefault="00DC6D5C" w:rsidP="005951CF">
      <w:pPr>
        <w:jc w:val="both"/>
        <w:rPr>
          <w:rFonts w:asciiTheme="minorHAnsi" w:hAnsiTheme="minorHAnsi" w:cstheme="minorHAnsi"/>
          <w:sz w:val="22"/>
          <w:szCs w:val="22"/>
        </w:rPr>
      </w:pPr>
      <w:r>
        <w:rPr>
          <w:rFonts w:asciiTheme="minorHAnsi" w:hAnsiTheme="minorHAnsi" w:cstheme="minorHAnsi"/>
          <w:sz w:val="22"/>
          <w:szCs w:val="22"/>
        </w:rPr>
        <w:t>Le deuxième secteur prioritaire concerne celui de l’hydraulique avec 15,62% des engagements, correspondant à 6 projets pour un montant total de 9 586 000 MRO.</w:t>
      </w:r>
    </w:p>
    <w:p w:rsidR="005951CF" w:rsidRDefault="00DC6D5C" w:rsidP="005951CF">
      <w:pPr>
        <w:jc w:val="both"/>
        <w:rPr>
          <w:rFonts w:asciiTheme="minorHAnsi" w:hAnsiTheme="minorHAnsi" w:cstheme="minorHAnsi"/>
          <w:sz w:val="22"/>
          <w:szCs w:val="22"/>
        </w:rPr>
      </w:pPr>
      <w:r>
        <w:rPr>
          <w:rFonts w:asciiTheme="minorHAnsi" w:hAnsiTheme="minorHAnsi" w:cstheme="minorHAnsi"/>
          <w:sz w:val="22"/>
          <w:szCs w:val="22"/>
        </w:rPr>
        <w:t xml:space="preserve">En troisième position le secteur </w:t>
      </w:r>
      <w:r w:rsidR="004F5199">
        <w:rPr>
          <w:rFonts w:asciiTheme="minorHAnsi" w:hAnsiTheme="minorHAnsi" w:cstheme="minorHAnsi"/>
          <w:sz w:val="22"/>
          <w:szCs w:val="22"/>
        </w:rPr>
        <w:t>de l’assainissement avec 9,21% des engagements (5 projets pour 5 651 084 MRO).</w:t>
      </w:r>
    </w:p>
    <w:p w:rsidR="005951CF" w:rsidRDefault="005951CF" w:rsidP="005951CF">
      <w:pPr>
        <w:jc w:val="both"/>
        <w:rPr>
          <w:rFonts w:asciiTheme="minorHAnsi" w:hAnsiTheme="minorHAnsi" w:cstheme="minorHAnsi"/>
          <w:sz w:val="22"/>
          <w:szCs w:val="22"/>
        </w:rPr>
      </w:pPr>
      <w:r w:rsidRPr="005523C1">
        <w:rPr>
          <w:noProof/>
        </w:rPr>
        <w:drawing>
          <wp:inline distT="0" distB="0" distL="0" distR="0">
            <wp:extent cx="6505574" cy="2143125"/>
            <wp:effectExtent l="19050" t="0" r="0" b="0"/>
            <wp:docPr id="18"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0" cstate="print"/>
                    <a:stretch>
                      <a:fillRect/>
                    </a:stretch>
                  </pic:blipFill>
                  <pic:spPr>
                    <a:xfrm>
                      <a:off x="0" y="0"/>
                      <a:ext cx="6504763" cy="2142858"/>
                    </a:xfrm>
                    <a:prstGeom prst="rect">
                      <a:avLst/>
                    </a:prstGeom>
                  </pic:spPr>
                </pic:pic>
              </a:graphicData>
            </a:graphic>
          </wp:inline>
        </w:drawing>
      </w:r>
    </w:p>
    <w:p w:rsidR="005951CF" w:rsidRDefault="005951CF" w:rsidP="005951CF">
      <w:pPr>
        <w:jc w:val="both"/>
        <w:rPr>
          <w:rFonts w:asciiTheme="minorHAnsi" w:hAnsiTheme="minorHAnsi" w:cstheme="minorHAnsi"/>
        </w:rPr>
      </w:pPr>
    </w:p>
    <w:p w:rsidR="00BA0AC0" w:rsidRDefault="00BA0AC0" w:rsidP="005951CF">
      <w:pPr>
        <w:jc w:val="both"/>
        <w:rPr>
          <w:rFonts w:asciiTheme="minorHAnsi" w:hAnsiTheme="minorHAnsi" w:cstheme="minorHAnsi"/>
        </w:rPr>
      </w:pPr>
    </w:p>
    <w:p w:rsidR="00147D50" w:rsidRPr="002849A5" w:rsidRDefault="005951CF" w:rsidP="002849A5">
      <w:pPr>
        <w:jc w:val="both"/>
        <w:rPr>
          <w:rFonts w:asciiTheme="minorHAnsi" w:hAnsiTheme="minorHAnsi" w:cstheme="minorHAnsi"/>
          <w:b/>
          <w:sz w:val="22"/>
          <w:szCs w:val="22"/>
          <w:u w:val="single"/>
        </w:rPr>
      </w:pPr>
      <w:r w:rsidRPr="00147D50">
        <w:rPr>
          <w:rFonts w:asciiTheme="minorHAnsi" w:hAnsiTheme="minorHAnsi" w:cstheme="minorHAnsi"/>
          <w:b/>
          <w:sz w:val="22"/>
          <w:szCs w:val="22"/>
          <w:u w:val="single"/>
        </w:rPr>
        <w:t xml:space="preserve">Analyse des données par </w:t>
      </w:r>
      <w:proofErr w:type="spellStart"/>
      <w:r w:rsidR="001246CD">
        <w:rPr>
          <w:rFonts w:asciiTheme="minorHAnsi" w:hAnsiTheme="minorHAnsi" w:cstheme="minorHAnsi"/>
          <w:b/>
          <w:sz w:val="22"/>
          <w:szCs w:val="22"/>
          <w:u w:val="single"/>
        </w:rPr>
        <w:t>Moughataa</w:t>
      </w:r>
      <w:proofErr w:type="spellEnd"/>
    </w:p>
    <w:p w:rsidR="005951CF" w:rsidRDefault="001246CD" w:rsidP="00147D50">
      <w:pPr>
        <w:jc w:val="center"/>
        <w:rPr>
          <w:rFonts w:asciiTheme="minorHAnsi" w:hAnsiTheme="minorHAnsi" w:cstheme="minorHAnsi"/>
          <w:b/>
          <w:sz w:val="22"/>
          <w:szCs w:val="22"/>
          <w:u w:val="single"/>
        </w:rPr>
      </w:pPr>
      <w:proofErr w:type="spellStart"/>
      <w:r>
        <w:rPr>
          <w:rFonts w:asciiTheme="minorHAnsi" w:hAnsiTheme="minorHAnsi" w:cstheme="minorHAnsi"/>
          <w:b/>
          <w:sz w:val="22"/>
          <w:szCs w:val="22"/>
          <w:u w:val="single"/>
        </w:rPr>
        <w:t>Moughataa</w:t>
      </w:r>
      <w:proofErr w:type="spellEnd"/>
      <w:r w:rsidR="005951CF" w:rsidRPr="0093300F">
        <w:rPr>
          <w:rFonts w:asciiTheme="minorHAnsi" w:hAnsiTheme="minorHAnsi" w:cstheme="minorHAnsi"/>
          <w:b/>
          <w:sz w:val="22"/>
          <w:szCs w:val="22"/>
          <w:u w:val="single"/>
        </w:rPr>
        <w:t xml:space="preserve"> de </w:t>
      </w:r>
      <w:proofErr w:type="spellStart"/>
      <w:r w:rsidR="005951CF" w:rsidRPr="0093300F">
        <w:rPr>
          <w:rFonts w:asciiTheme="minorHAnsi" w:hAnsiTheme="minorHAnsi" w:cstheme="minorHAnsi"/>
          <w:b/>
          <w:sz w:val="22"/>
          <w:szCs w:val="22"/>
          <w:u w:val="single"/>
        </w:rPr>
        <w:t>Tidjikja</w:t>
      </w:r>
      <w:proofErr w:type="spellEnd"/>
    </w:p>
    <w:p w:rsidR="00147D50" w:rsidRPr="00147D50" w:rsidRDefault="00147D50" w:rsidP="00147D50">
      <w:pPr>
        <w:jc w:val="center"/>
        <w:rPr>
          <w:rFonts w:asciiTheme="minorHAnsi" w:hAnsiTheme="minorHAnsi" w:cstheme="minorHAnsi"/>
          <w:sz w:val="22"/>
          <w:szCs w:val="22"/>
          <w:u w:val="single"/>
        </w:rPr>
      </w:pPr>
    </w:p>
    <w:p w:rsidR="005951CF" w:rsidRPr="00DA1C71" w:rsidRDefault="005951CF" w:rsidP="005951CF">
      <w:pPr>
        <w:jc w:val="both"/>
        <w:rPr>
          <w:rFonts w:asciiTheme="minorHAnsi" w:hAnsiTheme="minorHAnsi" w:cstheme="minorHAnsi"/>
          <w:sz w:val="22"/>
          <w:szCs w:val="22"/>
        </w:rPr>
      </w:pPr>
      <w:r w:rsidRPr="0093300F">
        <w:rPr>
          <w:rFonts w:asciiTheme="minorHAnsi" w:hAnsiTheme="minorHAnsi" w:cstheme="minorHAnsi"/>
          <w:sz w:val="22"/>
          <w:szCs w:val="22"/>
        </w:rPr>
        <w:t xml:space="preserve">Les communes de la </w:t>
      </w:r>
      <w:proofErr w:type="spellStart"/>
      <w:r w:rsidR="001246CD">
        <w:rPr>
          <w:rFonts w:asciiTheme="minorHAnsi" w:hAnsiTheme="minorHAnsi" w:cstheme="minorHAnsi"/>
          <w:sz w:val="22"/>
          <w:szCs w:val="22"/>
        </w:rPr>
        <w:t>Moughataa</w:t>
      </w:r>
      <w:proofErr w:type="spellEnd"/>
      <w:r w:rsidRPr="0093300F">
        <w:rPr>
          <w:rFonts w:asciiTheme="minorHAnsi" w:hAnsiTheme="minorHAnsi" w:cstheme="minorHAnsi"/>
          <w:sz w:val="22"/>
          <w:szCs w:val="22"/>
        </w:rPr>
        <w:t xml:space="preserve"> de </w:t>
      </w:r>
      <w:proofErr w:type="spellStart"/>
      <w:r w:rsidRPr="0093300F">
        <w:rPr>
          <w:rFonts w:asciiTheme="minorHAnsi" w:hAnsiTheme="minorHAnsi" w:cstheme="minorHAnsi"/>
          <w:sz w:val="22"/>
          <w:szCs w:val="22"/>
        </w:rPr>
        <w:t>Tidj</w:t>
      </w:r>
      <w:r w:rsidR="00DA1C71">
        <w:rPr>
          <w:rFonts w:asciiTheme="minorHAnsi" w:hAnsiTheme="minorHAnsi" w:cstheme="minorHAnsi"/>
          <w:sz w:val="22"/>
          <w:szCs w:val="22"/>
        </w:rPr>
        <w:t>ikja</w:t>
      </w:r>
      <w:proofErr w:type="spellEnd"/>
      <w:r w:rsidR="00DA1C71">
        <w:rPr>
          <w:rFonts w:asciiTheme="minorHAnsi" w:hAnsiTheme="minorHAnsi" w:cstheme="minorHAnsi"/>
          <w:sz w:val="22"/>
          <w:szCs w:val="22"/>
        </w:rPr>
        <w:t xml:space="preserve"> ont bénéficié d’un FRD 2012 pour l’équipement de 29 227 159 MRO (+16,02% par rapport à 2011). Elles ont engagé 25 660 861</w:t>
      </w:r>
      <w:r w:rsidRPr="0093300F">
        <w:rPr>
          <w:rFonts w:asciiTheme="minorHAnsi" w:hAnsiTheme="minorHAnsi" w:cstheme="minorHAnsi"/>
          <w:sz w:val="22"/>
          <w:szCs w:val="22"/>
        </w:rPr>
        <w:t xml:space="preserve"> MRO pour la réalisation de </w:t>
      </w:r>
      <w:r w:rsidR="00DA1C71">
        <w:rPr>
          <w:rFonts w:asciiTheme="minorHAnsi" w:hAnsiTheme="minorHAnsi" w:cstheme="minorHAnsi"/>
          <w:b/>
          <w:sz w:val="22"/>
          <w:szCs w:val="22"/>
        </w:rPr>
        <w:t>20</w:t>
      </w:r>
      <w:r w:rsidRPr="00757FE1">
        <w:rPr>
          <w:rFonts w:asciiTheme="minorHAnsi" w:hAnsiTheme="minorHAnsi" w:cstheme="minorHAnsi"/>
          <w:b/>
          <w:sz w:val="22"/>
          <w:szCs w:val="22"/>
        </w:rPr>
        <w:t xml:space="preserve"> projets</w:t>
      </w:r>
      <w:r w:rsidRPr="0093300F">
        <w:rPr>
          <w:rFonts w:asciiTheme="minorHAnsi" w:hAnsiTheme="minorHAnsi" w:cstheme="minorHAnsi"/>
          <w:sz w:val="22"/>
          <w:szCs w:val="22"/>
        </w:rPr>
        <w:t xml:space="preserve">, soit un </w:t>
      </w:r>
      <w:r w:rsidRPr="0093300F">
        <w:rPr>
          <w:rFonts w:asciiTheme="minorHAnsi" w:hAnsiTheme="minorHAnsi" w:cstheme="minorHAnsi"/>
          <w:b/>
          <w:sz w:val="22"/>
          <w:szCs w:val="22"/>
        </w:rPr>
        <w:t>taux d’absorpti</w:t>
      </w:r>
      <w:r w:rsidR="00DA1C71">
        <w:rPr>
          <w:rFonts w:asciiTheme="minorHAnsi" w:hAnsiTheme="minorHAnsi" w:cstheme="minorHAnsi"/>
          <w:b/>
          <w:sz w:val="22"/>
          <w:szCs w:val="22"/>
        </w:rPr>
        <w:t>on de 87,80</w:t>
      </w:r>
      <w:r w:rsidRPr="0093300F">
        <w:rPr>
          <w:rFonts w:asciiTheme="minorHAnsi" w:hAnsiTheme="minorHAnsi" w:cstheme="minorHAnsi"/>
          <w:b/>
          <w:sz w:val="22"/>
          <w:szCs w:val="22"/>
        </w:rPr>
        <w:t>%.</w:t>
      </w:r>
      <w:r w:rsidR="00DA1C71">
        <w:rPr>
          <w:rFonts w:asciiTheme="minorHAnsi" w:hAnsiTheme="minorHAnsi" w:cstheme="minorHAnsi"/>
          <w:b/>
          <w:sz w:val="22"/>
          <w:szCs w:val="22"/>
        </w:rPr>
        <w:t xml:space="preserve"> </w:t>
      </w:r>
      <w:r w:rsidR="00DA1C71" w:rsidRPr="00DA1C71">
        <w:rPr>
          <w:rFonts w:asciiTheme="minorHAnsi" w:hAnsiTheme="minorHAnsi" w:cstheme="minorHAnsi"/>
          <w:sz w:val="22"/>
          <w:szCs w:val="22"/>
        </w:rPr>
        <w:t xml:space="preserve">Ce taux </w:t>
      </w:r>
      <w:r w:rsidR="00DA1C71">
        <w:rPr>
          <w:rFonts w:asciiTheme="minorHAnsi" w:hAnsiTheme="minorHAnsi" w:cstheme="minorHAnsi"/>
          <w:sz w:val="22"/>
          <w:szCs w:val="22"/>
        </w:rPr>
        <w:t>est quelque peu décevant</w:t>
      </w:r>
      <w:r w:rsidR="000F304B">
        <w:rPr>
          <w:rFonts w:asciiTheme="minorHAnsi" w:hAnsiTheme="minorHAnsi" w:cstheme="minorHAnsi"/>
          <w:sz w:val="22"/>
          <w:szCs w:val="22"/>
        </w:rPr>
        <w:t xml:space="preserve"> (tiré vers le bas par la Commune de </w:t>
      </w:r>
      <w:proofErr w:type="spellStart"/>
      <w:r w:rsidR="000F304B">
        <w:rPr>
          <w:rFonts w:asciiTheme="minorHAnsi" w:hAnsiTheme="minorHAnsi" w:cstheme="minorHAnsi"/>
          <w:sz w:val="22"/>
          <w:szCs w:val="22"/>
        </w:rPr>
        <w:t>Lehsseira</w:t>
      </w:r>
      <w:proofErr w:type="spellEnd"/>
      <w:r w:rsidR="000F304B">
        <w:rPr>
          <w:rFonts w:asciiTheme="minorHAnsi" w:hAnsiTheme="minorHAnsi" w:cstheme="minorHAnsi"/>
          <w:sz w:val="22"/>
          <w:szCs w:val="22"/>
        </w:rPr>
        <w:t xml:space="preserve"> et ses 42,2%)</w:t>
      </w:r>
      <w:r w:rsidR="00DA1C71">
        <w:rPr>
          <w:rFonts w:asciiTheme="minorHAnsi" w:hAnsiTheme="minorHAnsi" w:cstheme="minorHAnsi"/>
          <w:sz w:val="22"/>
          <w:szCs w:val="22"/>
        </w:rPr>
        <w:t>, en comparaison de la moyenne nationale, et marque en quelque sorte une pause après deux années fastes marquées par un taux d’absorption supérieur à 120%, c’est-à-dire une forte utilisation des reliquats des exercices antérieurs.</w:t>
      </w:r>
    </w:p>
    <w:p w:rsidR="005951CF" w:rsidRDefault="005951CF" w:rsidP="005951CF">
      <w:pPr>
        <w:jc w:val="both"/>
        <w:rPr>
          <w:rFonts w:asciiTheme="minorHAnsi" w:hAnsiTheme="minorHAnsi" w:cstheme="minorHAnsi"/>
          <w:sz w:val="22"/>
          <w:szCs w:val="22"/>
        </w:rPr>
      </w:pPr>
      <w:r w:rsidRPr="002A6FEC">
        <w:rPr>
          <w:noProof/>
        </w:rPr>
        <w:drawing>
          <wp:inline distT="0" distB="0" distL="0" distR="0">
            <wp:extent cx="3124200" cy="3295650"/>
            <wp:effectExtent l="19050" t="0" r="0" b="0"/>
            <wp:docPr id="20"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1" cstate="print"/>
                    <a:stretch>
                      <a:fillRect/>
                    </a:stretch>
                  </pic:blipFill>
                  <pic:spPr>
                    <a:xfrm>
                      <a:off x="0" y="0"/>
                      <a:ext cx="3123810" cy="3295239"/>
                    </a:xfrm>
                    <a:prstGeom prst="rect">
                      <a:avLst/>
                    </a:prstGeom>
                  </pic:spPr>
                </pic:pic>
              </a:graphicData>
            </a:graphic>
          </wp:inline>
        </w:drawing>
      </w:r>
      <w:r w:rsidRPr="00371ADB">
        <w:rPr>
          <w:rFonts w:asciiTheme="minorHAnsi" w:hAnsiTheme="minorHAnsi" w:cstheme="minorHAnsi"/>
          <w:noProof/>
          <w:sz w:val="22"/>
          <w:szCs w:val="22"/>
        </w:rPr>
        <w:drawing>
          <wp:inline distT="0" distB="0" distL="0" distR="0">
            <wp:extent cx="3267075" cy="3295650"/>
            <wp:effectExtent l="19050" t="0" r="9525" b="0"/>
            <wp:docPr id="22"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2" cstate="print"/>
                    <a:stretch>
                      <a:fillRect/>
                    </a:stretch>
                  </pic:blipFill>
                  <pic:spPr>
                    <a:xfrm>
                      <a:off x="0" y="0"/>
                      <a:ext cx="3266667" cy="3295238"/>
                    </a:xfrm>
                    <a:prstGeom prst="rect">
                      <a:avLst/>
                    </a:prstGeom>
                  </pic:spPr>
                </pic:pic>
              </a:graphicData>
            </a:graphic>
          </wp:inline>
        </w:drawing>
      </w:r>
    </w:p>
    <w:p w:rsidR="00BA0AC0" w:rsidRDefault="00BA0AC0" w:rsidP="005951CF">
      <w:pPr>
        <w:jc w:val="both"/>
        <w:rPr>
          <w:rFonts w:asciiTheme="minorHAnsi" w:hAnsiTheme="minorHAnsi" w:cstheme="minorHAnsi"/>
          <w:sz w:val="22"/>
          <w:szCs w:val="22"/>
        </w:rPr>
      </w:pPr>
      <w:r w:rsidRPr="00BA0AC0">
        <w:rPr>
          <w:noProof/>
          <w:szCs w:val="22"/>
        </w:rPr>
        <w:drawing>
          <wp:inline distT="0" distB="0" distL="0" distR="0">
            <wp:extent cx="6645910" cy="1520599"/>
            <wp:effectExtent l="19050" t="0" r="2540" b="0"/>
            <wp:docPr id="102" name="Imag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233" cstate="print"/>
                    <a:srcRect/>
                    <a:stretch>
                      <a:fillRect/>
                    </a:stretch>
                  </pic:blipFill>
                  <pic:spPr bwMode="auto">
                    <a:xfrm>
                      <a:off x="0" y="0"/>
                      <a:ext cx="6645910" cy="1520599"/>
                    </a:xfrm>
                    <a:prstGeom prst="rect">
                      <a:avLst/>
                    </a:prstGeom>
                    <a:noFill/>
                    <a:ln w="9525">
                      <a:noFill/>
                      <a:miter lim="800000"/>
                      <a:headEnd/>
                      <a:tailEnd/>
                    </a:ln>
                  </pic:spPr>
                </pic:pic>
              </a:graphicData>
            </a:graphic>
          </wp:inline>
        </w:drawing>
      </w:r>
    </w:p>
    <w:p w:rsidR="00BA0AC0" w:rsidRDefault="00BA0AC0" w:rsidP="005951CF">
      <w:pPr>
        <w:jc w:val="both"/>
        <w:rPr>
          <w:rFonts w:asciiTheme="minorHAnsi" w:hAnsiTheme="minorHAnsi" w:cstheme="minorHAnsi"/>
          <w:sz w:val="22"/>
          <w:szCs w:val="22"/>
        </w:rPr>
      </w:pPr>
    </w:p>
    <w:p w:rsidR="00BA0AC0" w:rsidRPr="0093300F" w:rsidRDefault="00BA0AC0" w:rsidP="00BA0AC0">
      <w:pPr>
        <w:jc w:val="both"/>
        <w:rPr>
          <w:rFonts w:asciiTheme="minorHAnsi" w:hAnsiTheme="minorHAnsi" w:cstheme="minorHAnsi"/>
          <w:sz w:val="22"/>
          <w:szCs w:val="22"/>
        </w:rPr>
      </w:pPr>
      <w:r w:rsidRPr="0093300F">
        <w:rPr>
          <w:rFonts w:asciiTheme="minorHAnsi" w:hAnsiTheme="minorHAnsi" w:cstheme="minorHAnsi"/>
          <w:sz w:val="22"/>
          <w:szCs w:val="22"/>
        </w:rPr>
        <w:t>Le</w:t>
      </w:r>
      <w:r>
        <w:rPr>
          <w:rFonts w:asciiTheme="minorHAnsi" w:hAnsiTheme="minorHAnsi" w:cstheme="minorHAnsi"/>
          <w:sz w:val="22"/>
          <w:szCs w:val="22"/>
        </w:rPr>
        <w:t xml:space="preserve"> montant moyen par projet d’investissement s’améliore, passant de 864 920 MRO en 2011 à 1 283 043 MRO en 2012, grâce à une réduction du nombre de projets (35 en 2011 contre 20 en 2012), favorable à une moindre parcellisation de l’investissement</w:t>
      </w:r>
      <w:r w:rsidRPr="0093300F">
        <w:rPr>
          <w:rFonts w:asciiTheme="minorHAnsi" w:hAnsiTheme="minorHAnsi" w:cstheme="minorHAnsi"/>
          <w:sz w:val="22"/>
          <w:szCs w:val="22"/>
        </w:rPr>
        <w:t>.</w:t>
      </w:r>
    </w:p>
    <w:p w:rsidR="00BA0AC0" w:rsidRDefault="00BA0AC0" w:rsidP="00BA0AC0">
      <w:pPr>
        <w:jc w:val="both"/>
        <w:rPr>
          <w:rFonts w:asciiTheme="minorHAnsi" w:hAnsiTheme="minorHAnsi" w:cstheme="minorHAnsi"/>
          <w:sz w:val="22"/>
          <w:szCs w:val="22"/>
        </w:rPr>
      </w:pPr>
      <w:r>
        <w:rPr>
          <w:rFonts w:asciiTheme="minorHAnsi" w:hAnsiTheme="minorHAnsi" w:cstheme="minorHAnsi"/>
          <w:sz w:val="22"/>
          <w:szCs w:val="22"/>
        </w:rPr>
        <w:t>En termes de priorités d’investissement, le secteur des bâtiments communaux, comme au niveau national, vient en première position avec 22,01% des engagements, pour 4 projets se répartissant 5 647 034 MRO.</w:t>
      </w:r>
    </w:p>
    <w:p w:rsidR="00BA0AC0" w:rsidRPr="0093300F" w:rsidRDefault="00BA0AC0" w:rsidP="00BA0AC0">
      <w:pPr>
        <w:jc w:val="both"/>
        <w:rPr>
          <w:rFonts w:asciiTheme="minorHAnsi" w:hAnsiTheme="minorHAnsi" w:cstheme="minorHAnsi"/>
          <w:sz w:val="22"/>
          <w:szCs w:val="22"/>
        </w:rPr>
      </w:pPr>
      <w:r>
        <w:rPr>
          <w:rFonts w:asciiTheme="minorHAnsi" w:hAnsiTheme="minorHAnsi" w:cstheme="minorHAnsi"/>
          <w:sz w:val="22"/>
          <w:szCs w:val="22"/>
        </w:rPr>
        <w:t>Ensuite, vient en deuxième position le secteur de l’assainissement avec 18,59% des engagements, soit 4 771 084 MRO pour 3 projets.</w:t>
      </w:r>
    </w:p>
    <w:p w:rsidR="00BA0AC0" w:rsidRDefault="00BA0AC0" w:rsidP="00BA0AC0">
      <w:pPr>
        <w:jc w:val="both"/>
        <w:rPr>
          <w:rFonts w:asciiTheme="minorHAnsi" w:hAnsiTheme="minorHAnsi" w:cstheme="minorHAnsi"/>
          <w:sz w:val="22"/>
          <w:szCs w:val="22"/>
        </w:rPr>
      </w:pPr>
      <w:r>
        <w:rPr>
          <w:rFonts w:asciiTheme="minorHAnsi" w:hAnsiTheme="minorHAnsi" w:cstheme="minorHAnsi"/>
          <w:sz w:val="22"/>
          <w:szCs w:val="22"/>
        </w:rPr>
        <w:t>En troisième position, les opérations d’équipement de mairie avec 15,69% des engagements, soit 4 025 000 MRO pour 4 projets.</w:t>
      </w:r>
    </w:p>
    <w:p w:rsidR="00BA0AC0" w:rsidRPr="0093300F" w:rsidRDefault="00BA0AC0" w:rsidP="005951CF">
      <w:pPr>
        <w:jc w:val="both"/>
        <w:rPr>
          <w:rFonts w:asciiTheme="minorHAnsi" w:hAnsiTheme="minorHAnsi" w:cstheme="minorHAnsi"/>
          <w:sz w:val="22"/>
          <w:szCs w:val="22"/>
        </w:rPr>
      </w:pPr>
    </w:p>
    <w:p w:rsidR="005951CF" w:rsidRPr="0093300F" w:rsidRDefault="005951CF" w:rsidP="005951CF">
      <w:pPr>
        <w:jc w:val="both"/>
        <w:rPr>
          <w:rFonts w:asciiTheme="minorHAnsi" w:hAnsiTheme="minorHAnsi" w:cstheme="minorHAnsi"/>
          <w:b/>
          <w:sz w:val="22"/>
          <w:szCs w:val="22"/>
        </w:rPr>
      </w:pPr>
      <w:r w:rsidRPr="00C35530">
        <w:rPr>
          <w:rFonts w:asciiTheme="minorHAnsi" w:hAnsiTheme="minorHAnsi" w:cstheme="minorHAnsi"/>
          <w:b/>
          <w:noProof/>
          <w:sz w:val="22"/>
          <w:szCs w:val="22"/>
        </w:rPr>
        <w:drawing>
          <wp:inline distT="0" distB="0" distL="0" distR="0">
            <wp:extent cx="6645910" cy="3000375"/>
            <wp:effectExtent l="19050" t="0" r="2540" b="0"/>
            <wp:docPr id="23"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4" cstate="print"/>
                    <a:stretch>
                      <a:fillRect/>
                    </a:stretch>
                  </pic:blipFill>
                  <pic:spPr>
                    <a:xfrm>
                      <a:off x="0" y="0"/>
                      <a:ext cx="6645082" cy="3000001"/>
                    </a:xfrm>
                    <a:prstGeom prst="rect">
                      <a:avLst/>
                    </a:prstGeom>
                  </pic:spPr>
                </pic:pic>
              </a:graphicData>
            </a:graphic>
          </wp:inline>
        </w:drawing>
      </w:r>
    </w:p>
    <w:p w:rsidR="005951CF" w:rsidRDefault="003F0697" w:rsidP="005951CF">
      <w:pPr>
        <w:jc w:val="both"/>
        <w:rPr>
          <w:rFonts w:asciiTheme="minorHAnsi" w:hAnsiTheme="minorHAnsi" w:cstheme="minorHAnsi"/>
          <w:sz w:val="22"/>
          <w:szCs w:val="22"/>
        </w:rPr>
      </w:pPr>
      <w:r w:rsidRPr="003F0697">
        <w:rPr>
          <w:noProof/>
        </w:rPr>
        <w:drawing>
          <wp:inline distT="0" distB="0" distL="0" distR="0">
            <wp:extent cx="6705600" cy="2524125"/>
            <wp:effectExtent l="19050" t="0" r="0" b="0"/>
            <wp:docPr id="300"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5" cstate="print"/>
                    <a:stretch>
                      <a:fillRect/>
                    </a:stretch>
                  </pic:blipFill>
                  <pic:spPr>
                    <a:xfrm>
                      <a:off x="0" y="0"/>
                      <a:ext cx="6705600" cy="2524125"/>
                    </a:xfrm>
                    <a:prstGeom prst="rect">
                      <a:avLst/>
                    </a:prstGeom>
                  </pic:spPr>
                </pic:pic>
              </a:graphicData>
            </a:graphic>
          </wp:inline>
        </w:drawing>
      </w:r>
    </w:p>
    <w:p w:rsidR="00BA0AC0" w:rsidRPr="0093300F" w:rsidRDefault="00BA0AC0" w:rsidP="005951CF">
      <w:pPr>
        <w:jc w:val="both"/>
        <w:rPr>
          <w:rFonts w:asciiTheme="minorHAnsi" w:hAnsiTheme="minorHAnsi" w:cstheme="minorHAnsi"/>
          <w:sz w:val="22"/>
          <w:szCs w:val="22"/>
        </w:rPr>
      </w:pPr>
    </w:p>
    <w:p w:rsidR="003F0697" w:rsidRDefault="003F0697" w:rsidP="005951CF">
      <w:pPr>
        <w:jc w:val="center"/>
        <w:rPr>
          <w:rFonts w:asciiTheme="minorHAnsi" w:hAnsiTheme="minorHAnsi" w:cstheme="minorHAnsi"/>
          <w:b/>
          <w:sz w:val="22"/>
          <w:szCs w:val="22"/>
          <w:u w:val="single"/>
        </w:rPr>
      </w:pPr>
    </w:p>
    <w:p w:rsidR="005951CF" w:rsidRPr="0093300F" w:rsidRDefault="001246CD" w:rsidP="005951CF">
      <w:pPr>
        <w:jc w:val="center"/>
        <w:rPr>
          <w:rFonts w:asciiTheme="minorHAnsi" w:hAnsiTheme="minorHAnsi" w:cstheme="minorHAnsi"/>
          <w:sz w:val="22"/>
          <w:szCs w:val="22"/>
          <w:u w:val="single"/>
        </w:rPr>
      </w:pPr>
      <w:proofErr w:type="spellStart"/>
      <w:r>
        <w:rPr>
          <w:rFonts w:asciiTheme="minorHAnsi" w:hAnsiTheme="minorHAnsi" w:cstheme="minorHAnsi"/>
          <w:b/>
          <w:sz w:val="22"/>
          <w:szCs w:val="22"/>
          <w:u w:val="single"/>
        </w:rPr>
        <w:t>Moughataa</w:t>
      </w:r>
      <w:proofErr w:type="spellEnd"/>
      <w:r w:rsidR="005951CF" w:rsidRPr="0093300F">
        <w:rPr>
          <w:rFonts w:asciiTheme="minorHAnsi" w:hAnsiTheme="minorHAnsi" w:cstheme="minorHAnsi"/>
          <w:b/>
          <w:sz w:val="22"/>
          <w:szCs w:val="22"/>
          <w:u w:val="single"/>
        </w:rPr>
        <w:t xml:space="preserve"> de Moudjéria</w:t>
      </w:r>
    </w:p>
    <w:p w:rsidR="005951CF" w:rsidRPr="0093300F" w:rsidRDefault="005951CF" w:rsidP="005951CF">
      <w:pPr>
        <w:jc w:val="both"/>
        <w:rPr>
          <w:rFonts w:asciiTheme="minorHAnsi" w:hAnsiTheme="minorHAnsi" w:cstheme="minorHAnsi"/>
          <w:sz w:val="22"/>
          <w:szCs w:val="22"/>
        </w:rPr>
      </w:pPr>
    </w:p>
    <w:p w:rsidR="005951CF" w:rsidRPr="00C02E33" w:rsidRDefault="005951CF" w:rsidP="005951CF">
      <w:pPr>
        <w:jc w:val="both"/>
        <w:rPr>
          <w:rFonts w:asciiTheme="minorHAnsi" w:hAnsiTheme="minorHAnsi" w:cstheme="minorHAnsi"/>
          <w:sz w:val="22"/>
          <w:szCs w:val="22"/>
        </w:rPr>
      </w:pPr>
      <w:r w:rsidRPr="0093300F">
        <w:rPr>
          <w:rFonts w:asciiTheme="minorHAnsi" w:hAnsiTheme="minorHAnsi" w:cstheme="minorHAnsi"/>
          <w:sz w:val="22"/>
          <w:szCs w:val="22"/>
        </w:rPr>
        <w:t xml:space="preserve">Les communes de la </w:t>
      </w:r>
      <w:proofErr w:type="spellStart"/>
      <w:r w:rsidR="001246CD">
        <w:rPr>
          <w:rFonts w:asciiTheme="minorHAnsi" w:hAnsiTheme="minorHAnsi" w:cstheme="minorHAnsi"/>
          <w:sz w:val="22"/>
          <w:szCs w:val="22"/>
        </w:rPr>
        <w:t>Moughataa</w:t>
      </w:r>
      <w:proofErr w:type="spellEnd"/>
      <w:r w:rsidRPr="0093300F">
        <w:rPr>
          <w:rFonts w:asciiTheme="minorHAnsi" w:hAnsiTheme="minorHAnsi" w:cstheme="minorHAnsi"/>
          <w:sz w:val="22"/>
          <w:szCs w:val="22"/>
        </w:rPr>
        <w:t xml:space="preserve"> de Moudjéria ont bénéficié d’u</w:t>
      </w:r>
      <w:r w:rsidR="00C02E33">
        <w:rPr>
          <w:rFonts w:asciiTheme="minorHAnsi" w:hAnsiTheme="minorHAnsi" w:cstheme="minorHAnsi"/>
          <w:sz w:val="22"/>
          <w:szCs w:val="22"/>
        </w:rPr>
        <w:t>n FRD 2012 pour l’équipement de 32 190 282</w:t>
      </w:r>
      <w:r w:rsidRPr="0093300F">
        <w:rPr>
          <w:rFonts w:asciiTheme="minorHAnsi" w:hAnsiTheme="minorHAnsi" w:cstheme="minorHAnsi"/>
          <w:sz w:val="22"/>
          <w:szCs w:val="22"/>
        </w:rPr>
        <w:t xml:space="preserve"> </w:t>
      </w:r>
      <w:r w:rsidR="00C02E33">
        <w:rPr>
          <w:rFonts w:asciiTheme="minorHAnsi" w:hAnsiTheme="minorHAnsi" w:cstheme="minorHAnsi"/>
          <w:sz w:val="22"/>
          <w:szCs w:val="22"/>
        </w:rPr>
        <w:t>MRO (+</w:t>
      </w:r>
      <w:r w:rsidR="00E15949">
        <w:rPr>
          <w:rFonts w:asciiTheme="minorHAnsi" w:hAnsiTheme="minorHAnsi" w:cstheme="minorHAnsi"/>
          <w:sz w:val="22"/>
          <w:szCs w:val="22"/>
        </w:rPr>
        <w:t>14,88</w:t>
      </w:r>
      <w:r w:rsidR="00C02E33">
        <w:rPr>
          <w:rFonts w:asciiTheme="minorHAnsi" w:hAnsiTheme="minorHAnsi" w:cstheme="minorHAnsi"/>
          <w:sz w:val="22"/>
          <w:szCs w:val="22"/>
        </w:rPr>
        <w:t>% par rapport à 2011). Elles ont engagé 31 958 678</w:t>
      </w:r>
      <w:r w:rsidRPr="0093300F">
        <w:rPr>
          <w:rFonts w:asciiTheme="minorHAnsi" w:hAnsiTheme="minorHAnsi" w:cstheme="minorHAnsi"/>
          <w:sz w:val="22"/>
          <w:szCs w:val="22"/>
        </w:rPr>
        <w:t xml:space="preserve"> MRO pour la réalisation de </w:t>
      </w:r>
      <w:r w:rsidR="00C02E33">
        <w:rPr>
          <w:rFonts w:asciiTheme="minorHAnsi" w:hAnsiTheme="minorHAnsi" w:cstheme="minorHAnsi"/>
          <w:b/>
          <w:sz w:val="22"/>
          <w:szCs w:val="22"/>
        </w:rPr>
        <w:t>23</w:t>
      </w:r>
      <w:r w:rsidRPr="00757FE1">
        <w:rPr>
          <w:rFonts w:asciiTheme="minorHAnsi" w:hAnsiTheme="minorHAnsi" w:cstheme="minorHAnsi"/>
          <w:b/>
          <w:sz w:val="22"/>
          <w:szCs w:val="22"/>
        </w:rPr>
        <w:t xml:space="preserve"> projets</w:t>
      </w:r>
      <w:r w:rsidRPr="0093300F">
        <w:rPr>
          <w:rFonts w:asciiTheme="minorHAnsi" w:hAnsiTheme="minorHAnsi" w:cstheme="minorHAnsi"/>
          <w:sz w:val="22"/>
          <w:szCs w:val="22"/>
        </w:rPr>
        <w:t xml:space="preserve">, soit un </w:t>
      </w:r>
      <w:r w:rsidR="00C02E33">
        <w:rPr>
          <w:rFonts w:asciiTheme="minorHAnsi" w:hAnsiTheme="minorHAnsi" w:cstheme="minorHAnsi"/>
          <w:b/>
          <w:sz w:val="22"/>
          <w:szCs w:val="22"/>
        </w:rPr>
        <w:t>taux d’absorption de 99,28</w:t>
      </w:r>
      <w:r w:rsidRPr="0093300F">
        <w:rPr>
          <w:rFonts w:asciiTheme="minorHAnsi" w:hAnsiTheme="minorHAnsi" w:cstheme="minorHAnsi"/>
          <w:b/>
          <w:sz w:val="22"/>
          <w:szCs w:val="22"/>
        </w:rPr>
        <w:t xml:space="preserve"> %.</w:t>
      </w:r>
      <w:r w:rsidR="00C02E33">
        <w:rPr>
          <w:rFonts w:asciiTheme="minorHAnsi" w:hAnsiTheme="minorHAnsi" w:cstheme="minorHAnsi"/>
          <w:b/>
          <w:sz w:val="22"/>
          <w:szCs w:val="22"/>
        </w:rPr>
        <w:t xml:space="preserve"> </w:t>
      </w:r>
      <w:r w:rsidR="00C02E33">
        <w:rPr>
          <w:rFonts w:asciiTheme="minorHAnsi" w:hAnsiTheme="minorHAnsi" w:cstheme="minorHAnsi"/>
          <w:sz w:val="22"/>
          <w:szCs w:val="22"/>
        </w:rPr>
        <w:t>Ce taux est satisfaisant, vu les taux constatés aux niveaux régional et national.</w:t>
      </w:r>
    </w:p>
    <w:p w:rsidR="005951CF" w:rsidRPr="0093300F" w:rsidRDefault="005951CF" w:rsidP="005951CF">
      <w:pPr>
        <w:jc w:val="both"/>
        <w:rPr>
          <w:rFonts w:asciiTheme="minorHAnsi" w:hAnsiTheme="minorHAnsi" w:cstheme="minorHAnsi"/>
          <w:sz w:val="22"/>
          <w:szCs w:val="22"/>
        </w:rPr>
      </w:pPr>
    </w:p>
    <w:p w:rsidR="005951CF" w:rsidRDefault="005951CF" w:rsidP="005951CF">
      <w:pPr>
        <w:jc w:val="both"/>
        <w:rPr>
          <w:rFonts w:asciiTheme="minorHAnsi" w:hAnsiTheme="minorHAnsi" w:cstheme="minorHAnsi"/>
          <w:sz w:val="22"/>
          <w:szCs w:val="22"/>
        </w:rPr>
      </w:pPr>
      <w:r w:rsidRPr="002A6FEC">
        <w:rPr>
          <w:noProof/>
        </w:rPr>
        <w:drawing>
          <wp:inline distT="0" distB="0" distL="0" distR="0">
            <wp:extent cx="3295650" cy="4295775"/>
            <wp:effectExtent l="19050" t="0" r="0" b="0"/>
            <wp:docPr id="26"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6" cstate="print"/>
                    <a:stretch>
                      <a:fillRect/>
                    </a:stretch>
                  </pic:blipFill>
                  <pic:spPr>
                    <a:xfrm>
                      <a:off x="0" y="0"/>
                      <a:ext cx="3295239" cy="4295239"/>
                    </a:xfrm>
                    <a:prstGeom prst="rect">
                      <a:avLst/>
                    </a:prstGeom>
                  </pic:spPr>
                </pic:pic>
              </a:graphicData>
            </a:graphic>
          </wp:inline>
        </w:drawing>
      </w:r>
      <w:r w:rsidRPr="00371ADB">
        <w:rPr>
          <w:rFonts w:asciiTheme="minorHAnsi" w:hAnsiTheme="minorHAnsi" w:cstheme="minorHAnsi"/>
          <w:noProof/>
          <w:sz w:val="22"/>
          <w:szCs w:val="22"/>
        </w:rPr>
        <w:drawing>
          <wp:inline distT="0" distB="0" distL="0" distR="0">
            <wp:extent cx="3228975" cy="4295775"/>
            <wp:effectExtent l="19050" t="0" r="9525" b="0"/>
            <wp:docPr id="27"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7" cstate="print"/>
                    <a:stretch>
                      <a:fillRect/>
                    </a:stretch>
                  </pic:blipFill>
                  <pic:spPr>
                    <a:xfrm>
                      <a:off x="0" y="0"/>
                      <a:ext cx="3228572" cy="4295239"/>
                    </a:xfrm>
                    <a:prstGeom prst="rect">
                      <a:avLst/>
                    </a:prstGeom>
                  </pic:spPr>
                </pic:pic>
              </a:graphicData>
            </a:graphic>
          </wp:inline>
        </w:drawing>
      </w:r>
    </w:p>
    <w:p w:rsidR="00BA0AC0" w:rsidRDefault="00BA0AC0" w:rsidP="005951CF">
      <w:pPr>
        <w:jc w:val="both"/>
        <w:rPr>
          <w:rFonts w:asciiTheme="minorHAnsi" w:hAnsiTheme="minorHAnsi" w:cstheme="minorHAnsi"/>
          <w:sz w:val="22"/>
          <w:szCs w:val="22"/>
        </w:rPr>
      </w:pPr>
      <w:r w:rsidRPr="00BA0AC0">
        <w:rPr>
          <w:noProof/>
          <w:szCs w:val="22"/>
        </w:rPr>
        <w:drawing>
          <wp:inline distT="0" distB="0" distL="0" distR="0">
            <wp:extent cx="6634761" cy="1819275"/>
            <wp:effectExtent l="19050" t="0" r="0" b="0"/>
            <wp:docPr id="107" name="Imag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238" cstate="print"/>
                    <a:srcRect/>
                    <a:stretch>
                      <a:fillRect/>
                    </a:stretch>
                  </pic:blipFill>
                  <pic:spPr bwMode="auto">
                    <a:xfrm>
                      <a:off x="0" y="0"/>
                      <a:ext cx="6645910" cy="1822332"/>
                    </a:xfrm>
                    <a:prstGeom prst="rect">
                      <a:avLst/>
                    </a:prstGeom>
                    <a:noFill/>
                    <a:ln w="9525">
                      <a:noFill/>
                      <a:miter lim="800000"/>
                      <a:headEnd/>
                      <a:tailEnd/>
                    </a:ln>
                  </pic:spPr>
                </pic:pic>
              </a:graphicData>
            </a:graphic>
          </wp:inline>
        </w:drawing>
      </w:r>
    </w:p>
    <w:p w:rsidR="00BA0AC0" w:rsidRDefault="00BA0AC0" w:rsidP="005951CF">
      <w:pPr>
        <w:jc w:val="both"/>
        <w:rPr>
          <w:rFonts w:asciiTheme="minorHAnsi" w:hAnsiTheme="minorHAnsi" w:cstheme="minorHAnsi"/>
          <w:sz w:val="22"/>
          <w:szCs w:val="22"/>
        </w:rPr>
      </w:pPr>
    </w:p>
    <w:p w:rsidR="00BA0AC0" w:rsidRDefault="00BA0AC0" w:rsidP="00BA0AC0">
      <w:pPr>
        <w:jc w:val="both"/>
        <w:rPr>
          <w:rFonts w:asciiTheme="minorHAnsi" w:hAnsiTheme="minorHAnsi" w:cstheme="minorHAnsi"/>
          <w:sz w:val="22"/>
          <w:szCs w:val="22"/>
        </w:rPr>
      </w:pPr>
      <w:r w:rsidRPr="0093300F">
        <w:rPr>
          <w:rFonts w:asciiTheme="minorHAnsi" w:hAnsiTheme="minorHAnsi" w:cstheme="minorHAnsi"/>
          <w:sz w:val="22"/>
          <w:szCs w:val="22"/>
        </w:rPr>
        <w:t>Le</w:t>
      </w:r>
      <w:r>
        <w:rPr>
          <w:rFonts w:asciiTheme="minorHAnsi" w:hAnsiTheme="minorHAnsi" w:cstheme="minorHAnsi"/>
          <w:sz w:val="22"/>
          <w:szCs w:val="22"/>
        </w:rPr>
        <w:t xml:space="preserve"> montant moyen par projet d’investissement s’améliore, passant de 1 476 373 MRO en 2011 à 1 389 508 MRO en 2012, suite à une augmentation du nombre de projets (19 en 2011 contre 23 en 2012). En comparaison des moyennes régionale et nationale, ce montant est tout à fait satisfaisant.</w:t>
      </w:r>
    </w:p>
    <w:p w:rsidR="00BA0AC0" w:rsidRDefault="00BA0AC0" w:rsidP="00BA0AC0">
      <w:pPr>
        <w:jc w:val="both"/>
        <w:rPr>
          <w:rFonts w:asciiTheme="minorHAnsi" w:hAnsiTheme="minorHAnsi" w:cstheme="minorHAnsi"/>
          <w:sz w:val="22"/>
          <w:szCs w:val="22"/>
        </w:rPr>
      </w:pPr>
    </w:p>
    <w:p w:rsidR="00BA0AC0" w:rsidRDefault="00BA0AC0" w:rsidP="00BA0AC0">
      <w:pPr>
        <w:jc w:val="both"/>
        <w:rPr>
          <w:rFonts w:asciiTheme="minorHAnsi" w:hAnsiTheme="minorHAnsi" w:cstheme="minorHAnsi"/>
          <w:sz w:val="22"/>
          <w:szCs w:val="22"/>
        </w:rPr>
      </w:pPr>
      <w:r>
        <w:rPr>
          <w:rFonts w:asciiTheme="minorHAnsi" w:hAnsiTheme="minorHAnsi" w:cstheme="minorHAnsi"/>
          <w:sz w:val="22"/>
          <w:szCs w:val="22"/>
        </w:rPr>
        <w:t>En termes de priorités d’investissement, le secteur des bâtiments communaux, comme au niveau national, vient en première position avec 40,67% des engagements, pour 5 projets se répartissant 12 96 154 MRO.</w:t>
      </w:r>
    </w:p>
    <w:p w:rsidR="00BA0AC0" w:rsidRPr="0093300F" w:rsidRDefault="00BA0AC0" w:rsidP="00BA0AC0">
      <w:pPr>
        <w:jc w:val="both"/>
        <w:rPr>
          <w:rFonts w:asciiTheme="minorHAnsi" w:hAnsiTheme="minorHAnsi" w:cstheme="minorHAnsi"/>
          <w:sz w:val="22"/>
          <w:szCs w:val="22"/>
        </w:rPr>
      </w:pPr>
      <w:r>
        <w:rPr>
          <w:rFonts w:asciiTheme="minorHAnsi" w:hAnsiTheme="minorHAnsi" w:cstheme="minorHAnsi"/>
          <w:sz w:val="22"/>
          <w:szCs w:val="22"/>
        </w:rPr>
        <w:t>Ensuite, vient en deuxième position le secteur de l’hydraulique avec 17,30% des engagements, soit 5 530 000 MRO pour 2 projets.</w:t>
      </w:r>
    </w:p>
    <w:p w:rsidR="00BA0AC0" w:rsidRDefault="00BA0AC0" w:rsidP="00BA0AC0">
      <w:pPr>
        <w:jc w:val="both"/>
        <w:rPr>
          <w:rFonts w:asciiTheme="minorHAnsi" w:hAnsiTheme="minorHAnsi" w:cstheme="minorHAnsi"/>
          <w:sz w:val="22"/>
          <w:szCs w:val="22"/>
        </w:rPr>
      </w:pPr>
      <w:r>
        <w:rPr>
          <w:rFonts w:asciiTheme="minorHAnsi" w:hAnsiTheme="minorHAnsi" w:cstheme="minorHAnsi"/>
          <w:sz w:val="22"/>
          <w:szCs w:val="22"/>
        </w:rPr>
        <w:t>En troisième position, l’éducation avec 11,49% des engagements, soit 3 672 686 MRO pour 6 projets.</w:t>
      </w:r>
    </w:p>
    <w:p w:rsidR="00BA0AC0" w:rsidRPr="0093300F" w:rsidRDefault="00BA0AC0" w:rsidP="005951CF">
      <w:pPr>
        <w:jc w:val="both"/>
        <w:rPr>
          <w:rFonts w:asciiTheme="minorHAnsi" w:hAnsiTheme="minorHAnsi" w:cstheme="minorHAnsi"/>
          <w:sz w:val="22"/>
          <w:szCs w:val="22"/>
        </w:rPr>
      </w:pPr>
    </w:p>
    <w:p w:rsidR="005951CF" w:rsidRPr="0093300F" w:rsidRDefault="005951CF" w:rsidP="005951CF">
      <w:pPr>
        <w:jc w:val="both"/>
        <w:rPr>
          <w:rFonts w:asciiTheme="minorHAnsi" w:hAnsiTheme="minorHAnsi" w:cstheme="minorHAnsi"/>
          <w:sz w:val="22"/>
          <w:szCs w:val="22"/>
        </w:rPr>
      </w:pPr>
      <w:r w:rsidRPr="00C35530">
        <w:rPr>
          <w:rFonts w:asciiTheme="minorHAnsi" w:hAnsiTheme="minorHAnsi" w:cstheme="minorHAnsi"/>
          <w:noProof/>
          <w:sz w:val="22"/>
          <w:szCs w:val="22"/>
        </w:rPr>
        <w:drawing>
          <wp:inline distT="0" distB="0" distL="0" distR="0">
            <wp:extent cx="6645910" cy="2200275"/>
            <wp:effectExtent l="19050" t="0" r="2540" b="0"/>
            <wp:docPr id="28"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9" cstate="print"/>
                    <a:stretch>
                      <a:fillRect/>
                    </a:stretch>
                  </pic:blipFill>
                  <pic:spPr>
                    <a:xfrm>
                      <a:off x="0" y="0"/>
                      <a:ext cx="6645081" cy="2200001"/>
                    </a:xfrm>
                    <a:prstGeom prst="rect">
                      <a:avLst/>
                    </a:prstGeom>
                  </pic:spPr>
                </pic:pic>
              </a:graphicData>
            </a:graphic>
          </wp:inline>
        </w:drawing>
      </w:r>
    </w:p>
    <w:p w:rsidR="005951CF" w:rsidRDefault="003F0697" w:rsidP="005951CF">
      <w:pPr>
        <w:jc w:val="both"/>
        <w:rPr>
          <w:rFonts w:asciiTheme="minorHAnsi" w:hAnsiTheme="minorHAnsi" w:cstheme="minorHAnsi"/>
          <w:sz w:val="22"/>
          <w:szCs w:val="22"/>
        </w:rPr>
      </w:pPr>
      <w:r w:rsidRPr="003F0697">
        <w:rPr>
          <w:noProof/>
        </w:rPr>
        <w:drawing>
          <wp:inline distT="0" distB="0" distL="0" distR="0">
            <wp:extent cx="6645910" cy="1571625"/>
            <wp:effectExtent l="19050" t="0" r="2540" b="0"/>
            <wp:docPr id="302"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0" cstate="print"/>
                    <a:stretch>
                      <a:fillRect/>
                    </a:stretch>
                  </pic:blipFill>
                  <pic:spPr>
                    <a:xfrm>
                      <a:off x="0" y="0"/>
                      <a:ext cx="6645910" cy="1571625"/>
                    </a:xfrm>
                    <a:prstGeom prst="rect">
                      <a:avLst/>
                    </a:prstGeom>
                  </pic:spPr>
                </pic:pic>
              </a:graphicData>
            </a:graphic>
          </wp:inline>
        </w:drawing>
      </w:r>
    </w:p>
    <w:p w:rsidR="00BA0AC0" w:rsidRDefault="00BA0AC0" w:rsidP="005951CF">
      <w:pPr>
        <w:jc w:val="both"/>
        <w:rPr>
          <w:rFonts w:asciiTheme="minorHAnsi" w:hAnsiTheme="minorHAnsi" w:cstheme="minorHAnsi"/>
          <w:sz w:val="22"/>
          <w:szCs w:val="22"/>
        </w:rPr>
      </w:pPr>
    </w:p>
    <w:p w:rsidR="00BA0AC0" w:rsidRDefault="00BA0AC0" w:rsidP="005951CF">
      <w:pPr>
        <w:jc w:val="both"/>
        <w:rPr>
          <w:rFonts w:asciiTheme="minorHAnsi" w:hAnsiTheme="minorHAnsi" w:cstheme="minorHAnsi"/>
          <w:sz w:val="22"/>
          <w:szCs w:val="22"/>
        </w:rPr>
      </w:pPr>
    </w:p>
    <w:p w:rsidR="005951CF" w:rsidRPr="0093300F" w:rsidRDefault="001246CD" w:rsidP="005951CF">
      <w:pPr>
        <w:jc w:val="center"/>
        <w:rPr>
          <w:rFonts w:asciiTheme="minorHAnsi" w:hAnsiTheme="minorHAnsi" w:cstheme="minorHAnsi"/>
          <w:sz w:val="22"/>
          <w:szCs w:val="22"/>
          <w:u w:val="single"/>
        </w:rPr>
      </w:pPr>
      <w:proofErr w:type="spellStart"/>
      <w:r>
        <w:rPr>
          <w:rFonts w:asciiTheme="minorHAnsi" w:hAnsiTheme="minorHAnsi" w:cstheme="minorHAnsi"/>
          <w:b/>
          <w:sz w:val="22"/>
          <w:szCs w:val="22"/>
          <w:u w:val="single"/>
        </w:rPr>
        <w:t>Moughataa</w:t>
      </w:r>
      <w:proofErr w:type="spellEnd"/>
      <w:r w:rsidR="005951CF" w:rsidRPr="0093300F">
        <w:rPr>
          <w:rFonts w:asciiTheme="minorHAnsi" w:hAnsiTheme="minorHAnsi" w:cstheme="minorHAnsi"/>
          <w:b/>
          <w:sz w:val="22"/>
          <w:szCs w:val="22"/>
          <w:u w:val="single"/>
        </w:rPr>
        <w:t xml:space="preserve"> de </w:t>
      </w:r>
      <w:proofErr w:type="spellStart"/>
      <w:r w:rsidR="005951CF" w:rsidRPr="0093300F">
        <w:rPr>
          <w:rFonts w:asciiTheme="minorHAnsi" w:hAnsiTheme="minorHAnsi" w:cstheme="minorHAnsi"/>
          <w:b/>
          <w:sz w:val="22"/>
          <w:szCs w:val="22"/>
          <w:u w:val="single"/>
        </w:rPr>
        <w:t>Tichitt</w:t>
      </w:r>
      <w:proofErr w:type="spellEnd"/>
    </w:p>
    <w:p w:rsidR="005951CF" w:rsidRPr="0093300F" w:rsidRDefault="005951CF" w:rsidP="005951CF">
      <w:pPr>
        <w:jc w:val="both"/>
        <w:rPr>
          <w:rFonts w:asciiTheme="minorHAnsi" w:hAnsiTheme="minorHAnsi" w:cstheme="minorHAnsi"/>
          <w:sz w:val="22"/>
          <w:szCs w:val="22"/>
        </w:rPr>
      </w:pPr>
    </w:p>
    <w:p w:rsidR="005951CF" w:rsidRPr="0093300F" w:rsidRDefault="005951CF" w:rsidP="005951CF">
      <w:pPr>
        <w:jc w:val="both"/>
        <w:rPr>
          <w:rFonts w:asciiTheme="minorHAnsi" w:hAnsiTheme="minorHAnsi" w:cstheme="minorHAnsi"/>
          <w:sz w:val="22"/>
          <w:szCs w:val="22"/>
        </w:rPr>
      </w:pPr>
      <w:r w:rsidRPr="0093300F">
        <w:rPr>
          <w:rFonts w:asciiTheme="minorHAnsi" w:hAnsiTheme="minorHAnsi" w:cstheme="minorHAnsi"/>
          <w:sz w:val="22"/>
          <w:szCs w:val="22"/>
        </w:rPr>
        <w:t xml:space="preserve">Les communes de la </w:t>
      </w:r>
      <w:proofErr w:type="spellStart"/>
      <w:r w:rsidR="001246CD">
        <w:rPr>
          <w:rFonts w:asciiTheme="minorHAnsi" w:hAnsiTheme="minorHAnsi" w:cstheme="minorHAnsi"/>
          <w:sz w:val="22"/>
          <w:szCs w:val="22"/>
        </w:rPr>
        <w:t>Moughataa</w:t>
      </w:r>
      <w:proofErr w:type="spellEnd"/>
      <w:r w:rsidRPr="0093300F">
        <w:rPr>
          <w:rFonts w:asciiTheme="minorHAnsi" w:hAnsiTheme="minorHAnsi" w:cstheme="minorHAnsi"/>
          <w:sz w:val="22"/>
          <w:szCs w:val="22"/>
        </w:rPr>
        <w:t xml:space="preserve"> de </w:t>
      </w:r>
      <w:proofErr w:type="spellStart"/>
      <w:r w:rsidRPr="0093300F">
        <w:rPr>
          <w:rFonts w:asciiTheme="minorHAnsi" w:hAnsiTheme="minorHAnsi" w:cstheme="minorHAnsi"/>
          <w:sz w:val="22"/>
          <w:szCs w:val="22"/>
        </w:rPr>
        <w:t>Tichitt</w:t>
      </w:r>
      <w:proofErr w:type="spellEnd"/>
      <w:r w:rsidRPr="0093300F">
        <w:rPr>
          <w:rFonts w:asciiTheme="minorHAnsi" w:hAnsiTheme="minorHAnsi" w:cstheme="minorHAnsi"/>
          <w:sz w:val="22"/>
          <w:szCs w:val="22"/>
        </w:rPr>
        <w:t xml:space="preserve"> ont bénéficié d’un FR</w:t>
      </w:r>
      <w:r w:rsidR="00D23A59">
        <w:rPr>
          <w:rFonts w:asciiTheme="minorHAnsi" w:hAnsiTheme="minorHAnsi" w:cstheme="minorHAnsi"/>
          <w:sz w:val="22"/>
          <w:szCs w:val="22"/>
        </w:rPr>
        <w:t>D 2012 pour l’équipement de 4 939 467</w:t>
      </w:r>
      <w:r w:rsidR="008235E5">
        <w:rPr>
          <w:rFonts w:asciiTheme="minorHAnsi" w:hAnsiTheme="minorHAnsi" w:cstheme="minorHAnsi"/>
          <w:sz w:val="22"/>
          <w:szCs w:val="22"/>
        </w:rPr>
        <w:t xml:space="preserve"> MRO (+2,38% par rapport à 2011, après correction due au trop-perçu constaté en 2011</w:t>
      </w:r>
      <w:r w:rsidR="002849A5">
        <w:rPr>
          <w:rFonts w:asciiTheme="minorHAnsi" w:hAnsiTheme="minorHAnsi" w:cstheme="minorHAnsi"/>
          <w:sz w:val="22"/>
          <w:szCs w:val="22"/>
        </w:rPr>
        <w:t xml:space="preserve">). </w:t>
      </w:r>
      <w:r w:rsidR="008235E5">
        <w:rPr>
          <w:rFonts w:asciiTheme="minorHAnsi" w:hAnsiTheme="minorHAnsi" w:cstheme="minorHAnsi"/>
          <w:sz w:val="22"/>
          <w:szCs w:val="22"/>
        </w:rPr>
        <w:t>Elles ont engagé 3 738 930</w:t>
      </w:r>
      <w:r w:rsidRPr="0093300F">
        <w:rPr>
          <w:rFonts w:asciiTheme="minorHAnsi" w:hAnsiTheme="minorHAnsi" w:cstheme="minorHAnsi"/>
          <w:sz w:val="22"/>
          <w:szCs w:val="22"/>
        </w:rPr>
        <w:t xml:space="preserve"> MRO pour la réalisation de </w:t>
      </w:r>
      <w:r w:rsidRPr="00757FE1">
        <w:rPr>
          <w:rFonts w:asciiTheme="minorHAnsi" w:hAnsiTheme="minorHAnsi" w:cstheme="minorHAnsi"/>
          <w:b/>
          <w:sz w:val="22"/>
          <w:szCs w:val="22"/>
        </w:rPr>
        <w:t>6 projets</w:t>
      </w:r>
      <w:r w:rsidRPr="0093300F">
        <w:rPr>
          <w:rFonts w:asciiTheme="minorHAnsi" w:hAnsiTheme="minorHAnsi" w:cstheme="minorHAnsi"/>
          <w:sz w:val="22"/>
          <w:szCs w:val="22"/>
        </w:rPr>
        <w:t xml:space="preserve">, soit un </w:t>
      </w:r>
      <w:r w:rsidR="008235E5">
        <w:rPr>
          <w:rFonts w:asciiTheme="minorHAnsi" w:hAnsiTheme="minorHAnsi" w:cstheme="minorHAnsi"/>
          <w:b/>
          <w:sz w:val="22"/>
          <w:szCs w:val="22"/>
        </w:rPr>
        <w:t>taux d’absorption de 75,70</w:t>
      </w:r>
      <w:r w:rsidRPr="0093300F">
        <w:rPr>
          <w:rFonts w:asciiTheme="minorHAnsi" w:hAnsiTheme="minorHAnsi" w:cstheme="minorHAnsi"/>
          <w:b/>
          <w:sz w:val="22"/>
          <w:szCs w:val="22"/>
        </w:rPr>
        <w:t xml:space="preserve"> %.</w:t>
      </w:r>
      <w:r w:rsidR="002849A5">
        <w:rPr>
          <w:rFonts w:asciiTheme="minorHAnsi" w:hAnsiTheme="minorHAnsi" w:cstheme="minorHAnsi"/>
          <w:b/>
          <w:sz w:val="22"/>
          <w:szCs w:val="22"/>
        </w:rPr>
        <w:t xml:space="preserve"> </w:t>
      </w:r>
      <w:r w:rsidR="002849A5" w:rsidRPr="00DA1C71">
        <w:rPr>
          <w:rFonts w:asciiTheme="minorHAnsi" w:hAnsiTheme="minorHAnsi" w:cstheme="minorHAnsi"/>
          <w:sz w:val="22"/>
          <w:szCs w:val="22"/>
        </w:rPr>
        <w:t xml:space="preserve">Ce taux </w:t>
      </w:r>
      <w:r w:rsidR="002849A5">
        <w:rPr>
          <w:rFonts w:asciiTheme="minorHAnsi" w:hAnsiTheme="minorHAnsi" w:cstheme="minorHAnsi"/>
          <w:sz w:val="22"/>
          <w:szCs w:val="22"/>
        </w:rPr>
        <w:t>est fort décevant, en comparaison des moyennes régionale et nationale, surtout après une année 2011 avec un taux d’absorption à 112,88%.</w:t>
      </w:r>
      <w:r w:rsidR="00470D1F">
        <w:rPr>
          <w:rFonts w:asciiTheme="minorHAnsi" w:hAnsiTheme="minorHAnsi" w:cstheme="minorHAnsi"/>
          <w:sz w:val="22"/>
          <w:szCs w:val="22"/>
        </w:rPr>
        <w:t xml:space="preserve"> Une analyse plus fine avec l’aide des communes de la </w:t>
      </w:r>
      <w:proofErr w:type="spellStart"/>
      <w:r w:rsidR="001246CD">
        <w:rPr>
          <w:rFonts w:asciiTheme="minorHAnsi" w:hAnsiTheme="minorHAnsi" w:cstheme="minorHAnsi"/>
          <w:sz w:val="22"/>
          <w:szCs w:val="22"/>
        </w:rPr>
        <w:t>Moughataa</w:t>
      </w:r>
      <w:proofErr w:type="spellEnd"/>
      <w:r w:rsidR="00470D1F">
        <w:rPr>
          <w:rFonts w:asciiTheme="minorHAnsi" w:hAnsiTheme="minorHAnsi" w:cstheme="minorHAnsi"/>
          <w:sz w:val="22"/>
          <w:szCs w:val="22"/>
        </w:rPr>
        <w:t xml:space="preserve"> </w:t>
      </w:r>
      <w:r w:rsidR="002849A5">
        <w:rPr>
          <w:rFonts w:asciiTheme="minorHAnsi" w:hAnsiTheme="minorHAnsi" w:cstheme="minorHAnsi"/>
          <w:sz w:val="22"/>
          <w:szCs w:val="22"/>
        </w:rPr>
        <w:t>permettra de faire la part des choses : volonté d’une pause pour reconstituer une plus forte capacité d’investissement après la correction apportée au niveau de l’attribution du FRD ?</w:t>
      </w:r>
    </w:p>
    <w:p w:rsidR="005951CF" w:rsidRPr="0093300F" w:rsidRDefault="005951CF" w:rsidP="005951CF">
      <w:pPr>
        <w:jc w:val="both"/>
        <w:rPr>
          <w:rFonts w:asciiTheme="minorHAnsi" w:hAnsiTheme="minorHAnsi" w:cstheme="minorHAnsi"/>
          <w:sz w:val="22"/>
          <w:szCs w:val="22"/>
        </w:rPr>
      </w:pPr>
    </w:p>
    <w:p w:rsidR="005951CF" w:rsidRDefault="005951CF" w:rsidP="005951CF">
      <w:pPr>
        <w:jc w:val="both"/>
        <w:rPr>
          <w:rFonts w:asciiTheme="minorHAnsi" w:hAnsiTheme="minorHAnsi" w:cstheme="minorHAnsi"/>
          <w:sz w:val="22"/>
          <w:szCs w:val="22"/>
        </w:rPr>
      </w:pPr>
      <w:r w:rsidRPr="000350A2">
        <w:rPr>
          <w:noProof/>
        </w:rPr>
        <w:drawing>
          <wp:inline distT="0" distB="0" distL="0" distR="0">
            <wp:extent cx="3171825" cy="3505200"/>
            <wp:effectExtent l="19050" t="0" r="9525" b="0"/>
            <wp:docPr id="29"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1" cstate="print"/>
                    <a:stretch>
                      <a:fillRect/>
                    </a:stretch>
                  </pic:blipFill>
                  <pic:spPr>
                    <a:xfrm>
                      <a:off x="0" y="0"/>
                      <a:ext cx="3171429" cy="3504762"/>
                    </a:xfrm>
                    <a:prstGeom prst="rect">
                      <a:avLst/>
                    </a:prstGeom>
                  </pic:spPr>
                </pic:pic>
              </a:graphicData>
            </a:graphic>
          </wp:inline>
        </w:drawing>
      </w:r>
      <w:r w:rsidRPr="00371ADB">
        <w:rPr>
          <w:rFonts w:asciiTheme="minorHAnsi" w:hAnsiTheme="minorHAnsi" w:cstheme="minorHAnsi"/>
          <w:noProof/>
          <w:sz w:val="22"/>
          <w:szCs w:val="22"/>
        </w:rPr>
        <w:drawing>
          <wp:inline distT="0" distB="0" distL="0" distR="0">
            <wp:extent cx="3343275" cy="3505200"/>
            <wp:effectExtent l="19050" t="0" r="9525" b="0"/>
            <wp:docPr id="31"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2" cstate="print"/>
                    <a:stretch>
                      <a:fillRect/>
                    </a:stretch>
                  </pic:blipFill>
                  <pic:spPr>
                    <a:xfrm>
                      <a:off x="0" y="0"/>
                      <a:ext cx="3342858" cy="3504763"/>
                    </a:xfrm>
                    <a:prstGeom prst="rect">
                      <a:avLst/>
                    </a:prstGeom>
                  </pic:spPr>
                </pic:pic>
              </a:graphicData>
            </a:graphic>
          </wp:inline>
        </w:drawing>
      </w:r>
    </w:p>
    <w:p w:rsidR="00BA0AC0" w:rsidRDefault="00BA0AC0" w:rsidP="005951CF">
      <w:pPr>
        <w:jc w:val="both"/>
        <w:rPr>
          <w:rFonts w:asciiTheme="minorHAnsi" w:hAnsiTheme="minorHAnsi" w:cstheme="minorHAnsi"/>
          <w:sz w:val="22"/>
          <w:szCs w:val="22"/>
        </w:rPr>
      </w:pPr>
      <w:r w:rsidRPr="00BA0AC0">
        <w:rPr>
          <w:noProof/>
          <w:szCs w:val="22"/>
        </w:rPr>
        <w:drawing>
          <wp:inline distT="0" distB="0" distL="0" distR="0">
            <wp:extent cx="6642521" cy="1476375"/>
            <wp:effectExtent l="19050" t="0" r="5929" b="0"/>
            <wp:docPr id="108" name="Imag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243" cstate="print"/>
                    <a:srcRect/>
                    <a:stretch>
                      <a:fillRect/>
                    </a:stretch>
                  </pic:blipFill>
                  <pic:spPr bwMode="auto">
                    <a:xfrm>
                      <a:off x="0" y="0"/>
                      <a:ext cx="6645910" cy="1477128"/>
                    </a:xfrm>
                    <a:prstGeom prst="rect">
                      <a:avLst/>
                    </a:prstGeom>
                    <a:noFill/>
                    <a:ln w="9525">
                      <a:noFill/>
                      <a:miter lim="800000"/>
                      <a:headEnd/>
                      <a:tailEnd/>
                    </a:ln>
                  </pic:spPr>
                </pic:pic>
              </a:graphicData>
            </a:graphic>
          </wp:inline>
        </w:drawing>
      </w:r>
    </w:p>
    <w:p w:rsidR="00BA0AC0" w:rsidRDefault="00BA0AC0" w:rsidP="005951CF">
      <w:pPr>
        <w:jc w:val="both"/>
        <w:rPr>
          <w:rFonts w:asciiTheme="minorHAnsi" w:hAnsiTheme="minorHAnsi" w:cstheme="minorHAnsi"/>
          <w:sz w:val="22"/>
          <w:szCs w:val="22"/>
        </w:rPr>
      </w:pPr>
    </w:p>
    <w:p w:rsidR="00BA0AC0" w:rsidRDefault="00BA0AC0" w:rsidP="00BA0AC0">
      <w:pPr>
        <w:jc w:val="both"/>
        <w:rPr>
          <w:rFonts w:asciiTheme="minorHAnsi" w:hAnsiTheme="minorHAnsi" w:cstheme="minorHAnsi"/>
          <w:sz w:val="22"/>
          <w:szCs w:val="22"/>
        </w:rPr>
      </w:pPr>
      <w:r w:rsidRPr="0093300F">
        <w:rPr>
          <w:rFonts w:asciiTheme="minorHAnsi" w:hAnsiTheme="minorHAnsi" w:cstheme="minorHAnsi"/>
          <w:sz w:val="22"/>
          <w:szCs w:val="22"/>
        </w:rPr>
        <w:t>Le</w:t>
      </w:r>
      <w:r>
        <w:rPr>
          <w:rFonts w:asciiTheme="minorHAnsi" w:hAnsiTheme="minorHAnsi" w:cstheme="minorHAnsi"/>
          <w:sz w:val="22"/>
          <w:szCs w:val="22"/>
        </w:rPr>
        <w:t xml:space="preserve"> montant moyen par projet d’investissement a diminué en raison de la baisse du volume des engagements (5 446 122 MRO en 2011 contre 3 738 930 MRO</w:t>
      </w:r>
      <w:r w:rsidR="003F0697">
        <w:rPr>
          <w:rFonts w:asciiTheme="minorHAnsi" w:hAnsiTheme="minorHAnsi" w:cstheme="minorHAnsi"/>
          <w:sz w:val="22"/>
          <w:szCs w:val="22"/>
        </w:rPr>
        <w:t xml:space="preserve"> en 2012</w:t>
      </w:r>
      <w:r>
        <w:rPr>
          <w:rFonts w:asciiTheme="minorHAnsi" w:hAnsiTheme="minorHAnsi" w:cstheme="minorHAnsi"/>
          <w:sz w:val="22"/>
          <w:szCs w:val="22"/>
        </w:rPr>
        <w:t>, soit -31,35%), passant de 907 687 MRO en 2011 à 623 155 MRO en 2012, avec un maintien du nombre de projets (6), en-deçà des moyennes constatées aux niveaux régional et national. Plus qu’une question de parcellisation, c’est la faiblesse des crédits qui explique un tel constat.</w:t>
      </w:r>
    </w:p>
    <w:p w:rsidR="00BA0AC0" w:rsidRDefault="00BA0AC0" w:rsidP="00BA0AC0">
      <w:pPr>
        <w:jc w:val="both"/>
        <w:rPr>
          <w:rFonts w:asciiTheme="minorHAnsi" w:hAnsiTheme="minorHAnsi" w:cstheme="minorHAnsi"/>
          <w:sz w:val="22"/>
          <w:szCs w:val="22"/>
        </w:rPr>
      </w:pPr>
      <w:r>
        <w:rPr>
          <w:rFonts w:asciiTheme="minorHAnsi" w:hAnsiTheme="minorHAnsi" w:cstheme="minorHAnsi"/>
          <w:sz w:val="22"/>
          <w:szCs w:val="22"/>
        </w:rPr>
        <w:t>En termes de priorités d’investissement, le secteur de la voirie (routes, pistes, pare-feux …), au 12</w:t>
      </w:r>
      <w:r w:rsidRPr="003C5522">
        <w:rPr>
          <w:rFonts w:asciiTheme="minorHAnsi" w:hAnsiTheme="minorHAnsi" w:cstheme="minorHAnsi"/>
          <w:sz w:val="22"/>
          <w:szCs w:val="22"/>
          <w:vertAlign w:val="superscript"/>
        </w:rPr>
        <w:t>ème</w:t>
      </w:r>
      <w:r>
        <w:rPr>
          <w:rFonts w:asciiTheme="minorHAnsi" w:hAnsiTheme="minorHAnsi" w:cstheme="minorHAnsi"/>
          <w:sz w:val="22"/>
          <w:szCs w:val="22"/>
        </w:rPr>
        <w:t xml:space="preserve"> rang national en 2012, vient en première position avec 34,77% des engagements, pour 1 projet à 1 299 930 MRO.</w:t>
      </w:r>
    </w:p>
    <w:p w:rsidR="00BA0AC0" w:rsidRPr="0093300F" w:rsidRDefault="00BA0AC0" w:rsidP="00BA0AC0">
      <w:pPr>
        <w:jc w:val="both"/>
        <w:rPr>
          <w:rFonts w:asciiTheme="minorHAnsi" w:hAnsiTheme="minorHAnsi" w:cstheme="minorHAnsi"/>
          <w:sz w:val="22"/>
          <w:szCs w:val="22"/>
        </w:rPr>
      </w:pPr>
      <w:r>
        <w:rPr>
          <w:rFonts w:asciiTheme="minorHAnsi" w:hAnsiTheme="minorHAnsi" w:cstheme="minorHAnsi"/>
          <w:sz w:val="22"/>
          <w:szCs w:val="22"/>
        </w:rPr>
        <w:t>Ensuite, vient en deuxième position le secteur de l’hydraulique avec 30,92% des engagements, soit 1 156 000 MRO pour 2 projets.</w:t>
      </w:r>
    </w:p>
    <w:p w:rsidR="00BA0AC0" w:rsidRDefault="00BA0AC0" w:rsidP="00BA0AC0">
      <w:pPr>
        <w:jc w:val="both"/>
        <w:rPr>
          <w:rFonts w:asciiTheme="minorHAnsi" w:hAnsiTheme="minorHAnsi" w:cstheme="minorHAnsi"/>
          <w:sz w:val="22"/>
          <w:szCs w:val="22"/>
        </w:rPr>
      </w:pPr>
      <w:r>
        <w:rPr>
          <w:rFonts w:asciiTheme="minorHAnsi" w:hAnsiTheme="minorHAnsi" w:cstheme="minorHAnsi"/>
          <w:sz w:val="22"/>
          <w:szCs w:val="22"/>
        </w:rPr>
        <w:t xml:space="preserve">En troisième position, le </w:t>
      </w:r>
      <w:proofErr w:type="spellStart"/>
      <w:r>
        <w:rPr>
          <w:rFonts w:asciiTheme="minorHAnsi" w:hAnsiTheme="minorHAnsi" w:cstheme="minorHAnsi"/>
          <w:sz w:val="22"/>
          <w:szCs w:val="22"/>
        </w:rPr>
        <w:t>socio-culturel</w:t>
      </w:r>
      <w:proofErr w:type="spellEnd"/>
      <w:r>
        <w:rPr>
          <w:rFonts w:asciiTheme="minorHAnsi" w:hAnsiTheme="minorHAnsi" w:cstheme="minorHAnsi"/>
          <w:sz w:val="22"/>
          <w:szCs w:val="22"/>
        </w:rPr>
        <w:t xml:space="preserve"> avec 18,05% des engagements, soit 675 000 MRO pour un unique projet.</w:t>
      </w:r>
    </w:p>
    <w:p w:rsidR="00BA0AC0" w:rsidRDefault="00BA0AC0" w:rsidP="005951CF">
      <w:pPr>
        <w:jc w:val="both"/>
        <w:rPr>
          <w:rFonts w:asciiTheme="minorHAnsi" w:hAnsiTheme="minorHAnsi" w:cstheme="minorHAnsi"/>
          <w:sz w:val="22"/>
          <w:szCs w:val="22"/>
        </w:rPr>
      </w:pPr>
    </w:p>
    <w:p w:rsidR="007F3911" w:rsidRPr="0093300F" w:rsidRDefault="007F3911" w:rsidP="005951CF">
      <w:pPr>
        <w:jc w:val="both"/>
        <w:rPr>
          <w:rFonts w:asciiTheme="minorHAnsi" w:hAnsiTheme="minorHAnsi" w:cstheme="minorHAnsi"/>
          <w:sz w:val="22"/>
          <w:szCs w:val="22"/>
        </w:rPr>
      </w:pPr>
    </w:p>
    <w:p w:rsidR="005951CF" w:rsidRPr="0093300F" w:rsidRDefault="005951CF" w:rsidP="005951CF">
      <w:pPr>
        <w:jc w:val="both"/>
        <w:rPr>
          <w:rFonts w:asciiTheme="minorHAnsi" w:hAnsiTheme="minorHAnsi" w:cstheme="minorHAnsi"/>
          <w:sz w:val="22"/>
          <w:szCs w:val="22"/>
        </w:rPr>
      </w:pPr>
      <w:r w:rsidRPr="00C35530">
        <w:rPr>
          <w:rFonts w:asciiTheme="minorHAnsi" w:hAnsiTheme="minorHAnsi" w:cstheme="minorHAnsi"/>
          <w:noProof/>
          <w:sz w:val="22"/>
          <w:szCs w:val="22"/>
        </w:rPr>
        <w:drawing>
          <wp:inline distT="0" distB="0" distL="0" distR="0">
            <wp:extent cx="6638925" cy="2714625"/>
            <wp:effectExtent l="19050" t="0" r="9525" b="0"/>
            <wp:docPr id="38"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4" cstate="print"/>
                    <a:stretch>
                      <a:fillRect/>
                    </a:stretch>
                  </pic:blipFill>
                  <pic:spPr>
                    <a:xfrm>
                      <a:off x="0" y="0"/>
                      <a:ext cx="6638096" cy="2714286"/>
                    </a:xfrm>
                    <a:prstGeom prst="rect">
                      <a:avLst/>
                    </a:prstGeom>
                  </pic:spPr>
                </pic:pic>
              </a:graphicData>
            </a:graphic>
          </wp:inline>
        </w:drawing>
      </w:r>
    </w:p>
    <w:p w:rsidR="005951CF" w:rsidRPr="0093300F" w:rsidRDefault="003F0697" w:rsidP="005951CF">
      <w:pPr>
        <w:jc w:val="both"/>
        <w:rPr>
          <w:rFonts w:asciiTheme="minorHAnsi" w:hAnsiTheme="minorHAnsi" w:cstheme="minorHAnsi"/>
          <w:sz w:val="22"/>
          <w:szCs w:val="22"/>
        </w:rPr>
      </w:pPr>
      <w:r w:rsidRPr="003F0697">
        <w:rPr>
          <w:noProof/>
        </w:rPr>
        <w:drawing>
          <wp:inline distT="0" distB="0" distL="0" distR="0">
            <wp:extent cx="6638925" cy="2133600"/>
            <wp:effectExtent l="19050" t="0" r="9525" b="0"/>
            <wp:docPr id="303"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5" cstate="print"/>
                    <a:stretch>
                      <a:fillRect/>
                    </a:stretch>
                  </pic:blipFill>
                  <pic:spPr>
                    <a:xfrm>
                      <a:off x="0" y="0"/>
                      <a:ext cx="6656350" cy="2139200"/>
                    </a:xfrm>
                    <a:prstGeom prst="rect">
                      <a:avLst/>
                    </a:prstGeom>
                  </pic:spPr>
                </pic:pic>
              </a:graphicData>
            </a:graphic>
          </wp:inline>
        </w:drawing>
      </w:r>
    </w:p>
    <w:p w:rsidR="00097CF1" w:rsidRDefault="00097CF1" w:rsidP="00A27296">
      <w:pPr>
        <w:jc w:val="both"/>
        <w:rPr>
          <w:rFonts w:asciiTheme="minorHAnsi" w:hAnsiTheme="minorHAnsi" w:cstheme="minorHAnsi"/>
          <w:sz w:val="22"/>
          <w:szCs w:val="22"/>
        </w:rPr>
      </w:pPr>
    </w:p>
    <w:p w:rsidR="00DA435B" w:rsidRDefault="00DA435B">
      <w:pPr>
        <w:spacing w:after="200" w:line="276" w:lineRule="auto"/>
        <w:rPr>
          <w:rFonts w:asciiTheme="minorHAnsi" w:hAnsiTheme="minorHAnsi" w:cstheme="minorHAnsi"/>
          <w:sz w:val="22"/>
          <w:szCs w:val="22"/>
        </w:rPr>
      </w:pPr>
      <w:r>
        <w:rPr>
          <w:rFonts w:asciiTheme="minorHAnsi" w:hAnsiTheme="minorHAnsi" w:cstheme="minorHAnsi"/>
          <w:sz w:val="22"/>
          <w:szCs w:val="22"/>
        </w:rPr>
        <w:br w:type="page"/>
      </w:r>
    </w:p>
    <w:p w:rsidR="00DA435B" w:rsidRPr="00814960" w:rsidRDefault="001246CD" w:rsidP="0081496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2D050"/>
        <w:rPr>
          <w:rFonts w:asciiTheme="minorHAnsi" w:hAnsiTheme="minorHAnsi" w:cstheme="minorHAnsi"/>
          <w:b/>
          <w:smallCaps/>
          <w:sz w:val="28"/>
          <w:szCs w:val="28"/>
        </w:rPr>
      </w:pPr>
      <w:r>
        <w:rPr>
          <w:rFonts w:asciiTheme="minorHAnsi" w:hAnsiTheme="minorHAnsi" w:cstheme="minorHAnsi"/>
          <w:b/>
          <w:smallCaps/>
          <w:sz w:val="28"/>
          <w:szCs w:val="28"/>
        </w:rPr>
        <w:t>Wilaya</w:t>
      </w:r>
      <w:r w:rsidR="00DA435B" w:rsidRPr="00DA435B">
        <w:rPr>
          <w:rFonts w:asciiTheme="minorHAnsi" w:hAnsiTheme="minorHAnsi" w:cstheme="minorHAnsi"/>
          <w:b/>
          <w:smallCaps/>
          <w:sz w:val="28"/>
          <w:szCs w:val="28"/>
        </w:rPr>
        <w:t xml:space="preserve"> du </w:t>
      </w:r>
      <w:proofErr w:type="spellStart"/>
      <w:r w:rsidR="00DA435B" w:rsidRPr="00DA435B">
        <w:rPr>
          <w:rFonts w:asciiTheme="minorHAnsi" w:hAnsiTheme="minorHAnsi" w:cstheme="minorHAnsi"/>
          <w:b/>
          <w:smallCaps/>
          <w:sz w:val="28"/>
          <w:szCs w:val="28"/>
        </w:rPr>
        <w:t>Guidimakha</w:t>
      </w:r>
      <w:proofErr w:type="spellEnd"/>
    </w:p>
    <w:p w:rsidR="00DA435B" w:rsidRDefault="00DA435B" w:rsidP="00DA435B">
      <w:pPr>
        <w:jc w:val="both"/>
        <w:rPr>
          <w:rFonts w:asciiTheme="minorHAnsi" w:hAnsiTheme="minorHAnsi" w:cstheme="minorHAnsi"/>
          <w:b/>
        </w:rPr>
      </w:pPr>
    </w:p>
    <w:p w:rsidR="00814960" w:rsidRDefault="00814960" w:rsidP="00DA435B">
      <w:pPr>
        <w:jc w:val="both"/>
        <w:rPr>
          <w:rFonts w:asciiTheme="minorHAnsi" w:hAnsiTheme="minorHAnsi" w:cstheme="minorHAnsi"/>
          <w:b/>
        </w:rPr>
      </w:pPr>
      <w:r w:rsidRPr="00814960">
        <w:rPr>
          <w:noProof/>
        </w:rPr>
        <w:drawing>
          <wp:inline distT="0" distB="0" distL="0" distR="0">
            <wp:extent cx="6645910" cy="1800225"/>
            <wp:effectExtent l="19050" t="0" r="2540" b="0"/>
            <wp:docPr id="289"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6" cstate="print"/>
                    <a:stretch>
                      <a:fillRect/>
                    </a:stretch>
                  </pic:blipFill>
                  <pic:spPr>
                    <a:xfrm>
                      <a:off x="0" y="0"/>
                      <a:ext cx="6670989" cy="1807018"/>
                    </a:xfrm>
                    <a:prstGeom prst="rect">
                      <a:avLst/>
                    </a:prstGeom>
                  </pic:spPr>
                </pic:pic>
              </a:graphicData>
            </a:graphic>
          </wp:inline>
        </w:drawing>
      </w:r>
    </w:p>
    <w:p w:rsidR="00814960" w:rsidRDefault="00814960" w:rsidP="00DA435B">
      <w:pPr>
        <w:jc w:val="both"/>
        <w:rPr>
          <w:rFonts w:asciiTheme="minorHAnsi" w:hAnsiTheme="minorHAnsi" w:cstheme="minorHAnsi"/>
          <w:b/>
        </w:rPr>
      </w:pPr>
    </w:p>
    <w:p w:rsidR="00844650" w:rsidRDefault="00DA435B" w:rsidP="00DA435B">
      <w:pPr>
        <w:jc w:val="both"/>
        <w:rPr>
          <w:rFonts w:asciiTheme="minorHAnsi" w:hAnsiTheme="minorHAnsi" w:cstheme="minorHAnsi"/>
          <w:sz w:val="22"/>
          <w:szCs w:val="22"/>
        </w:rPr>
      </w:pPr>
      <w:r w:rsidRPr="00CE39C7">
        <w:rPr>
          <w:rFonts w:asciiTheme="minorHAnsi" w:hAnsiTheme="minorHAnsi" w:cstheme="minorHAnsi"/>
          <w:sz w:val="22"/>
          <w:szCs w:val="22"/>
        </w:rPr>
        <w:t xml:space="preserve">La </w:t>
      </w:r>
      <w:r w:rsidR="001246CD">
        <w:rPr>
          <w:rFonts w:asciiTheme="minorHAnsi" w:hAnsiTheme="minorHAnsi" w:cstheme="minorHAnsi"/>
          <w:sz w:val="22"/>
          <w:szCs w:val="22"/>
        </w:rPr>
        <w:t>Wilaya</w:t>
      </w:r>
      <w:r w:rsidRPr="00CE39C7">
        <w:rPr>
          <w:rFonts w:asciiTheme="minorHAnsi" w:hAnsiTheme="minorHAnsi" w:cstheme="minorHAnsi"/>
          <w:sz w:val="22"/>
          <w:szCs w:val="22"/>
        </w:rPr>
        <w:t xml:space="preserve"> du </w:t>
      </w:r>
      <w:proofErr w:type="spellStart"/>
      <w:r w:rsidRPr="00CE39C7">
        <w:rPr>
          <w:rFonts w:asciiTheme="minorHAnsi" w:hAnsiTheme="minorHAnsi" w:cstheme="minorHAnsi"/>
          <w:sz w:val="22"/>
          <w:szCs w:val="22"/>
        </w:rPr>
        <w:t>Guidimakha</w:t>
      </w:r>
      <w:proofErr w:type="spellEnd"/>
      <w:r w:rsidRPr="00CE39C7">
        <w:rPr>
          <w:rFonts w:asciiTheme="minorHAnsi" w:hAnsiTheme="minorHAnsi" w:cstheme="minorHAnsi"/>
          <w:sz w:val="22"/>
          <w:szCs w:val="22"/>
        </w:rPr>
        <w:t xml:space="preserve"> </w:t>
      </w:r>
      <w:r w:rsidR="003A60C0">
        <w:rPr>
          <w:rFonts w:asciiTheme="minorHAnsi" w:hAnsiTheme="minorHAnsi" w:cstheme="minorHAnsi"/>
          <w:sz w:val="22"/>
          <w:szCs w:val="22"/>
        </w:rPr>
        <w:t>a bénéficié pour l’exercice 2012</w:t>
      </w:r>
      <w:r w:rsidRPr="00CE39C7">
        <w:rPr>
          <w:rFonts w:asciiTheme="minorHAnsi" w:hAnsiTheme="minorHAnsi" w:cstheme="minorHAnsi"/>
          <w:sz w:val="22"/>
          <w:szCs w:val="22"/>
        </w:rPr>
        <w:t xml:space="preserve"> d’un FRD équipement de </w:t>
      </w:r>
      <w:r w:rsidR="003A60C0" w:rsidRPr="003A60C0">
        <w:rPr>
          <w:rFonts w:asciiTheme="minorHAnsi" w:hAnsiTheme="minorHAnsi" w:cstheme="minorHAnsi"/>
          <w:b/>
          <w:sz w:val="22"/>
          <w:szCs w:val="22"/>
        </w:rPr>
        <w:t>167 536 195</w:t>
      </w:r>
      <w:r w:rsidRPr="00CE39C7">
        <w:rPr>
          <w:rFonts w:asciiTheme="minorHAnsi" w:hAnsiTheme="minorHAnsi" w:cstheme="minorHAnsi"/>
          <w:b/>
          <w:sz w:val="22"/>
          <w:szCs w:val="22"/>
        </w:rPr>
        <w:t xml:space="preserve"> </w:t>
      </w:r>
      <w:proofErr w:type="gramStart"/>
      <w:r w:rsidR="004871EA">
        <w:rPr>
          <w:rFonts w:asciiTheme="minorHAnsi" w:hAnsiTheme="minorHAnsi" w:cstheme="minorHAnsi"/>
          <w:b/>
          <w:sz w:val="22"/>
          <w:szCs w:val="22"/>
        </w:rPr>
        <w:t>ouguiya</w:t>
      </w:r>
      <w:proofErr w:type="gramEnd"/>
      <w:r w:rsidRPr="00CE39C7">
        <w:rPr>
          <w:rFonts w:asciiTheme="minorHAnsi" w:hAnsiTheme="minorHAnsi" w:cstheme="minorHAnsi"/>
          <w:sz w:val="22"/>
          <w:szCs w:val="22"/>
        </w:rPr>
        <w:t xml:space="preserve">, soit une hausse de </w:t>
      </w:r>
      <w:r w:rsidR="003A60C0">
        <w:rPr>
          <w:rFonts w:asciiTheme="minorHAnsi" w:hAnsiTheme="minorHAnsi" w:cstheme="minorHAnsi"/>
          <w:b/>
          <w:sz w:val="22"/>
          <w:szCs w:val="22"/>
        </w:rPr>
        <w:t>16,42</w:t>
      </w:r>
      <w:r w:rsidRPr="00CE39C7">
        <w:rPr>
          <w:rFonts w:asciiTheme="minorHAnsi" w:hAnsiTheme="minorHAnsi" w:cstheme="minorHAnsi"/>
          <w:b/>
          <w:sz w:val="22"/>
          <w:szCs w:val="22"/>
        </w:rPr>
        <w:t>%.</w:t>
      </w:r>
    </w:p>
    <w:p w:rsidR="00844650" w:rsidRPr="00CE39C7" w:rsidRDefault="003A60C0" w:rsidP="00844650">
      <w:pPr>
        <w:jc w:val="both"/>
        <w:rPr>
          <w:rFonts w:asciiTheme="minorHAnsi" w:hAnsiTheme="minorHAnsi" w:cstheme="minorHAnsi"/>
          <w:sz w:val="22"/>
          <w:szCs w:val="22"/>
        </w:rPr>
      </w:pPr>
      <w:r>
        <w:rPr>
          <w:rFonts w:asciiTheme="minorHAnsi" w:hAnsiTheme="minorHAnsi" w:cstheme="minorHAnsi"/>
          <w:sz w:val="22"/>
          <w:szCs w:val="22"/>
        </w:rPr>
        <w:t xml:space="preserve">187 412 862 </w:t>
      </w:r>
      <w:proofErr w:type="gramStart"/>
      <w:r w:rsidR="004871EA">
        <w:rPr>
          <w:rFonts w:asciiTheme="minorHAnsi" w:hAnsiTheme="minorHAnsi" w:cstheme="minorHAnsi"/>
          <w:sz w:val="22"/>
          <w:szCs w:val="22"/>
        </w:rPr>
        <w:t>ouguiya</w:t>
      </w:r>
      <w:proofErr w:type="gramEnd"/>
      <w:r>
        <w:rPr>
          <w:rFonts w:asciiTheme="minorHAnsi" w:hAnsiTheme="minorHAnsi" w:cstheme="minorHAnsi"/>
          <w:sz w:val="22"/>
          <w:szCs w:val="22"/>
        </w:rPr>
        <w:t xml:space="preserve"> ont été engagés en 2012</w:t>
      </w:r>
      <w:r w:rsidR="00DA435B" w:rsidRPr="00CE39C7">
        <w:rPr>
          <w:rFonts w:asciiTheme="minorHAnsi" w:hAnsiTheme="minorHAnsi" w:cstheme="minorHAnsi"/>
          <w:sz w:val="22"/>
          <w:szCs w:val="22"/>
        </w:rPr>
        <w:t xml:space="preserve">, soit un </w:t>
      </w:r>
      <w:r>
        <w:rPr>
          <w:rFonts w:asciiTheme="minorHAnsi" w:hAnsiTheme="minorHAnsi" w:cstheme="minorHAnsi"/>
          <w:b/>
          <w:sz w:val="22"/>
          <w:szCs w:val="22"/>
        </w:rPr>
        <w:t>taux d’absorption de 111,86</w:t>
      </w:r>
      <w:r w:rsidR="00DA435B" w:rsidRPr="00CE39C7">
        <w:rPr>
          <w:rFonts w:asciiTheme="minorHAnsi" w:hAnsiTheme="minorHAnsi" w:cstheme="minorHAnsi"/>
          <w:b/>
          <w:sz w:val="22"/>
          <w:szCs w:val="22"/>
        </w:rPr>
        <w:t>%</w:t>
      </w:r>
      <w:r>
        <w:rPr>
          <w:rFonts w:asciiTheme="minorHAnsi" w:hAnsiTheme="minorHAnsi" w:cstheme="minorHAnsi"/>
          <w:sz w:val="22"/>
          <w:szCs w:val="22"/>
        </w:rPr>
        <w:t xml:space="preserve">, exceptionnel en comparaison des performances des autres </w:t>
      </w:r>
      <w:r w:rsidR="001246CD">
        <w:rPr>
          <w:rFonts w:asciiTheme="minorHAnsi" w:hAnsiTheme="minorHAnsi" w:cstheme="minorHAnsi"/>
          <w:sz w:val="22"/>
          <w:szCs w:val="22"/>
        </w:rPr>
        <w:t>Wilayas</w:t>
      </w:r>
      <w:r>
        <w:rPr>
          <w:rFonts w:asciiTheme="minorHAnsi" w:hAnsiTheme="minorHAnsi" w:cstheme="minorHAnsi"/>
          <w:sz w:val="22"/>
          <w:szCs w:val="22"/>
        </w:rPr>
        <w:t xml:space="preserve"> (soit plus de 18 points d’éca</w:t>
      </w:r>
      <w:r w:rsidR="00844650">
        <w:rPr>
          <w:rFonts w:asciiTheme="minorHAnsi" w:hAnsiTheme="minorHAnsi" w:cstheme="minorHAnsi"/>
          <w:sz w:val="22"/>
          <w:szCs w:val="22"/>
        </w:rPr>
        <w:t>rt avec la moyenne nationale) :</w:t>
      </w:r>
      <w:r w:rsidR="00844650" w:rsidRPr="00CE39C7">
        <w:rPr>
          <w:rFonts w:asciiTheme="minorHAnsi" w:hAnsiTheme="minorHAnsi" w:cstheme="minorHAnsi"/>
          <w:sz w:val="22"/>
          <w:szCs w:val="22"/>
        </w:rPr>
        <w:t xml:space="preserve"> </w:t>
      </w:r>
      <w:r w:rsidR="00844650">
        <w:rPr>
          <w:rFonts w:asciiTheme="minorHAnsi" w:hAnsiTheme="minorHAnsi" w:cstheme="minorHAnsi"/>
          <w:sz w:val="22"/>
          <w:szCs w:val="22"/>
        </w:rPr>
        <w:t xml:space="preserve">on peut supposer comme cela a été dit dans le précédent rapport </w:t>
      </w:r>
      <w:r w:rsidR="00844650" w:rsidRPr="00CE39C7">
        <w:rPr>
          <w:rFonts w:asciiTheme="minorHAnsi" w:hAnsiTheme="minorHAnsi" w:cstheme="minorHAnsi"/>
          <w:sz w:val="22"/>
          <w:szCs w:val="22"/>
        </w:rPr>
        <w:t>que</w:t>
      </w:r>
      <w:r w:rsidR="00844650">
        <w:rPr>
          <w:rFonts w:asciiTheme="minorHAnsi" w:hAnsiTheme="minorHAnsi" w:cstheme="minorHAnsi"/>
          <w:sz w:val="22"/>
          <w:szCs w:val="22"/>
        </w:rPr>
        <w:t xml:space="preserve"> certains </w:t>
      </w:r>
      <w:r w:rsidR="00844650" w:rsidRPr="00CE39C7">
        <w:rPr>
          <w:rFonts w:asciiTheme="minorHAnsi" w:hAnsiTheme="minorHAnsi" w:cstheme="minorHAnsi"/>
          <w:sz w:val="22"/>
          <w:szCs w:val="22"/>
        </w:rPr>
        <w:t xml:space="preserve">projets </w:t>
      </w:r>
      <w:r w:rsidR="00844650">
        <w:rPr>
          <w:rFonts w:asciiTheme="minorHAnsi" w:hAnsiTheme="minorHAnsi" w:cstheme="minorHAnsi"/>
          <w:sz w:val="22"/>
          <w:szCs w:val="22"/>
        </w:rPr>
        <w:t>ont pu bénéficier d’autres financements substantiels des partenaires techniques et financiers</w:t>
      </w:r>
      <w:r w:rsidR="00844650" w:rsidRPr="00CE39C7">
        <w:rPr>
          <w:rFonts w:asciiTheme="minorHAnsi" w:hAnsiTheme="minorHAnsi" w:cstheme="minorHAnsi"/>
          <w:sz w:val="22"/>
          <w:szCs w:val="22"/>
        </w:rPr>
        <w:t>.</w:t>
      </w:r>
    </w:p>
    <w:p w:rsidR="00DA435B" w:rsidRDefault="00DA435B" w:rsidP="00DA435B">
      <w:pPr>
        <w:jc w:val="both"/>
        <w:rPr>
          <w:rFonts w:asciiTheme="minorHAnsi" w:hAnsiTheme="minorHAnsi" w:cstheme="minorHAnsi"/>
          <w:sz w:val="22"/>
          <w:szCs w:val="22"/>
        </w:rPr>
      </w:pPr>
    </w:p>
    <w:p w:rsidR="00DA435B" w:rsidRDefault="00DA435B" w:rsidP="00DA435B">
      <w:pPr>
        <w:jc w:val="both"/>
        <w:rPr>
          <w:rFonts w:asciiTheme="minorHAnsi" w:hAnsiTheme="minorHAnsi" w:cstheme="minorHAnsi"/>
          <w:sz w:val="22"/>
          <w:szCs w:val="22"/>
        </w:rPr>
      </w:pPr>
      <w:r w:rsidRPr="00665A4C">
        <w:rPr>
          <w:noProof/>
          <w:szCs w:val="22"/>
        </w:rPr>
        <w:drawing>
          <wp:inline distT="0" distB="0" distL="0" distR="0">
            <wp:extent cx="6645910" cy="2419350"/>
            <wp:effectExtent l="19050" t="0" r="2540" b="0"/>
            <wp:docPr id="40"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7" cstate="print"/>
                    <a:srcRect/>
                    <a:stretch>
                      <a:fillRect/>
                    </a:stretch>
                  </pic:blipFill>
                  <pic:spPr bwMode="auto">
                    <a:xfrm>
                      <a:off x="0" y="0"/>
                      <a:ext cx="6645910" cy="2419350"/>
                    </a:xfrm>
                    <a:prstGeom prst="rect">
                      <a:avLst/>
                    </a:prstGeom>
                    <a:noFill/>
                    <a:ln w="9525">
                      <a:noFill/>
                      <a:miter lim="800000"/>
                      <a:headEnd/>
                      <a:tailEnd/>
                    </a:ln>
                  </pic:spPr>
                </pic:pic>
              </a:graphicData>
            </a:graphic>
          </wp:inline>
        </w:drawing>
      </w:r>
    </w:p>
    <w:p w:rsidR="00DA435B" w:rsidRDefault="00DA435B" w:rsidP="00DA435B">
      <w:pPr>
        <w:jc w:val="both"/>
        <w:rPr>
          <w:rFonts w:asciiTheme="minorHAnsi" w:hAnsiTheme="minorHAnsi" w:cstheme="minorHAnsi"/>
          <w:sz w:val="22"/>
          <w:szCs w:val="22"/>
        </w:rPr>
      </w:pPr>
    </w:p>
    <w:p w:rsidR="00784EE8" w:rsidRDefault="00784EE8" w:rsidP="00DA435B">
      <w:pPr>
        <w:jc w:val="both"/>
        <w:rPr>
          <w:rFonts w:asciiTheme="minorHAnsi" w:hAnsiTheme="minorHAnsi" w:cstheme="minorHAnsi"/>
          <w:sz w:val="22"/>
          <w:szCs w:val="22"/>
        </w:rPr>
      </w:pPr>
    </w:p>
    <w:p w:rsidR="00DA435B" w:rsidRDefault="00DA435B" w:rsidP="00DA435B">
      <w:pPr>
        <w:jc w:val="both"/>
        <w:rPr>
          <w:rFonts w:asciiTheme="minorHAnsi" w:hAnsiTheme="minorHAnsi" w:cstheme="minorHAnsi"/>
          <w:sz w:val="22"/>
          <w:szCs w:val="22"/>
        </w:rPr>
      </w:pPr>
      <w:r w:rsidRPr="003F7B64">
        <w:rPr>
          <w:noProof/>
          <w:szCs w:val="22"/>
        </w:rPr>
        <w:drawing>
          <wp:inline distT="0" distB="0" distL="0" distR="0">
            <wp:extent cx="6645910" cy="2200275"/>
            <wp:effectExtent l="19050" t="0" r="2540" b="0"/>
            <wp:docPr id="42"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8" cstate="print"/>
                    <a:srcRect/>
                    <a:stretch>
                      <a:fillRect/>
                    </a:stretch>
                  </pic:blipFill>
                  <pic:spPr bwMode="auto">
                    <a:xfrm>
                      <a:off x="0" y="0"/>
                      <a:ext cx="6645910" cy="2200275"/>
                    </a:xfrm>
                    <a:prstGeom prst="rect">
                      <a:avLst/>
                    </a:prstGeom>
                    <a:noFill/>
                    <a:ln w="9525">
                      <a:noFill/>
                      <a:miter lim="800000"/>
                      <a:headEnd/>
                      <a:tailEnd/>
                    </a:ln>
                  </pic:spPr>
                </pic:pic>
              </a:graphicData>
            </a:graphic>
          </wp:inline>
        </w:drawing>
      </w:r>
    </w:p>
    <w:p w:rsidR="00DA435B" w:rsidRDefault="00DA435B" w:rsidP="00DA435B">
      <w:pPr>
        <w:jc w:val="both"/>
        <w:rPr>
          <w:rFonts w:asciiTheme="minorHAnsi" w:hAnsiTheme="minorHAnsi" w:cstheme="minorHAnsi"/>
          <w:sz w:val="22"/>
          <w:szCs w:val="22"/>
        </w:rPr>
      </w:pPr>
    </w:p>
    <w:p w:rsidR="00844650" w:rsidRDefault="00844650" w:rsidP="00844650">
      <w:pPr>
        <w:jc w:val="both"/>
        <w:rPr>
          <w:rFonts w:asciiTheme="minorHAnsi" w:hAnsiTheme="minorHAnsi" w:cstheme="minorHAnsi"/>
          <w:sz w:val="22"/>
          <w:szCs w:val="22"/>
        </w:rPr>
      </w:pPr>
      <w:r w:rsidRPr="0093300F">
        <w:rPr>
          <w:rFonts w:asciiTheme="minorHAnsi" w:hAnsiTheme="minorHAnsi" w:cstheme="minorHAnsi"/>
          <w:sz w:val="22"/>
          <w:szCs w:val="22"/>
        </w:rPr>
        <w:t>Le</w:t>
      </w:r>
      <w:r>
        <w:rPr>
          <w:rFonts w:asciiTheme="minorHAnsi" w:hAnsiTheme="minorHAnsi" w:cstheme="minorHAnsi"/>
          <w:sz w:val="22"/>
          <w:szCs w:val="22"/>
        </w:rPr>
        <w:t xml:space="preserve"> montant moyen </w:t>
      </w:r>
      <w:r w:rsidR="008974F8">
        <w:rPr>
          <w:rFonts w:asciiTheme="minorHAnsi" w:hAnsiTheme="minorHAnsi" w:cstheme="minorHAnsi"/>
          <w:sz w:val="22"/>
          <w:szCs w:val="22"/>
        </w:rPr>
        <w:t>par projet d’investissement régresse légèrement</w:t>
      </w:r>
      <w:r>
        <w:rPr>
          <w:rFonts w:asciiTheme="minorHAnsi" w:hAnsiTheme="minorHAnsi" w:cstheme="minorHAnsi"/>
          <w:sz w:val="22"/>
          <w:szCs w:val="22"/>
        </w:rPr>
        <w:t>, passant de 1</w:t>
      </w:r>
      <w:r w:rsidR="008974F8">
        <w:rPr>
          <w:rFonts w:asciiTheme="minorHAnsi" w:hAnsiTheme="minorHAnsi" w:cstheme="minorHAnsi"/>
          <w:sz w:val="22"/>
          <w:szCs w:val="22"/>
        </w:rPr>
        <w:t> 678 960</w:t>
      </w:r>
      <w:r>
        <w:rPr>
          <w:rFonts w:asciiTheme="minorHAnsi" w:hAnsiTheme="minorHAnsi" w:cstheme="minorHAnsi"/>
          <w:sz w:val="22"/>
          <w:szCs w:val="22"/>
        </w:rPr>
        <w:t xml:space="preserve"> MRO en 2011 à 1 629 677</w:t>
      </w:r>
      <w:r w:rsidR="008974F8">
        <w:rPr>
          <w:rFonts w:asciiTheme="minorHAnsi" w:hAnsiTheme="minorHAnsi" w:cstheme="minorHAnsi"/>
          <w:sz w:val="22"/>
          <w:szCs w:val="22"/>
        </w:rPr>
        <w:t xml:space="preserve"> MRO en 2012, suite à la légère augmentation</w:t>
      </w:r>
      <w:r>
        <w:rPr>
          <w:rFonts w:asciiTheme="minorHAnsi" w:hAnsiTheme="minorHAnsi" w:cstheme="minorHAnsi"/>
          <w:sz w:val="22"/>
          <w:szCs w:val="22"/>
        </w:rPr>
        <w:t xml:space="preserve"> du nombre de projets (</w:t>
      </w:r>
      <w:r w:rsidR="00DE6167">
        <w:rPr>
          <w:rFonts w:asciiTheme="minorHAnsi" w:hAnsiTheme="minorHAnsi" w:cstheme="minorHAnsi"/>
          <w:sz w:val="22"/>
          <w:szCs w:val="22"/>
        </w:rPr>
        <w:t>112 en 2011 contre 115</w:t>
      </w:r>
      <w:r>
        <w:rPr>
          <w:rFonts w:asciiTheme="minorHAnsi" w:hAnsiTheme="minorHAnsi" w:cstheme="minorHAnsi"/>
          <w:sz w:val="22"/>
          <w:szCs w:val="22"/>
        </w:rPr>
        <w:t xml:space="preserve"> en 2012). En compar</w:t>
      </w:r>
      <w:r w:rsidR="00A750CD">
        <w:rPr>
          <w:rFonts w:asciiTheme="minorHAnsi" w:hAnsiTheme="minorHAnsi" w:cstheme="minorHAnsi"/>
          <w:sz w:val="22"/>
          <w:szCs w:val="22"/>
        </w:rPr>
        <w:t xml:space="preserve">aison de la moyenne </w:t>
      </w:r>
      <w:r>
        <w:rPr>
          <w:rFonts w:asciiTheme="minorHAnsi" w:hAnsiTheme="minorHAnsi" w:cstheme="minorHAnsi"/>
          <w:sz w:val="22"/>
          <w:szCs w:val="22"/>
        </w:rPr>
        <w:t>nationale, ce montant est tout à fait satisfaisant.</w:t>
      </w:r>
      <w:r w:rsidR="00DE6167">
        <w:rPr>
          <w:rFonts w:asciiTheme="minorHAnsi" w:hAnsiTheme="minorHAnsi" w:cstheme="minorHAnsi"/>
          <w:sz w:val="22"/>
          <w:szCs w:val="22"/>
        </w:rPr>
        <w:t xml:space="preserve"> On pouvait craindre une forte parcellisation de l’investissement en raison du nombre très important de projets, heureusement compensés par un volume conséquent de crédits octroyés.</w:t>
      </w:r>
    </w:p>
    <w:p w:rsidR="00844650" w:rsidRDefault="00844650" w:rsidP="00844650">
      <w:pPr>
        <w:jc w:val="both"/>
        <w:rPr>
          <w:rFonts w:asciiTheme="minorHAnsi" w:hAnsiTheme="minorHAnsi" w:cstheme="minorHAnsi"/>
          <w:sz w:val="22"/>
          <w:szCs w:val="22"/>
        </w:rPr>
      </w:pPr>
      <w:r>
        <w:rPr>
          <w:rFonts w:asciiTheme="minorHAnsi" w:hAnsiTheme="minorHAnsi" w:cstheme="minorHAnsi"/>
          <w:sz w:val="22"/>
          <w:szCs w:val="22"/>
        </w:rPr>
        <w:t>En termes de priorités d’investissement, le</w:t>
      </w:r>
      <w:r w:rsidR="00DE6167">
        <w:rPr>
          <w:rFonts w:asciiTheme="minorHAnsi" w:hAnsiTheme="minorHAnsi" w:cstheme="minorHAnsi"/>
          <w:sz w:val="22"/>
          <w:szCs w:val="22"/>
        </w:rPr>
        <w:t xml:space="preserve"> secteur de l’éducation</w:t>
      </w:r>
      <w:r>
        <w:rPr>
          <w:rFonts w:asciiTheme="minorHAnsi" w:hAnsiTheme="minorHAnsi" w:cstheme="minorHAnsi"/>
          <w:sz w:val="22"/>
          <w:szCs w:val="22"/>
        </w:rPr>
        <w:t xml:space="preserve"> vient</w:t>
      </w:r>
      <w:r w:rsidR="00DE6167">
        <w:rPr>
          <w:rFonts w:asciiTheme="minorHAnsi" w:hAnsiTheme="minorHAnsi" w:cstheme="minorHAnsi"/>
          <w:sz w:val="22"/>
          <w:szCs w:val="22"/>
        </w:rPr>
        <w:t xml:space="preserve"> en première position avec 32,87% des engagements, pour 30</w:t>
      </w:r>
      <w:r>
        <w:rPr>
          <w:rFonts w:asciiTheme="minorHAnsi" w:hAnsiTheme="minorHAnsi" w:cstheme="minorHAnsi"/>
          <w:sz w:val="22"/>
          <w:szCs w:val="22"/>
        </w:rPr>
        <w:t xml:space="preserve"> p</w:t>
      </w:r>
      <w:r w:rsidR="00DE6167">
        <w:rPr>
          <w:rFonts w:asciiTheme="minorHAnsi" w:hAnsiTheme="minorHAnsi" w:cstheme="minorHAnsi"/>
          <w:sz w:val="22"/>
          <w:szCs w:val="22"/>
        </w:rPr>
        <w:t>rojets se répartissant 61 610 537</w:t>
      </w:r>
      <w:r>
        <w:rPr>
          <w:rFonts w:asciiTheme="minorHAnsi" w:hAnsiTheme="minorHAnsi" w:cstheme="minorHAnsi"/>
          <w:sz w:val="22"/>
          <w:szCs w:val="22"/>
        </w:rPr>
        <w:t xml:space="preserve"> MRO.</w:t>
      </w:r>
    </w:p>
    <w:p w:rsidR="00844650" w:rsidRPr="0093300F" w:rsidRDefault="00844650" w:rsidP="00844650">
      <w:pPr>
        <w:jc w:val="both"/>
        <w:rPr>
          <w:rFonts w:asciiTheme="minorHAnsi" w:hAnsiTheme="minorHAnsi" w:cstheme="minorHAnsi"/>
          <w:sz w:val="22"/>
          <w:szCs w:val="22"/>
        </w:rPr>
      </w:pPr>
      <w:r>
        <w:rPr>
          <w:rFonts w:asciiTheme="minorHAnsi" w:hAnsiTheme="minorHAnsi" w:cstheme="minorHAnsi"/>
          <w:sz w:val="22"/>
          <w:szCs w:val="22"/>
        </w:rPr>
        <w:t>Ensuite, vien</w:t>
      </w:r>
      <w:r w:rsidR="00DE6167">
        <w:rPr>
          <w:rFonts w:asciiTheme="minorHAnsi" w:hAnsiTheme="minorHAnsi" w:cstheme="minorHAnsi"/>
          <w:sz w:val="22"/>
          <w:szCs w:val="22"/>
        </w:rPr>
        <w:t>nen</w:t>
      </w:r>
      <w:r>
        <w:rPr>
          <w:rFonts w:asciiTheme="minorHAnsi" w:hAnsiTheme="minorHAnsi" w:cstheme="minorHAnsi"/>
          <w:sz w:val="22"/>
          <w:szCs w:val="22"/>
        </w:rPr>
        <w:t>t en deuxième position le</w:t>
      </w:r>
      <w:r w:rsidR="00DE6167">
        <w:rPr>
          <w:rFonts w:asciiTheme="minorHAnsi" w:hAnsiTheme="minorHAnsi" w:cstheme="minorHAnsi"/>
          <w:sz w:val="22"/>
          <w:szCs w:val="22"/>
        </w:rPr>
        <w:t>s bâtiments communaux avec 21,09</w:t>
      </w:r>
      <w:r>
        <w:rPr>
          <w:rFonts w:asciiTheme="minorHAnsi" w:hAnsiTheme="minorHAnsi" w:cstheme="minorHAnsi"/>
          <w:sz w:val="22"/>
          <w:szCs w:val="22"/>
        </w:rPr>
        <w:t>%</w:t>
      </w:r>
      <w:r w:rsidR="00DE6167">
        <w:rPr>
          <w:rFonts w:asciiTheme="minorHAnsi" w:hAnsiTheme="minorHAnsi" w:cstheme="minorHAnsi"/>
          <w:sz w:val="22"/>
          <w:szCs w:val="22"/>
        </w:rPr>
        <w:t xml:space="preserve"> des engagements, soit 39 526 841</w:t>
      </w:r>
      <w:r>
        <w:rPr>
          <w:rFonts w:asciiTheme="minorHAnsi" w:hAnsiTheme="minorHAnsi" w:cstheme="minorHAnsi"/>
          <w:sz w:val="22"/>
          <w:szCs w:val="22"/>
        </w:rPr>
        <w:t xml:space="preserve"> MRO pour 2</w:t>
      </w:r>
      <w:r w:rsidR="00DE6167">
        <w:rPr>
          <w:rFonts w:asciiTheme="minorHAnsi" w:hAnsiTheme="minorHAnsi" w:cstheme="minorHAnsi"/>
          <w:sz w:val="22"/>
          <w:szCs w:val="22"/>
        </w:rPr>
        <w:t>0</w:t>
      </w:r>
      <w:r>
        <w:rPr>
          <w:rFonts w:asciiTheme="minorHAnsi" w:hAnsiTheme="minorHAnsi" w:cstheme="minorHAnsi"/>
          <w:sz w:val="22"/>
          <w:szCs w:val="22"/>
        </w:rPr>
        <w:t xml:space="preserve"> projets.</w:t>
      </w:r>
    </w:p>
    <w:p w:rsidR="00844650" w:rsidRDefault="00844650" w:rsidP="00844650">
      <w:pPr>
        <w:jc w:val="both"/>
        <w:rPr>
          <w:rFonts w:asciiTheme="minorHAnsi" w:hAnsiTheme="minorHAnsi" w:cstheme="minorHAnsi"/>
          <w:sz w:val="22"/>
          <w:szCs w:val="22"/>
        </w:rPr>
      </w:pPr>
      <w:r>
        <w:rPr>
          <w:rFonts w:asciiTheme="minorHAnsi" w:hAnsiTheme="minorHAnsi" w:cstheme="minorHAnsi"/>
          <w:sz w:val="22"/>
          <w:szCs w:val="22"/>
        </w:rPr>
        <w:t>En</w:t>
      </w:r>
      <w:r w:rsidR="00DE6167">
        <w:rPr>
          <w:rFonts w:asciiTheme="minorHAnsi" w:hAnsiTheme="minorHAnsi" w:cstheme="minorHAnsi"/>
          <w:sz w:val="22"/>
          <w:szCs w:val="22"/>
        </w:rPr>
        <w:t xml:space="preserve"> troisième position, l’hydraulique avec 20,87</w:t>
      </w:r>
      <w:r>
        <w:rPr>
          <w:rFonts w:asciiTheme="minorHAnsi" w:hAnsiTheme="minorHAnsi" w:cstheme="minorHAnsi"/>
          <w:sz w:val="22"/>
          <w:szCs w:val="22"/>
        </w:rPr>
        <w:t>% des engage</w:t>
      </w:r>
      <w:r w:rsidR="00DE6167">
        <w:rPr>
          <w:rFonts w:asciiTheme="minorHAnsi" w:hAnsiTheme="minorHAnsi" w:cstheme="minorHAnsi"/>
          <w:sz w:val="22"/>
          <w:szCs w:val="22"/>
        </w:rPr>
        <w:t>ments, soit 39 105 930 MRO pour 26</w:t>
      </w:r>
      <w:r>
        <w:rPr>
          <w:rFonts w:asciiTheme="minorHAnsi" w:hAnsiTheme="minorHAnsi" w:cstheme="minorHAnsi"/>
          <w:sz w:val="22"/>
          <w:szCs w:val="22"/>
        </w:rPr>
        <w:t xml:space="preserve"> projets.</w:t>
      </w:r>
    </w:p>
    <w:p w:rsidR="00DA435B" w:rsidRPr="00CE39C7" w:rsidRDefault="00DA435B" w:rsidP="00DA435B">
      <w:pPr>
        <w:jc w:val="both"/>
        <w:rPr>
          <w:rFonts w:asciiTheme="minorHAnsi" w:hAnsiTheme="minorHAnsi" w:cstheme="minorHAnsi"/>
          <w:sz w:val="22"/>
          <w:szCs w:val="22"/>
        </w:rPr>
      </w:pPr>
    </w:p>
    <w:p w:rsidR="00DA435B" w:rsidRDefault="00DA435B" w:rsidP="00DA435B">
      <w:pPr>
        <w:jc w:val="both"/>
        <w:rPr>
          <w:rFonts w:asciiTheme="minorHAnsi" w:hAnsiTheme="minorHAnsi" w:cstheme="minorHAnsi"/>
          <w:b/>
        </w:rPr>
      </w:pPr>
      <w:r w:rsidRPr="008811AE">
        <w:rPr>
          <w:noProof/>
        </w:rPr>
        <w:drawing>
          <wp:inline distT="0" distB="0" distL="0" distR="0">
            <wp:extent cx="6543674" cy="2314575"/>
            <wp:effectExtent l="19050" t="0" r="0" b="0"/>
            <wp:docPr id="49"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9" cstate="print"/>
                    <a:stretch>
                      <a:fillRect/>
                    </a:stretch>
                  </pic:blipFill>
                  <pic:spPr>
                    <a:xfrm>
                      <a:off x="0" y="0"/>
                      <a:ext cx="6542858" cy="2314286"/>
                    </a:xfrm>
                    <a:prstGeom prst="rect">
                      <a:avLst/>
                    </a:prstGeom>
                  </pic:spPr>
                </pic:pic>
              </a:graphicData>
            </a:graphic>
          </wp:inline>
        </w:drawing>
      </w:r>
    </w:p>
    <w:p w:rsidR="00DA435B" w:rsidRDefault="00DA435B" w:rsidP="00DA435B">
      <w:pPr>
        <w:jc w:val="both"/>
        <w:rPr>
          <w:rFonts w:asciiTheme="minorHAnsi" w:hAnsiTheme="minorHAnsi" w:cstheme="minorHAnsi"/>
          <w:b/>
        </w:rPr>
      </w:pPr>
    </w:p>
    <w:p w:rsidR="00DA435B" w:rsidRDefault="00DA435B" w:rsidP="00DE6167">
      <w:pPr>
        <w:jc w:val="both"/>
        <w:rPr>
          <w:rFonts w:asciiTheme="minorHAnsi" w:hAnsiTheme="minorHAnsi" w:cstheme="minorHAnsi"/>
          <w:b/>
          <w:sz w:val="22"/>
          <w:szCs w:val="22"/>
          <w:u w:val="single"/>
        </w:rPr>
      </w:pPr>
      <w:r w:rsidRPr="00DE6167">
        <w:rPr>
          <w:rFonts w:asciiTheme="minorHAnsi" w:hAnsiTheme="minorHAnsi" w:cstheme="minorHAnsi"/>
          <w:b/>
          <w:sz w:val="22"/>
          <w:szCs w:val="22"/>
          <w:u w:val="single"/>
        </w:rPr>
        <w:t xml:space="preserve">Analyse des données par </w:t>
      </w:r>
      <w:proofErr w:type="spellStart"/>
      <w:r w:rsidR="001246CD">
        <w:rPr>
          <w:rFonts w:asciiTheme="minorHAnsi" w:hAnsiTheme="minorHAnsi" w:cstheme="minorHAnsi"/>
          <w:b/>
          <w:sz w:val="22"/>
          <w:szCs w:val="22"/>
          <w:u w:val="single"/>
        </w:rPr>
        <w:t>Moughataa</w:t>
      </w:r>
      <w:proofErr w:type="spellEnd"/>
    </w:p>
    <w:p w:rsidR="000F039A" w:rsidRPr="00DE6167" w:rsidRDefault="000F039A" w:rsidP="00DE6167">
      <w:pPr>
        <w:jc w:val="both"/>
        <w:rPr>
          <w:rFonts w:asciiTheme="minorHAnsi" w:hAnsiTheme="minorHAnsi" w:cstheme="minorHAnsi"/>
          <w:b/>
          <w:sz w:val="22"/>
          <w:szCs w:val="22"/>
          <w:u w:val="single"/>
        </w:rPr>
      </w:pPr>
    </w:p>
    <w:p w:rsidR="00DA435B" w:rsidRPr="00CD57B8" w:rsidRDefault="001246CD" w:rsidP="00DA435B">
      <w:pPr>
        <w:jc w:val="center"/>
        <w:rPr>
          <w:rFonts w:asciiTheme="minorHAnsi" w:hAnsiTheme="minorHAnsi" w:cstheme="minorHAnsi"/>
          <w:sz w:val="22"/>
          <w:szCs w:val="22"/>
          <w:u w:val="single"/>
        </w:rPr>
      </w:pPr>
      <w:proofErr w:type="spellStart"/>
      <w:r>
        <w:rPr>
          <w:rFonts w:asciiTheme="minorHAnsi" w:hAnsiTheme="minorHAnsi" w:cstheme="minorHAnsi"/>
          <w:b/>
          <w:sz w:val="22"/>
          <w:szCs w:val="22"/>
          <w:u w:val="single"/>
        </w:rPr>
        <w:t>Moughataa</w:t>
      </w:r>
      <w:proofErr w:type="spellEnd"/>
      <w:r w:rsidR="00DA435B" w:rsidRPr="00CD57B8">
        <w:rPr>
          <w:rFonts w:asciiTheme="minorHAnsi" w:hAnsiTheme="minorHAnsi" w:cstheme="minorHAnsi"/>
          <w:b/>
          <w:sz w:val="22"/>
          <w:szCs w:val="22"/>
          <w:u w:val="single"/>
        </w:rPr>
        <w:t xml:space="preserve"> de </w:t>
      </w:r>
      <w:proofErr w:type="spellStart"/>
      <w:r w:rsidR="00DA435B" w:rsidRPr="00CD57B8">
        <w:rPr>
          <w:rFonts w:asciiTheme="minorHAnsi" w:hAnsiTheme="minorHAnsi" w:cstheme="minorHAnsi"/>
          <w:b/>
          <w:sz w:val="22"/>
          <w:szCs w:val="22"/>
          <w:u w:val="single"/>
        </w:rPr>
        <w:t>Selibaby</w:t>
      </w:r>
      <w:proofErr w:type="spellEnd"/>
    </w:p>
    <w:p w:rsidR="00DA435B" w:rsidRPr="00CD57B8" w:rsidRDefault="00DA435B" w:rsidP="00DA435B">
      <w:pPr>
        <w:jc w:val="both"/>
        <w:rPr>
          <w:rFonts w:asciiTheme="minorHAnsi" w:hAnsiTheme="minorHAnsi" w:cstheme="minorHAnsi"/>
          <w:sz w:val="22"/>
          <w:szCs w:val="22"/>
        </w:rPr>
      </w:pPr>
    </w:p>
    <w:p w:rsidR="00DA435B" w:rsidRPr="00CD57B8" w:rsidRDefault="00DA435B" w:rsidP="00DA435B">
      <w:pPr>
        <w:jc w:val="both"/>
        <w:rPr>
          <w:rFonts w:asciiTheme="minorHAnsi" w:hAnsiTheme="minorHAnsi" w:cstheme="minorHAnsi"/>
          <w:sz w:val="22"/>
          <w:szCs w:val="22"/>
        </w:rPr>
      </w:pPr>
      <w:r w:rsidRPr="00CD57B8">
        <w:rPr>
          <w:rFonts w:asciiTheme="minorHAnsi" w:hAnsiTheme="minorHAnsi" w:cstheme="minorHAnsi"/>
          <w:sz w:val="22"/>
          <w:szCs w:val="22"/>
        </w:rPr>
        <w:t xml:space="preserve">Les communes de la </w:t>
      </w:r>
      <w:proofErr w:type="spellStart"/>
      <w:r w:rsidR="001246CD">
        <w:rPr>
          <w:rFonts w:asciiTheme="minorHAnsi" w:hAnsiTheme="minorHAnsi" w:cstheme="minorHAnsi"/>
          <w:sz w:val="22"/>
          <w:szCs w:val="22"/>
        </w:rPr>
        <w:t>Moughataa</w:t>
      </w:r>
      <w:proofErr w:type="spellEnd"/>
      <w:r w:rsidRPr="00CD57B8">
        <w:rPr>
          <w:rFonts w:asciiTheme="minorHAnsi" w:hAnsiTheme="minorHAnsi" w:cstheme="minorHAnsi"/>
          <w:sz w:val="22"/>
          <w:szCs w:val="22"/>
        </w:rPr>
        <w:t xml:space="preserve"> de </w:t>
      </w:r>
      <w:proofErr w:type="spellStart"/>
      <w:r w:rsidRPr="00CD57B8">
        <w:rPr>
          <w:rFonts w:asciiTheme="minorHAnsi" w:hAnsiTheme="minorHAnsi" w:cstheme="minorHAnsi"/>
          <w:sz w:val="22"/>
          <w:szCs w:val="22"/>
        </w:rPr>
        <w:t>Seli</w:t>
      </w:r>
      <w:r w:rsidR="000F039A">
        <w:rPr>
          <w:rFonts w:asciiTheme="minorHAnsi" w:hAnsiTheme="minorHAnsi" w:cstheme="minorHAnsi"/>
          <w:sz w:val="22"/>
          <w:szCs w:val="22"/>
        </w:rPr>
        <w:t>baby</w:t>
      </w:r>
      <w:proofErr w:type="spellEnd"/>
      <w:r w:rsidR="000F039A">
        <w:rPr>
          <w:rFonts w:asciiTheme="minorHAnsi" w:hAnsiTheme="minorHAnsi" w:cstheme="minorHAnsi"/>
          <w:sz w:val="22"/>
          <w:szCs w:val="22"/>
        </w:rPr>
        <w:t xml:space="preserve"> ont bénéficié d’un FRD 2012</w:t>
      </w:r>
      <w:r w:rsidRPr="00CD57B8">
        <w:rPr>
          <w:rFonts w:asciiTheme="minorHAnsi" w:hAnsiTheme="minorHAnsi" w:cstheme="minorHAnsi"/>
          <w:sz w:val="22"/>
          <w:szCs w:val="22"/>
        </w:rPr>
        <w:t xml:space="preserve"> </w:t>
      </w:r>
      <w:r w:rsidR="000F039A">
        <w:rPr>
          <w:rFonts w:asciiTheme="minorHAnsi" w:hAnsiTheme="minorHAnsi" w:cstheme="minorHAnsi"/>
          <w:sz w:val="22"/>
          <w:szCs w:val="22"/>
        </w:rPr>
        <w:t>pour l’équipement de 117 570 080 MRO (+16,67% par rapport à 2011). Elles ont engagé 130 423 054</w:t>
      </w:r>
      <w:r w:rsidRPr="00CD57B8">
        <w:rPr>
          <w:rFonts w:asciiTheme="minorHAnsi" w:hAnsiTheme="minorHAnsi" w:cstheme="minorHAnsi"/>
          <w:sz w:val="22"/>
          <w:szCs w:val="22"/>
        </w:rPr>
        <w:t xml:space="preserve"> MRO pour la réalisation de </w:t>
      </w:r>
      <w:r w:rsidR="000F039A">
        <w:rPr>
          <w:rFonts w:asciiTheme="minorHAnsi" w:hAnsiTheme="minorHAnsi" w:cstheme="minorHAnsi"/>
          <w:b/>
          <w:sz w:val="22"/>
          <w:szCs w:val="22"/>
        </w:rPr>
        <w:t>79</w:t>
      </w:r>
      <w:r w:rsidRPr="00AF2B88">
        <w:rPr>
          <w:rFonts w:asciiTheme="minorHAnsi" w:hAnsiTheme="minorHAnsi" w:cstheme="minorHAnsi"/>
          <w:b/>
          <w:sz w:val="22"/>
          <w:szCs w:val="22"/>
        </w:rPr>
        <w:t xml:space="preserve"> projets</w:t>
      </w:r>
      <w:r w:rsidRPr="00CD57B8">
        <w:rPr>
          <w:rFonts w:asciiTheme="minorHAnsi" w:hAnsiTheme="minorHAnsi" w:cstheme="minorHAnsi"/>
          <w:sz w:val="22"/>
          <w:szCs w:val="22"/>
        </w:rPr>
        <w:t xml:space="preserve">, soit un </w:t>
      </w:r>
      <w:r w:rsidR="000F039A">
        <w:rPr>
          <w:rFonts w:asciiTheme="minorHAnsi" w:hAnsiTheme="minorHAnsi" w:cstheme="minorHAnsi"/>
          <w:b/>
          <w:sz w:val="22"/>
          <w:szCs w:val="22"/>
        </w:rPr>
        <w:t>taux d’absorption de 110,93</w:t>
      </w:r>
      <w:r w:rsidRPr="00CD57B8">
        <w:rPr>
          <w:rFonts w:asciiTheme="minorHAnsi" w:hAnsiTheme="minorHAnsi" w:cstheme="minorHAnsi"/>
          <w:b/>
          <w:sz w:val="22"/>
          <w:szCs w:val="22"/>
        </w:rPr>
        <w:t>%.</w:t>
      </w:r>
      <w:r w:rsidR="000F039A">
        <w:rPr>
          <w:rFonts w:asciiTheme="minorHAnsi" w:hAnsiTheme="minorHAnsi" w:cstheme="minorHAnsi"/>
          <w:b/>
          <w:sz w:val="22"/>
          <w:szCs w:val="22"/>
        </w:rPr>
        <w:t xml:space="preserve"> </w:t>
      </w:r>
      <w:r w:rsidR="000F039A" w:rsidRPr="00CD57B8">
        <w:rPr>
          <w:rFonts w:asciiTheme="minorHAnsi" w:hAnsiTheme="minorHAnsi" w:cstheme="minorHAnsi"/>
          <w:sz w:val="22"/>
          <w:szCs w:val="22"/>
        </w:rPr>
        <w:t xml:space="preserve">Ce taux est à l’image de celui de la </w:t>
      </w:r>
      <w:r w:rsidR="001246CD">
        <w:rPr>
          <w:rFonts w:asciiTheme="minorHAnsi" w:hAnsiTheme="minorHAnsi" w:cstheme="minorHAnsi"/>
          <w:sz w:val="22"/>
          <w:szCs w:val="22"/>
        </w:rPr>
        <w:t>Wilaya</w:t>
      </w:r>
      <w:r w:rsidR="000F039A" w:rsidRPr="00CD57B8">
        <w:rPr>
          <w:rFonts w:asciiTheme="minorHAnsi" w:hAnsiTheme="minorHAnsi" w:cstheme="minorHAnsi"/>
          <w:sz w:val="22"/>
          <w:szCs w:val="22"/>
        </w:rPr>
        <w:t> : très i</w:t>
      </w:r>
      <w:r w:rsidR="00403427">
        <w:rPr>
          <w:rFonts w:asciiTheme="minorHAnsi" w:hAnsiTheme="minorHAnsi" w:cstheme="minorHAnsi"/>
          <w:sz w:val="22"/>
          <w:szCs w:val="22"/>
        </w:rPr>
        <w:t xml:space="preserve">mportant </w:t>
      </w:r>
      <w:r w:rsidR="000F304B">
        <w:rPr>
          <w:rFonts w:asciiTheme="minorHAnsi" w:hAnsiTheme="minorHAnsi" w:cstheme="minorHAnsi"/>
          <w:sz w:val="22"/>
          <w:szCs w:val="22"/>
        </w:rPr>
        <w:t xml:space="preserve">(149,87% par exemple pour la Commune de </w:t>
      </w:r>
      <w:proofErr w:type="spellStart"/>
      <w:r w:rsidR="000F304B">
        <w:rPr>
          <w:rFonts w:asciiTheme="minorHAnsi" w:hAnsiTheme="minorHAnsi" w:cstheme="minorHAnsi"/>
          <w:sz w:val="22"/>
          <w:szCs w:val="22"/>
        </w:rPr>
        <w:t>Tachott</w:t>
      </w:r>
      <w:proofErr w:type="spellEnd"/>
      <w:r w:rsidR="000F304B">
        <w:rPr>
          <w:rFonts w:asciiTheme="minorHAnsi" w:hAnsiTheme="minorHAnsi" w:cstheme="minorHAnsi"/>
          <w:sz w:val="22"/>
          <w:szCs w:val="22"/>
        </w:rPr>
        <w:t xml:space="preserve">) </w:t>
      </w:r>
      <w:r w:rsidR="00403427">
        <w:rPr>
          <w:rFonts w:asciiTheme="minorHAnsi" w:hAnsiTheme="minorHAnsi" w:cstheme="minorHAnsi"/>
          <w:sz w:val="22"/>
          <w:szCs w:val="22"/>
        </w:rPr>
        <w:t>et ce pour les raisons évoquées supra.</w:t>
      </w:r>
    </w:p>
    <w:p w:rsidR="00DA435B" w:rsidRDefault="00DA435B" w:rsidP="00DA435B">
      <w:pPr>
        <w:jc w:val="both"/>
        <w:rPr>
          <w:rFonts w:asciiTheme="minorHAnsi" w:hAnsiTheme="minorHAnsi" w:cstheme="minorHAnsi"/>
          <w:b/>
          <w:sz w:val="22"/>
          <w:szCs w:val="22"/>
        </w:rPr>
      </w:pPr>
      <w:r w:rsidRPr="003B5BCD">
        <w:rPr>
          <w:noProof/>
        </w:rPr>
        <w:drawing>
          <wp:inline distT="0" distB="0" distL="0" distR="0">
            <wp:extent cx="3009900" cy="3476625"/>
            <wp:effectExtent l="19050" t="0" r="0" b="0"/>
            <wp:docPr id="54"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0" cstate="print"/>
                    <a:stretch>
                      <a:fillRect/>
                    </a:stretch>
                  </pic:blipFill>
                  <pic:spPr>
                    <a:xfrm>
                      <a:off x="0" y="0"/>
                      <a:ext cx="3009524" cy="3476191"/>
                    </a:xfrm>
                    <a:prstGeom prst="rect">
                      <a:avLst/>
                    </a:prstGeom>
                  </pic:spPr>
                </pic:pic>
              </a:graphicData>
            </a:graphic>
          </wp:inline>
        </w:drawing>
      </w:r>
      <w:r w:rsidRPr="00371ADB">
        <w:rPr>
          <w:rFonts w:asciiTheme="minorHAnsi" w:hAnsiTheme="minorHAnsi" w:cstheme="minorHAnsi"/>
          <w:b/>
          <w:noProof/>
          <w:sz w:val="22"/>
          <w:szCs w:val="22"/>
        </w:rPr>
        <w:drawing>
          <wp:inline distT="0" distB="0" distL="0" distR="0">
            <wp:extent cx="3571875" cy="3476625"/>
            <wp:effectExtent l="19050" t="0" r="9525" b="0"/>
            <wp:docPr id="55"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1" cstate="print"/>
                    <a:stretch>
                      <a:fillRect/>
                    </a:stretch>
                  </pic:blipFill>
                  <pic:spPr>
                    <a:xfrm>
                      <a:off x="0" y="0"/>
                      <a:ext cx="3571875" cy="3476625"/>
                    </a:xfrm>
                    <a:prstGeom prst="rect">
                      <a:avLst/>
                    </a:prstGeom>
                  </pic:spPr>
                </pic:pic>
              </a:graphicData>
            </a:graphic>
          </wp:inline>
        </w:drawing>
      </w:r>
    </w:p>
    <w:p w:rsidR="00AB35F4" w:rsidRDefault="00AB35F4" w:rsidP="00DA435B">
      <w:pPr>
        <w:jc w:val="both"/>
        <w:rPr>
          <w:rFonts w:asciiTheme="minorHAnsi" w:hAnsiTheme="minorHAnsi" w:cstheme="minorHAnsi"/>
          <w:b/>
          <w:sz w:val="22"/>
          <w:szCs w:val="22"/>
        </w:rPr>
      </w:pPr>
      <w:r w:rsidRPr="00AB35F4">
        <w:rPr>
          <w:noProof/>
          <w:szCs w:val="22"/>
        </w:rPr>
        <w:drawing>
          <wp:inline distT="0" distB="0" distL="0" distR="0">
            <wp:extent cx="6645910" cy="3095625"/>
            <wp:effectExtent l="19050" t="0" r="2540" b="0"/>
            <wp:docPr id="113" name="Imag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252" cstate="print"/>
                    <a:srcRect/>
                    <a:stretch>
                      <a:fillRect/>
                    </a:stretch>
                  </pic:blipFill>
                  <pic:spPr bwMode="auto">
                    <a:xfrm>
                      <a:off x="0" y="0"/>
                      <a:ext cx="6645910" cy="3095625"/>
                    </a:xfrm>
                    <a:prstGeom prst="rect">
                      <a:avLst/>
                    </a:prstGeom>
                    <a:noFill/>
                    <a:ln w="9525">
                      <a:noFill/>
                      <a:miter lim="800000"/>
                      <a:headEnd/>
                      <a:tailEnd/>
                    </a:ln>
                  </pic:spPr>
                </pic:pic>
              </a:graphicData>
            </a:graphic>
          </wp:inline>
        </w:drawing>
      </w:r>
    </w:p>
    <w:p w:rsidR="00AB35F4" w:rsidRDefault="00AB35F4" w:rsidP="00AB35F4">
      <w:pPr>
        <w:jc w:val="both"/>
        <w:rPr>
          <w:rFonts w:asciiTheme="minorHAnsi" w:hAnsiTheme="minorHAnsi" w:cstheme="minorHAnsi"/>
          <w:sz w:val="22"/>
          <w:szCs w:val="22"/>
        </w:rPr>
      </w:pPr>
    </w:p>
    <w:p w:rsidR="00AB35F4" w:rsidRDefault="00AB35F4" w:rsidP="00AB35F4">
      <w:pPr>
        <w:jc w:val="both"/>
        <w:rPr>
          <w:rFonts w:asciiTheme="minorHAnsi" w:hAnsiTheme="minorHAnsi" w:cstheme="minorHAnsi"/>
          <w:sz w:val="22"/>
          <w:szCs w:val="22"/>
        </w:rPr>
      </w:pPr>
      <w:r w:rsidRPr="0093300F">
        <w:rPr>
          <w:rFonts w:asciiTheme="minorHAnsi" w:hAnsiTheme="minorHAnsi" w:cstheme="minorHAnsi"/>
          <w:sz w:val="22"/>
          <w:szCs w:val="22"/>
        </w:rPr>
        <w:t>Le</w:t>
      </w:r>
      <w:r>
        <w:rPr>
          <w:rFonts w:asciiTheme="minorHAnsi" w:hAnsiTheme="minorHAnsi" w:cstheme="minorHAnsi"/>
          <w:sz w:val="22"/>
          <w:szCs w:val="22"/>
        </w:rPr>
        <w:t xml:space="preserve"> montant moyen par projet d’investissement diminue très légèrement, passant de 1 693 011 MRO en 2011 à 1 650 925 MRO en 2012, proportionnellement à la très légère augmentation du nombre de projets (78 en 2011 contre 79 en 2012). En comparaison de la moyenne nationale, ce montant est encore cette année tout à fait satisfaisant. Les craintes d’une forte parcellisation de l’investissement en raison du nombre très important de projets sont balayées par le volume conséquent de</w:t>
      </w:r>
      <w:r w:rsidR="003F0697">
        <w:rPr>
          <w:rFonts w:asciiTheme="minorHAnsi" w:hAnsiTheme="minorHAnsi" w:cstheme="minorHAnsi"/>
          <w:sz w:val="22"/>
          <w:szCs w:val="22"/>
        </w:rPr>
        <w:t>s</w:t>
      </w:r>
      <w:r>
        <w:rPr>
          <w:rFonts w:asciiTheme="minorHAnsi" w:hAnsiTheme="minorHAnsi" w:cstheme="minorHAnsi"/>
          <w:sz w:val="22"/>
          <w:szCs w:val="22"/>
        </w:rPr>
        <w:t xml:space="preserve"> crédits octroyés.</w:t>
      </w:r>
    </w:p>
    <w:p w:rsidR="00AB35F4" w:rsidRDefault="00AB35F4" w:rsidP="00AB35F4">
      <w:pPr>
        <w:jc w:val="both"/>
        <w:rPr>
          <w:rFonts w:asciiTheme="minorHAnsi" w:hAnsiTheme="minorHAnsi" w:cstheme="minorHAnsi"/>
          <w:sz w:val="22"/>
          <w:szCs w:val="22"/>
        </w:rPr>
      </w:pPr>
      <w:r>
        <w:rPr>
          <w:rFonts w:asciiTheme="minorHAnsi" w:hAnsiTheme="minorHAnsi" w:cstheme="minorHAnsi"/>
          <w:sz w:val="22"/>
          <w:szCs w:val="22"/>
        </w:rPr>
        <w:t>En termes de priorités d’investissement, le secteur de l’éducation vient en première position avec 29,68% des engagements, pour 19 projets se répartissant 38 711 795 MRO.</w:t>
      </w:r>
    </w:p>
    <w:p w:rsidR="00AB35F4" w:rsidRPr="0093300F" w:rsidRDefault="00AB35F4" w:rsidP="00AB35F4">
      <w:pPr>
        <w:jc w:val="both"/>
        <w:rPr>
          <w:rFonts w:asciiTheme="minorHAnsi" w:hAnsiTheme="minorHAnsi" w:cstheme="minorHAnsi"/>
          <w:sz w:val="22"/>
          <w:szCs w:val="22"/>
        </w:rPr>
      </w:pPr>
      <w:r>
        <w:rPr>
          <w:rFonts w:asciiTheme="minorHAnsi" w:hAnsiTheme="minorHAnsi" w:cstheme="minorHAnsi"/>
          <w:sz w:val="22"/>
          <w:szCs w:val="22"/>
        </w:rPr>
        <w:t>Ensuite, viennent en deuxième position les bâtiments communaux avec 29,27% des engagements, soit 38 176 841 MRO pour 18 projets.</w:t>
      </w:r>
    </w:p>
    <w:p w:rsidR="00AB35F4" w:rsidRDefault="00AB35F4" w:rsidP="00AB35F4">
      <w:pPr>
        <w:jc w:val="both"/>
        <w:rPr>
          <w:rFonts w:asciiTheme="minorHAnsi" w:hAnsiTheme="minorHAnsi" w:cstheme="minorHAnsi"/>
          <w:sz w:val="22"/>
          <w:szCs w:val="22"/>
        </w:rPr>
      </w:pPr>
      <w:r>
        <w:rPr>
          <w:rFonts w:asciiTheme="minorHAnsi" w:hAnsiTheme="minorHAnsi" w:cstheme="minorHAnsi"/>
          <w:sz w:val="22"/>
          <w:szCs w:val="22"/>
        </w:rPr>
        <w:t>En troisième position, l’hydraulique avec 15,32% des engagements, soit 19 979 414 MRO pour 17 projets.</w:t>
      </w:r>
    </w:p>
    <w:p w:rsidR="00AB35F4" w:rsidRPr="00CD57B8" w:rsidRDefault="00AB35F4" w:rsidP="00DA435B">
      <w:pPr>
        <w:jc w:val="both"/>
        <w:rPr>
          <w:rFonts w:asciiTheme="minorHAnsi" w:hAnsiTheme="minorHAnsi" w:cstheme="minorHAnsi"/>
          <w:b/>
          <w:sz w:val="22"/>
          <w:szCs w:val="22"/>
        </w:rPr>
      </w:pPr>
    </w:p>
    <w:p w:rsidR="00DA435B" w:rsidRPr="00CD57B8" w:rsidRDefault="00DA435B" w:rsidP="00DA435B">
      <w:pPr>
        <w:jc w:val="both"/>
        <w:rPr>
          <w:rFonts w:asciiTheme="minorHAnsi" w:hAnsiTheme="minorHAnsi" w:cstheme="minorHAnsi"/>
          <w:b/>
          <w:sz w:val="22"/>
          <w:szCs w:val="22"/>
        </w:rPr>
      </w:pPr>
      <w:r w:rsidRPr="007425E9">
        <w:rPr>
          <w:rFonts w:asciiTheme="minorHAnsi" w:hAnsiTheme="minorHAnsi" w:cstheme="minorHAnsi"/>
          <w:b/>
          <w:noProof/>
          <w:sz w:val="22"/>
          <w:szCs w:val="22"/>
        </w:rPr>
        <w:drawing>
          <wp:inline distT="0" distB="0" distL="0" distR="0">
            <wp:extent cx="6648449" cy="2914650"/>
            <wp:effectExtent l="19050" t="0" r="1" b="0"/>
            <wp:docPr id="57"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3" cstate="print"/>
                    <a:stretch>
                      <a:fillRect/>
                    </a:stretch>
                  </pic:blipFill>
                  <pic:spPr>
                    <a:xfrm>
                      <a:off x="0" y="0"/>
                      <a:ext cx="6647620" cy="2914287"/>
                    </a:xfrm>
                    <a:prstGeom prst="rect">
                      <a:avLst/>
                    </a:prstGeom>
                  </pic:spPr>
                </pic:pic>
              </a:graphicData>
            </a:graphic>
          </wp:inline>
        </w:drawing>
      </w:r>
    </w:p>
    <w:p w:rsidR="00DA435B" w:rsidRPr="00CD57B8" w:rsidRDefault="00DA435B" w:rsidP="00DA435B">
      <w:pPr>
        <w:jc w:val="both"/>
        <w:rPr>
          <w:rFonts w:asciiTheme="minorHAnsi" w:hAnsiTheme="minorHAnsi" w:cstheme="minorHAnsi"/>
          <w:sz w:val="22"/>
          <w:szCs w:val="22"/>
        </w:rPr>
      </w:pPr>
    </w:p>
    <w:p w:rsidR="00DA435B" w:rsidRDefault="009263AB" w:rsidP="00DA435B">
      <w:pPr>
        <w:jc w:val="both"/>
        <w:rPr>
          <w:rFonts w:asciiTheme="minorHAnsi" w:hAnsiTheme="minorHAnsi" w:cstheme="minorHAnsi"/>
          <w:b/>
          <w:sz w:val="22"/>
          <w:szCs w:val="22"/>
        </w:rPr>
      </w:pPr>
      <w:r w:rsidRPr="009263AB">
        <w:rPr>
          <w:noProof/>
        </w:rPr>
        <w:drawing>
          <wp:inline distT="0" distB="0" distL="0" distR="0">
            <wp:extent cx="6600825" cy="3638550"/>
            <wp:effectExtent l="19050" t="0" r="9525" b="0"/>
            <wp:docPr id="304"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4" cstate="print"/>
                    <a:stretch>
                      <a:fillRect/>
                    </a:stretch>
                  </pic:blipFill>
                  <pic:spPr>
                    <a:xfrm>
                      <a:off x="0" y="0"/>
                      <a:ext cx="6600825" cy="3638550"/>
                    </a:xfrm>
                    <a:prstGeom prst="rect">
                      <a:avLst/>
                    </a:prstGeom>
                  </pic:spPr>
                </pic:pic>
              </a:graphicData>
            </a:graphic>
          </wp:inline>
        </w:drawing>
      </w:r>
    </w:p>
    <w:p w:rsidR="00AB35F4" w:rsidRDefault="00AB35F4" w:rsidP="00DA435B">
      <w:pPr>
        <w:jc w:val="both"/>
        <w:rPr>
          <w:rFonts w:asciiTheme="minorHAnsi" w:hAnsiTheme="minorHAnsi" w:cstheme="minorHAnsi"/>
          <w:b/>
          <w:sz w:val="22"/>
          <w:szCs w:val="22"/>
        </w:rPr>
      </w:pPr>
    </w:p>
    <w:p w:rsidR="00AB35F4" w:rsidRPr="00CD57B8" w:rsidRDefault="00AB35F4" w:rsidP="00DA435B">
      <w:pPr>
        <w:jc w:val="both"/>
        <w:rPr>
          <w:rFonts w:asciiTheme="minorHAnsi" w:hAnsiTheme="minorHAnsi" w:cstheme="minorHAnsi"/>
          <w:b/>
          <w:sz w:val="22"/>
          <w:szCs w:val="22"/>
        </w:rPr>
      </w:pPr>
    </w:p>
    <w:p w:rsidR="00DA435B" w:rsidRPr="00CD57B8" w:rsidRDefault="001246CD" w:rsidP="00DA435B">
      <w:pPr>
        <w:jc w:val="center"/>
        <w:rPr>
          <w:rFonts w:asciiTheme="minorHAnsi" w:hAnsiTheme="minorHAnsi" w:cstheme="minorHAnsi"/>
          <w:b/>
          <w:sz w:val="22"/>
          <w:szCs w:val="22"/>
          <w:u w:val="single"/>
        </w:rPr>
      </w:pPr>
      <w:proofErr w:type="spellStart"/>
      <w:r>
        <w:rPr>
          <w:rFonts w:asciiTheme="minorHAnsi" w:hAnsiTheme="minorHAnsi" w:cstheme="minorHAnsi"/>
          <w:b/>
          <w:sz w:val="22"/>
          <w:szCs w:val="22"/>
          <w:u w:val="single"/>
        </w:rPr>
        <w:t>Moughataa</w:t>
      </w:r>
      <w:proofErr w:type="spellEnd"/>
      <w:r w:rsidR="00CA530B">
        <w:rPr>
          <w:rFonts w:asciiTheme="minorHAnsi" w:hAnsiTheme="minorHAnsi" w:cstheme="minorHAnsi"/>
          <w:b/>
          <w:sz w:val="22"/>
          <w:szCs w:val="22"/>
          <w:u w:val="single"/>
        </w:rPr>
        <w:t xml:space="preserve"> d’</w:t>
      </w:r>
      <w:proofErr w:type="spellStart"/>
      <w:r w:rsidR="00DA435B" w:rsidRPr="00CD57B8">
        <w:rPr>
          <w:rFonts w:asciiTheme="minorHAnsi" w:hAnsiTheme="minorHAnsi" w:cstheme="minorHAnsi"/>
          <w:b/>
          <w:sz w:val="22"/>
          <w:szCs w:val="22"/>
          <w:u w:val="single"/>
        </w:rPr>
        <w:t>Ould</w:t>
      </w:r>
      <w:proofErr w:type="spellEnd"/>
      <w:r w:rsidR="00DA435B" w:rsidRPr="00CD57B8">
        <w:rPr>
          <w:rFonts w:asciiTheme="minorHAnsi" w:hAnsiTheme="minorHAnsi" w:cstheme="minorHAnsi"/>
          <w:b/>
          <w:sz w:val="22"/>
          <w:szCs w:val="22"/>
          <w:u w:val="single"/>
        </w:rPr>
        <w:t xml:space="preserve"> </w:t>
      </w:r>
      <w:proofErr w:type="spellStart"/>
      <w:r w:rsidR="00DA435B" w:rsidRPr="00CD57B8">
        <w:rPr>
          <w:rFonts w:asciiTheme="minorHAnsi" w:hAnsiTheme="minorHAnsi" w:cstheme="minorHAnsi"/>
          <w:b/>
          <w:sz w:val="22"/>
          <w:szCs w:val="22"/>
          <w:u w:val="single"/>
        </w:rPr>
        <w:t>Yengé</w:t>
      </w:r>
      <w:proofErr w:type="spellEnd"/>
    </w:p>
    <w:p w:rsidR="00DA435B" w:rsidRPr="00CD57B8" w:rsidRDefault="00DA435B" w:rsidP="00DA435B">
      <w:pPr>
        <w:jc w:val="both"/>
        <w:rPr>
          <w:rFonts w:asciiTheme="minorHAnsi" w:hAnsiTheme="minorHAnsi" w:cstheme="minorHAnsi"/>
          <w:sz w:val="22"/>
          <w:szCs w:val="22"/>
        </w:rPr>
      </w:pPr>
    </w:p>
    <w:p w:rsidR="00DA435B" w:rsidRPr="00CD57B8" w:rsidRDefault="00CA530B" w:rsidP="00DA435B">
      <w:pPr>
        <w:jc w:val="both"/>
        <w:rPr>
          <w:rFonts w:asciiTheme="minorHAnsi" w:hAnsiTheme="minorHAnsi" w:cstheme="minorHAnsi"/>
          <w:sz w:val="22"/>
          <w:szCs w:val="22"/>
        </w:rPr>
      </w:pPr>
      <w:r>
        <w:rPr>
          <w:rFonts w:asciiTheme="minorHAnsi" w:hAnsiTheme="minorHAnsi" w:cstheme="minorHAnsi"/>
          <w:sz w:val="22"/>
          <w:szCs w:val="22"/>
        </w:rPr>
        <w:t xml:space="preserve">Les communes de la </w:t>
      </w:r>
      <w:proofErr w:type="spellStart"/>
      <w:r w:rsidR="001246CD">
        <w:rPr>
          <w:rFonts w:asciiTheme="minorHAnsi" w:hAnsiTheme="minorHAnsi" w:cstheme="minorHAnsi"/>
          <w:sz w:val="22"/>
          <w:szCs w:val="22"/>
        </w:rPr>
        <w:t>Moughataa</w:t>
      </w:r>
      <w:proofErr w:type="spellEnd"/>
      <w:r>
        <w:rPr>
          <w:rFonts w:asciiTheme="minorHAnsi" w:hAnsiTheme="minorHAnsi" w:cstheme="minorHAnsi"/>
          <w:sz w:val="22"/>
          <w:szCs w:val="22"/>
        </w:rPr>
        <w:t xml:space="preserve"> d’</w:t>
      </w:r>
      <w:proofErr w:type="spellStart"/>
      <w:r w:rsidR="00DA435B" w:rsidRPr="00CD57B8">
        <w:rPr>
          <w:rFonts w:asciiTheme="minorHAnsi" w:hAnsiTheme="minorHAnsi" w:cstheme="minorHAnsi"/>
          <w:sz w:val="22"/>
          <w:szCs w:val="22"/>
        </w:rPr>
        <w:t>Ould</w:t>
      </w:r>
      <w:proofErr w:type="spellEnd"/>
      <w:r w:rsidR="00DA435B" w:rsidRPr="00CD57B8">
        <w:rPr>
          <w:rFonts w:asciiTheme="minorHAnsi" w:hAnsiTheme="minorHAnsi" w:cstheme="minorHAnsi"/>
          <w:sz w:val="22"/>
          <w:szCs w:val="22"/>
        </w:rPr>
        <w:t xml:space="preserve"> </w:t>
      </w:r>
      <w:proofErr w:type="spellStart"/>
      <w:r w:rsidR="00DA435B" w:rsidRPr="00CD57B8">
        <w:rPr>
          <w:rFonts w:asciiTheme="minorHAnsi" w:hAnsiTheme="minorHAnsi" w:cstheme="minorHAnsi"/>
          <w:sz w:val="22"/>
          <w:szCs w:val="22"/>
        </w:rPr>
        <w:t>Y</w:t>
      </w:r>
      <w:r>
        <w:rPr>
          <w:rFonts w:asciiTheme="minorHAnsi" w:hAnsiTheme="minorHAnsi" w:cstheme="minorHAnsi"/>
          <w:sz w:val="22"/>
          <w:szCs w:val="22"/>
        </w:rPr>
        <w:t>engé</w:t>
      </w:r>
      <w:proofErr w:type="spellEnd"/>
      <w:r>
        <w:rPr>
          <w:rFonts w:asciiTheme="minorHAnsi" w:hAnsiTheme="minorHAnsi" w:cstheme="minorHAnsi"/>
          <w:sz w:val="22"/>
          <w:szCs w:val="22"/>
        </w:rPr>
        <w:t xml:space="preserve"> ont bénéficié d’un FRD 2012 pour l’équipement de 49 966 115</w:t>
      </w:r>
      <w:r w:rsidR="00DA435B" w:rsidRPr="00CD57B8">
        <w:rPr>
          <w:rFonts w:asciiTheme="minorHAnsi" w:hAnsiTheme="minorHAnsi" w:cstheme="minorHAnsi"/>
          <w:sz w:val="22"/>
          <w:szCs w:val="22"/>
        </w:rPr>
        <w:t xml:space="preserve"> </w:t>
      </w:r>
      <w:r>
        <w:rPr>
          <w:rFonts w:asciiTheme="minorHAnsi" w:hAnsiTheme="minorHAnsi" w:cstheme="minorHAnsi"/>
          <w:sz w:val="22"/>
          <w:szCs w:val="22"/>
        </w:rPr>
        <w:t>MRO (+15,85% par rapport à 2011). Elles ont engagé 56 989 808</w:t>
      </w:r>
      <w:r w:rsidR="00DA435B" w:rsidRPr="00CD57B8">
        <w:rPr>
          <w:rFonts w:asciiTheme="minorHAnsi" w:hAnsiTheme="minorHAnsi" w:cstheme="minorHAnsi"/>
          <w:sz w:val="22"/>
          <w:szCs w:val="22"/>
        </w:rPr>
        <w:t xml:space="preserve"> MRO pour la réalisation de </w:t>
      </w:r>
      <w:r>
        <w:rPr>
          <w:rFonts w:asciiTheme="minorHAnsi" w:hAnsiTheme="minorHAnsi" w:cstheme="minorHAnsi"/>
          <w:b/>
          <w:sz w:val="22"/>
          <w:szCs w:val="22"/>
        </w:rPr>
        <w:t>36</w:t>
      </w:r>
      <w:r w:rsidR="00DA435B" w:rsidRPr="00AF2B88">
        <w:rPr>
          <w:rFonts w:asciiTheme="minorHAnsi" w:hAnsiTheme="minorHAnsi" w:cstheme="minorHAnsi"/>
          <w:b/>
          <w:sz w:val="22"/>
          <w:szCs w:val="22"/>
        </w:rPr>
        <w:t xml:space="preserve"> projets</w:t>
      </w:r>
      <w:r w:rsidR="00DA435B" w:rsidRPr="00CD57B8">
        <w:rPr>
          <w:rFonts w:asciiTheme="minorHAnsi" w:hAnsiTheme="minorHAnsi" w:cstheme="minorHAnsi"/>
          <w:sz w:val="22"/>
          <w:szCs w:val="22"/>
        </w:rPr>
        <w:t xml:space="preserve">, soit un </w:t>
      </w:r>
      <w:r>
        <w:rPr>
          <w:rFonts w:asciiTheme="minorHAnsi" w:hAnsiTheme="minorHAnsi" w:cstheme="minorHAnsi"/>
          <w:b/>
          <w:sz w:val="22"/>
          <w:szCs w:val="22"/>
        </w:rPr>
        <w:t>taux d’absorption de 114,06</w:t>
      </w:r>
      <w:r w:rsidR="00DA435B" w:rsidRPr="00CD57B8">
        <w:rPr>
          <w:rFonts w:asciiTheme="minorHAnsi" w:hAnsiTheme="minorHAnsi" w:cstheme="minorHAnsi"/>
          <w:b/>
          <w:sz w:val="22"/>
          <w:szCs w:val="22"/>
        </w:rPr>
        <w:t xml:space="preserve"> %.</w:t>
      </w:r>
      <w:r>
        <w:rPr>
          <w:rFonts w:asciiTheme="minorHAnsi" w:hAnsiTheme="minorHAnsi" w:cstheme="minorHAnsi"/>
          <w:b/>
          <w:sz w:val="22"/>
          <w:szCs w:val="22"/>
        </w:rPr>
        <w:t xml:space="preserve"> </w:t>
      </w:r>
      <w:r w:rsidRPr="00CD57B8">
        <w:rPr>
          <w:rFonts w:asciiTheme="minorHAnsi" w:hAnsiTheme="minorHAnsi" w:cstheme="minorHAnsi"/>
          <w:sz w:val="22"/>
          <w:szCs w:val="22"/>
        </w:rPr>
        <w:t>Les remarques pour ce taux d’absorptio</w:t>
      </w:r>
      <w:r>
        <w:rPr>
          <w:rFonts w:asciiTheme="minorHAnsi" w:hAnsiTheme="minorHAnsi" w:cstheme="minorHAnsi"/>
          <w:sz w:val="22"/>
          <w:szCs w:val="22"/>
        </w:rPr>
        <w:t xml:space="preserve">n </w:t>
      </w:r>
      <w:r w:rsidRPr="00CD57B8">
        <w:rPr>
          <w:rFonts w:asciiTheme="minorHAnsi" w:hAnsiTheme="minorHAnsi" w:cstheme="minorHAnsi"/>
          <w:sz w:val="22"/>
          <w:szCs w:val="22"/>
        </w:rPr>
        <w:t xml:space="preserve">sont identiques à celles concernant la </w:t>
      </w:r>
      <w:proofErr w:type="spellStart"/>
      <w:r w:rsidR="001246CD">
        <w:rPr>
          <w:rFonts w:asciiTheme="minorHAnsi" w:hAnsiTheme="minorHAnsi" w:cstheme="minorHAnsi"/>
          <w:sz w:val="22"/>
          <w:szCs w:val="22"/>
        </w:rPr>
        <w:t>Moughataa</w:t>
      </w:r>
      <w:proofErr w:type="spellEnd"/>
      <w:r w:rsidRPr="00CD57B8">
        <w:rPr>
          <w:rFonts w:asciiTheme="minorHAnsi" w:hAnsiTheme="minorHAnsi" w:cstheme="minorHAnsi"/>
          <w:sz w:val="22"/>
          <w:szCs w:val="22"/>
        </w:rPr>
        <w:t xml:space="preserve"> de </w:t>
      </w:r>
      <w:proofErr w:type="spellStart"/>
      <w:r w:rsidRPr="00CD57B8">
        <w:rPr>
          <w:rFonts w:asciiTheme="minorHAnsi" w:hAnsiTheme="minorHAnsi" w:cstheme="minorHAnsi"/>
          <w:sz w:val="22"/>
          <w:szCs w:val="22"/>
        </w:rPr>
        <w:t>Selibaby</w:t>
      </w:r>
      <w:proofErr w:type="spellEnd"/>
      <w:r w:rsidRPr="00CD57B8">
        <w:rPr>
          <w:rFonts w:asciiTheme="minorHAnsi" w:hAnsiTheme="minorHAnsi" w:cstheme="minorHAnsi"/>
          <w:sz w:val="22"/>
          <w:szCs w:val="22"/>
        </w:rPr>
        <w:t xml:space="preserve">. </w:t>
      </w:r>
    </w:p>
    <w:p w:rsidR="00DA435B" w:rsidRPr="00CD57B8" w:rsidRDefault="00DA435B" w:rsidP="00DA435B">
      <w:pPr>
        <w:jc w:val="both"/>
        <w:rPr>
          <w:rFonts w:asciiTheme="minorHAnsi" w:hAnsiTheme="minorHAnsi" w:cstheme="minorHAnsi"/>
          <w:sz w:val="22"/>
          <w:szCs w:val="22"/>
        </w:rPr>
      </w:pPr>
    </w:p>
    <w:p w:rsidR="00DA435B" w:rsidRDefault="00DA435B" w:rsidP="00DA435B">
      <w:pPr>
        <w:jc w:val="both"/>
        <w:rPr>
          <w:rFonts w:asciiTheme="minorHAnsi" w:hAnsiTheme="minorHAnsi" w:cstheme="minorHAnsi"/>
          <w:b/>
          <w:sz w:val="22"/>
          <w:szCs w:val="22"/>
        </w:rPr>
      </w:pPr>
      <w:r w:rsidRPr="003F0158">
        <w:rPr>
          <w:noProof/>
        </w:rPr>
        <w:drawing>
          <wp:inline distT="0" distB="0" distL="0" distR="0">
            <wp:extent cx="3133724" cy="3286125"/>
            <wp:effectExtent l="19050" t="0" r="0" b="0"/>
            <wp:docPr id="58"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5" cstate="print"/>
                    <a:stretch>
                      <a:fillRect/>
                    </a:stretch>
                  </pic:blipFill>
                  <pic:spPr>
                    <a:xfrm>
                      <a:off x="0" y="0"/>
                      <a:ext cx="3133333" cy="3285715"/>
                    </a:xfrm>
                    <a:prstGeom prst="rect">
                      <a:avLst/>
                    </a:prstGeom>
                  </pic:spPr>
                </pic:pic>
              </a:graphicData>
            </a:graphic>
          </wp:inline>
        </w:drawing>
      </w:r>
      <w:r w:rsidRPr="00371ADB">
        <w:rPr>
          <w:rFonts w:asciiTheme="minorHAnsi" w:hAnsiTheme="minorHAnsi" w:cstheme="minorHAnsi"/>
          <w:b/>
          <w:noProof/>
          <w:sz w:val="22"/>
          <w:szCs w:val="22"/>
        </w:rPr>
        <w:drawing>
          <wp:inline distT="0" distB="0" distL="0" distR="0">
            <wp:extent cx="3448050" cy="3286125"/>
            <wp:effectExtent l="19050" t="0" r="0" b="0"/>
            <wp:docPr id="163"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6" cstate="print"/>
                    <a:stretch>
                      <a:fillRect/>
                    </a:stretch>
                  </pic:blipFill>
                  <pic:spPr>
                    <a:xfrm>
                      <a:off x="0" y="0"/>
                      <a:ext cx="3447620" cy="3285715"/>
                    </a:xfrm>
                    <a:prstGeom prst="rect">
                      <a:avLst/>
                    </a:prstGeom>
                  </pic:spPr>
                </pic:pic>
              </a:graphicData>
            </a:graphic>
          </wp:inline>
        </w:drawing>
      </w:r>
    </w:p>
    <w:p w:rsidR="00EE422A" w:rsidRDefault="00EE422A" w:rsidP="00DA435B">
      <w:pPr>
        <w:jc w:val="both"/>
        <w:rPr>
          <w:rFonts w:asciiTheme="minorHAnsi" w:hAnsiTheme="minorHAnsi" w:cstheme="minorHAnsi"/>
          <w:b/>
          <w:sz w:val="22"/>
          <w:szCs w:val="22"/>
        </w:rPr>
      </w:pPr>
      <w:r w:rsidRPr="00EE422A">
        <w:rPr>
          <w:noProof/>
          <w:szCs w:val="22"/>
        </w:rPr>
        <w:drawing>
          <wp:inline distT="0" distB="0" distL="0" distR="0">
            <wp:extent cx="6645910" cy="1895475"/>
            <wp:effectExtent l="19050" t="0" r="2540" b="0"/>
            <wp:docPr id="114" name="Imag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257" cstate="print"/>
                    <a:srcRect/>
                    <a:stretch>
                      <a:fillRect/>
                    </a:stretch>
                  </pic:blipFill>
                  <pic:spPr bwMode="auto">
                    <a:xfrm>
                      <a:off x="0" y="0"/>
                      <a:ext cx="6645910" cy="1895475"/>
                    </a:xfrm>
                    <a:prstGeom prst="rect">
                      <a:avLst/>
                    </a:prstGeom>
                    <a:noFill/>
                    <a:ln w="9525">
                      <a:noFill/>
                      <a:miter lim="800000"/>
                      <a:headEnd/>
                      <a:tailEnd/>
                    </a:ln>
                  </pic:spPr>
                </pic:pic>
              </a:graphicData>
            </a:graphic>
          </wp:inline>
        </w:drawing>
      </w:r>
    </w:p>
    <w:p w:rsidR="00EE422A" w:rsidRDefault="00EE422A" w:rsidP="00EE422A">
      <w:pPr>
        <w:jc w:val="both"/>
        <w:rPr>
          <w:rFonts w:asciiTheme="minorHAnsi" w:hAnsiTheme="minorHAnsi" w:cstheme="minorHAnsi"/>
          <w:sz w:val="22"/>
          <w:szCs w:val="22"/>
        </w:rPr>
      </w:pPr>
    </w:p>
    <w:p w:rsidR="00EE422A" w:rsidRDefault="00EE422A" w:rsidP="00EE422A">
      <w:pPr>
        <w:jc w:val="both"/>
        <w:rPr>
          <w:rFonts w:asciiTheme="minorHAnsi" w:hAnsiTheme="minorHAnsi" w:cstheme="minorHAnsi"/>
          <w:sz w:val="22"/>
          <w:szCs w:val="22"/>
        </w:rPr>
      </w:pPr>
      <w:r w:rsidRPr="0093300F">
        <w:rPr>
          <w:rFonts w:asciiTheme="minorHAnsi" w:hAnsiTheme="minorHAnsi" w:cstheme="minorHAnsi"/>
          <w:sz w:val="22"/>
          <w:szCs w:val="22"/>
        </w:rPr>
        <w:t>Le</w:t>
      </w:r>
      <w:r>
        <w:rPr>
          <w:rFonts w:asciiTheme="minorHAnsi" w:hAnsiTheme="minorHAnsi" w:cstheme="minorHAnsi"/>
          <w:sz w:val="22"/>
          <w:szCs w:val="22"/>
        </w:rPr>
        <w:t xml:space="preserve"> montant moyen par projet d’investissement diminue légèrement, passant de 1 646 724 MRO en 2011 à 1 523 050 MRO en 2012, en raison de l’augmentation du nombre de projets (34 en 2011 contre 36 en 2012). En comparaison de la moyenne nationale, ce montant est tout à fait satisfaisant. </w:t>
      </w:r>
    </w:p>
    <w:p w:rsidR="00EE422A" w:rsidRDefault="00EE422A" w:rsidP="00EE422A">
      <w:pPr>
        <w:jc w:val="both"/>
        <w:rPr>
          <w:rFonts w:asciiTheme="minorHAnsi" w:hAnsiTheme="minorHAnsi" w:cstheme="minorHAnsi"/>
          <w:sz w:val="22"/>
          <w:szCs w:val="22"/>
        </w:rPr>
      </w:pPr>
      <w:r>
        <w:rPr>
          <w:rFonts w:asciiTheme="minorHAnsi" w:hAnsiTheme="minorHAnsi" w:cstheme="minorHAnsi"/>
          <w:sz w:val="22"/>
          <w:szCs w:val="22"/>
        </w:rPr>
        <w:t xml:space="preserve">Comme pour la </w:t>
      </w:r>
      <w:proofErr w:type="spellStart"/>
      <w:r w:rsidR="001246CD">
        <w:rPr>
          <w:rFonts w:asciiTheme="minorHAnsi" w:hAnsiTheme="minorHAnsi" w:cstheme="minorHAnsi"/>
          <w:sz w:val="22"/>
          <w:szCs w:val="22"/>
        </w:rPr>
        <w:t>Moughataa</w:t>
      </w:r>
      <w:proofErr w:type="spellEnd"/>
      <w:r w:rsidR="0022153F">
        <w:rPr>
          <w:rFonts w:asciiTheme="minorHAnsi" w:hAnsiTheme="minorHAnsi" w:cstheme="minorHAnsi"/>
          <w:sz w:val="22"/>
          <w:szCs w:val="22"/>
        </w:rPr>
        <w:t xml:space="preserve"> de </w:t>
      </w:r>
      <w:proofErr w:type="spellStart"/>
      <w:r w:rsidR="0022153F">
        <w:rPr>
          <w:rFonts w:asciiTheme="minorHAnsi" w:hAnsiTheme="minorHAnsi" w:cstheme="minorHAnsi"/>
          <w:sz w:val="22"/>
          <w:szCs w:val="22"/>
        </w:rPr>
        <w:t>Sélibaby</w:t>
      </w:r>
      <w:proofErr w:type="spellEnd"/>
      <w:r w:rsidR="0022153F">
        <w:rPr>
          <w:rFonts w:asciiTheme="minorHAnsi" w:hAnsiTheme="minorHAnsi" w:cstheme="minorHAnsi"/>
          <w:sz w:val="22"/>
          <w:szCs w:val="22"/>
        </w:rPr>
        <w:t>, pas de crainte</w:t>
      </w:r>
      <w:r>
        <w:rPr>
          <w:rFonts w:asciiTheme="minorHAnsi" w:hAnsiTheme="minorHAnsi" w:cstheme="minorHAnsi"/>
          <w:sz w:val="22"/>
          <w:szCs w:val="22"/>
        </w:rPr>
        <w:t xml:space="preserve"> d’une forte parcellisati</w:t>
      </w:r>
      <w:r w:rsidR="0022153F">
        <w:rPr>
          <w:rFonts w:asciiTheme="minorHAnsi" w:hAnsiTheme="minorHAnsi" w:cstheme="minorHAnsi"/>
          <w:sz w:val="22"/>
          <w:szCs w:val="22"/>
        </w:rPr>
        <w:t>on de l’investissement</w:t>
      </w:r>
      <w:r>
        <w:rPr>
          <w:rFonts w:asciiTheme="minorHAnsi" w:hAnsiTheme="minorHAnsi" w:cstheme="minorHAnsi"/>
          <w:sz w:val="22"/>
          <w:szCs w:val="22"/>
        </w:rPr>
        <w:t xml:space="preserve"> </w:t>
      </w:r>
      <w:r w:rsidR="0022153F">
        <w:rPr>
          <w:rFonts w:asciiTheme="minorHAnsi" w:hAnsiTheme="minorHAnsi" w:cstheme="minorHAnsi"/>
          <w:sz w:val="22"/>
          <w:szCs w:val="22"/>
        </w:rPr>
        <w:t>(</w:t>
      </w:r>
      <w:r>
        <w:rPr>
          <w:rFonts w:asciiTheme="minorHAnsi" w:hAnsiTheme="minorHAnsi" w:cstheme="minorHAnsi"/>
          <w:sz w:val="22"/>
          <w:szCs w:val="22"/>
        </w:rPr>
        <w:t>nombre important de projets</w:t>
      </w:r>
      <w:r w:rsidR="0022153F">
        <w:rPr>
          <w:rFonts w:asciiTheme="minorHAnsi" w:hAnsiTheme="minorHAnsi" w:cstheme="minorHAnsi"/>
          <w:sz w:val="22"/>
          <w:szCs w:val="22"/>
        </w:rPr>
        <w:t>) en raison du</w:t>
      </w:r>
      <w:r>
        <w:rPr>
          <w:rFonts w:asciiTheme="minorHAnsi" w:hAnsiTheme="minorHAnsi" w:cstheme="minorHAnsi"/>
          <w:sz w:val="22"/>
          <w:szCs w:val="22"/>
        </w:rPr>
        <w:t xml:space="preserve"> volume conséquent de crédits octroyés.</w:t>
      </w:r>
    </w:p>
    <w:p w:rsidR="00EE422A" w:rsidRDefault="00EE422A" w:rsidP="00EE422A">
      <w:pPr>
        <w:jc w:val="both"/>
        <w:rPr>
          <w:rFonts w:asciiTheme="minorHAnsi" w:hAnsiTheme="minorHAnsi" w:cstheme="minorHAnsi"/>
          <w:sz w:val="22"/>
          <w:szCs w:val="22"/>
        </w:rPr>
      </w:pPr>
    </w:p>
    <w:p w:rsidR="00EE422A" w:rsidRDefault="00EE422A" w:rsidP="00EE422A">
      <w:pPr>
        <w:jc w:val="both"/>
        <w:rPr>
          <w:rFonts w:asciiTheme="minorHAnsi" w:hAnsiTheme="minorHAnsi" w:cstheme="minorHAnsi"/>
          <w:sz w:val="22"/>
          <w:szCs w:val="22"/>
        </w:rPr>
      </w:pPr>
      <w:r>
        <w:rPr>
          <w:rFonts w:asciiTheme="minorHAnsi" w:hAnsiTheme="minorHAnsi" w:cstheme="minorHAnsi"/>
          <w:sz w:val="22"/>
          <w:szCs w:val="22"/>
        </w:rPr>
        <w:t>En termes de priorités d’investissement, le secteur de l’éducation vient en première position avec 40,18% des engagements, pour 11 projets se répartissant 22 898 742 MRO.</w:t>
      </w:r>
    </w:p>
    <w:p w:rsidR="00EE422A" w:rsidRPr="0093300F" w:rsidRDefault="00EE422A" w:rsidP="00EE422A">
      <w:pPr>
        <w:jc w:val="both"/>
        <w:rPr>
          <w:rFonts w:asciiTheme="minorHAnsi" w:hAnsiTheme="minorHAnsi" w:cstheme="minorHAnsi"/>
          <w:sz w:val="22"/>
          <w:szCs w:val="22"/>
        </w:rPr>
      </w:pPr>
      <w:r>
        <w:rPr>
          <w:rFonts w:asciiTheme="minorHAnsi" w:hAnsiTheme="minorHAnsi" w:cstheme="minorHAnsi"/>
          <w:sz w:val="22"/>
          <w:szCs w:val="22"/>
        </w:rPr>
        <w:t>Ensuite, vient en deuxième position l’hydraulique avec 33,56% des engagements, soit 19 126 516 MRO pour 9 projets.</w:t>
      </w:r>
    </w:p>
    <w:p w:rsidR="00EE422A" w:rsidRDefault="00EE422A" w:rsidP="00EE422A">
      <w:pPr>
        <w:jc w:val="both"/>
        <w:rPr>
          <w:rFonts w:asciiTheme="minorHAnsi" w:hAnsiTheme="minorHAnsi" w:cstheme="minorHAnsi"/>
          <w:sz w:val="22"/>
          <w:szCs w:val="22"/>
        </w:rPr>
      </w:pPr>
      <w:r>
        <w:rPr>
          <w:rFonts w:asciiTheme="minorHAnsi" w:hAnsiTheme="minorHAnsi" w:cstheme="minorHAnsi"/>
          <w:sz w:val="22"/>
          <w:szCs w:val="22"/>
        </w:rPr>
        <w:t>En troisième position, l’agriculture avec 11,54% des engagements, soit 6 579 150 MRO pour 5 projets.</w:t>
      </w:r>
    </w:p>
    <w:p w:rsidR="00EE422A" w:rsidRPr="00CD57B8" w:rsidRDefault="00EE422A" w:rsidP="00DA435B">
      <w:pPr>
        <w:jc w:val="both"/>
        <w:rPr>
          <w:rFonts w:asciiTheme="minorHAnsi" w:hAnsiTheme="minorHAnsi" w:cstheme="minorHAnsi"/>
          <w:b/>
          <w:sz w:val="22"/>
          <w:szCs w:val="22"/>
        </w:rPr>
      </w:pPr>
    </w:p>
    <w:p w:rsidR="00DA435B" w:rsidRPr="00CD57B8" w:rsidRDefault="00DA435B" w:rsidP="00DA435B">
      <w:pPr>
        <w:jc w:val="both"/>
        <w:rPr>
          <w:rFonts w:asciiTheme="minorHAnsi" w:hAnsiTheme="minorHAnsi" w:cstheme="minorHAnsi"/>
          <w:b/>
          <w:sz w:val="22"/>
          <w:szCs w:val="22"/>
        </w:rPr>
      </w:pPr>
      <w:r w:rsidRPr="007425E9">
        <w:rPr>
          <w:rFonts w:asciiTheme="minorHAnsi" w:hAnsiTheme="minorHAnsi" w:cstheme="minorHAnsi"/>
          <w:b/>
          <w:noProof/>
          <w:sz w:val="22"/>
          <w:szCs w:val="22"/>
        </w:rPr>
        <w:drawing>
          <wp:inline distT="0" distB="0" distL="0" distR="0">
            <wp:extent cx="6610350" cy="2333625"/>
            <wp:effectExtent l="19050" t="0" r="0" b="0"/>
            <wp:docPr id="208"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8" cstate="print"/>
                    <a:stretch>
                      <a:fillRect/>
                    </a:stretch>
                  </pic:blipFill>
                  <pic:spPr>
                    <a:xfrm>
                      <a:off x="0" y="0"/>
                      <a:ext cx="6609525" cy="2333334"/>
                    </a:xfrm>
                    <a:prstGeom prst="rect">
                      <a:avLst/>
                    </a:prstGeom>
                  </pic:spPr>
                </pic:pic>
              </a:graphicData>
            </a:graphic>
          </wp:inline>
        </w:drawing>
      </w:r>
    </w:p>
    <w:p w:rsidR="00DA435B" w:rsidRDefault="009263AB" w:rsidP="00DA435B">
      <w:pPr>
        <w:jc w:val="both"/>
        <w:rPr>
          <w:rFonts w:asciiTheme="minorHAnsi" w:hAnsiTheme="minorHAnsi" w:cstheme="minorHAnsi"/>
          <w:b/>
          <w:sz w:val="22"/>
          <w:szCs w:val="22"/>
        </w:rPr>
      </w:pPr>
      <w:r w:rsidRPr="009263AB">
        <w:rPr>
          <w:noProof/>
        </w:rPr>
        <w:drawing>
          <wp:inline distT="0" distB="0" distL="0" distR="0">
            <wp:extent cx="6645910" cy="2686050"/>
            <wp:effectExtent l="19050" t="0" r="2540" b="0"/>
            <wp:docPr id="306"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9" cstate="print"/>
                    <a:stretch>
                      <a:fillRect/>
                    </a:stretch>
                  </pic:blipFill>
                  <pic:spPr>
                    <a:xfrm>
                      <a:off x="0" y="0"/>
                      <a:ext cx="6645910" cy="2686050"/>
                    </a:xfrm>
                    <a:prstGeom prst="rect">
                      <a:avLst/>
                    </a:prstGeom>
                  </pic:spPr>
                </pic:pic>
              </a:graphicData>
            </a:graphic>
          </wp:inline>
        </w:drawing>
      </w:r>
    </w:p>
    <w:p w:rsidR="00DA435B" w:rsidRDefault="00DA435B">
      <w:pPr>
        <w:spacing w:after="200" w:line="276" w:lineRule="auto"/>
        <w:rPr>
          <w:rFonts w:asciiTheme="minorHAnsi" w:hAnsiTheme="minorHAnsi" w:cstheme="minorHAnsi"/>
          <w:b/>
          <w:sz w:val="22"/>
          <w:szCs w:val="22"/>
        </w:rPr>
      </w:pPr>
      <w:r>
        <w:rPr>
          <w:rFonts w:asciiTheme="minorHAnsi" w:hAnsiTheme="minorHAnsi" w:cstheme="minorHAnsi"/>
          <w:b/>
          <w:sz w:val="22"/>
          <w:szCs w:val="22"/>
        </w:rPr>
        <w:br w:type="page"/>
      </w:r>
    </w:p>
    <w:p w:rsidR="00A27296" w:rsidRPr="00E651A6" w:rsidRDefault="001246CD" w:rsidP="00E651A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2D050"/>
        <w:rPr>
          <w:rFonts w:asciiTheme="minorHAnsi" w:hAnsiTheme="minorHAnsi" w:cstheme="minorHAnsi"/>
          <w:b/>
          <w:smallCaps/>
          <w:sz w:val="28"/>
          <w:szCs w:val="28"/>
        </w:rPr>
      </w:pPr>
      <w:r>
        <w:rPr>
          <w:rFonts w:asciiTheme="minorHAnsi" w:hAnsiTheme="minorHAnsi" w:cstheme="minorHAnsi"/>
          <w:b/>
          <w:smallCaps/>
          <w:sz w:val="28"/>
          <w:szCs w:val="28"/>
        </w:rPr>
        <w:t>Wilaya</w:t>
      </w:r>
      <w:r w:rsidR="00A27296" w:rsidRPr="00E651A6">
        <w:rPr>
          <w:rFonts w:asciiTheme="minorHAnsi" w:hAnsiTheme="minorHAnsi" w:cstheme="minorHAnsi"/>
          <w:b/>
          <w:smallCaps/>
          <w:sz w:val="28"/>
          <w:szCs w:val="28"/>
        </w:rPr>
        <w:t xml:space="preserve"> du </w:t>
      </w:r>
      <w:proofErr w:type="spellStart"/>
      <w:r w:rsidR="00A27296" w:rsidRPr="00E651A6">
        <w:rPr>
          <w:rFonts w:asciiTheme="minorHAnsi" w:hAnsiTheme="minorHAnsi" w:cstheme="minorHAnsi"/>
          <w:b/>
          <w:smallCaps/>
          <w:sz w:val="28"/>
          <w:szCs w:val="28"/>
        </w:rPr>
        <w:t>Tiris</w:t>
      </w:r>
      <w:proofErr w:type="spellEnd"/>
      <w:r w:rsidR="00A27296" w:rsidRPr="00E651A6">
        <w:rPr>
          <w:rFonts w:asciiTheme="minorHAnsi" w:hAnsiTheme="minorHAnsi" w:cstheme="minorHAnsi"/>
          <w:b/>
          <w:smallCaps/>
          <w:sz w:val="28"/>
          <w:szCs w:val="28"/>
        </w:rPr>
        <w:t>-</w:t>
      </w:r>
      <w:proofErr w:type="spellStart"/>
      <w:r w:rsidR="00A27296" w:rsidRPr="00E651A6">
        <w:rPr>
          <w:rFonts w:asciiTheme="minorHAnsi" w:hAnsiTheme="minorHAnsi" w:cstheme="minorHAnsi"/>
          <w:b/>
          <w:smallCaps/>
          <w:sz w:val="28"/>
          <w:szCs w:val="28"/>
        </w:rPr>
        <w:t>Zemmour</w:t>
      </w:r>
      <w:proofErr w:type="spellEnd"/>
    </w:p>
    <w:p w:rsidR="00A46FCD" w:rsidRDefault="00A46FCD" w:rsidP="00A27296">
      <w:pPr>
        <w:jc w:val="both"/>
        <w:rPr>
          <w:rFonts w:asciiTheme="minorHAnsi" w:hAnsiTheme="minorHAnsi" w:cstheme="minorHAnsi"/>
        </w:rPr>
      </w:pPr>
    </w:p>
    <w:p w:rsidR="00A76A6E" w:rsidRDefault="00A76A6E" w:rsidP="00A27296">
      <w:pPr>
        <w:jc w:val="both"/>
        <w:rPr>
          <w:rFonts w:asciiTheme="minorHAnsi" w:hAnsiTheme="minorHAnsi" w:cstheme="minorHAnsi"/>
        </w:rPr>
      </w:pPr>
      <w:r w:rsidRPr="00A76A6E">
        <w:rPr>
          <w:noProof/>
        </w:rPr>
        <w:drawing>
          <wp:inline distT="0" distB="0" distL="0" distR="0">
            <wp:extent cx="6645910" cy="2295525"/>
            <wp:effectExtent l="19050" t="0" r="2540" b="0"/>
            <wp:docPr id="290"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0" cstate="print"/>
                    <a:stretch>
                      <a:fillRect/>
                    </a:stretch>
                  </pic:blipFill>
                  <pic:spPr>
                    <a:xfrm>
                      <a:off x="0" y="0"/>
                      <a:ext cx="6660557" cy="2300584"/>
                    </a:xfrm>
                    <a:prstGeom prst="rect">
                      <a:avLst/>
                    </a:prstGeom>
                  </pic:spPr>
                </pic:pic>
              </a:graphicData>
            </a:graphic>
          </wp:inline>
        </w:drawing>
      </w:r>
    </w:p>
    <w:p w:rsidR="00A76A6E" w:rsidRDefault="00A76A6E" w:rsidP="00A27296">
      <w:pPr>
        <w:jc w:val="both"/>
        <w:rPr>
          <w:rFonts w:asciiTheme="minorHAnsi" w:hAnsiTheme="minorHAnsi" w:cstheme="minorHAnsi"/>
        </w:rPr>
      </w:pPr>
    </w:p>
    <w:p w:rsidR="00A27296" w:rsidRPr="00031B94" w:rsidRDefault="00A27296" w:rsidP="00A27296">
      <w:pPr>
        <w:jc w:val="both"/>
        <w:rPr>
          <w:rFonts w:asciiTheme="minorHAnsi" w:hAnsiTheme="minorHAnsi" w:cstheme="minorHAnsi"/>
          <w:sz w:val="22"/>
          <w:szCs w:val="22"/>
        </w:rPr>
      </w:pPr>
      <w:r w:rsidRPr="00031B94">
        <w:rPr>
          <w:rFonts w:asciiTheme="minorHAnsi" w:hAnsiTheme="minorHAnsi" w:cstheme="minorHAnsi"/>
          <w:sz w:val="22"/>
          <w:szCs w:val="22"/>
        </w:rPr>
        <w:t xml:space="preserve">La </w:t>
      </w:r>
      <w:r w:rsidR="001246CD">
        <w:rPr>
          <w:rFonts w:asciiTheme="minorHAnsi" w:hAnsiTheme="minorHAnsi" w:cstheme="minorHAnsi"/>
          <w:sz w:val="22"/>
          <w:szCs w:val="22"/>
        </w:rPr>
        <w:t>Wilaya</w:t>
      </w:r>
      <w:r w:rsidRPr="00031B94">
        <w:rPr>
          <w:rFonts w:asciiTheme="minorHAnsi" w:hAnsiTheme="minorHAnsi" w:cstheme="minorHAnsi"/>
          <w:sz w:val="22"/>
          <w:szCs w:val="22"/>
        </w:rPr>
        <w:t xml:space="preserve"> du </w:t>
      </w:r>
      <w:proofErr w:type="spellStart"/>
      <w:r w:rsidRPr="00031B94">
        <w:rPr>
          <w:rFonts w:asciiTheme="minorHAnsi" w:hAnsiTheme="minorHAnsi" w:cstheme="minorHAnsi"/>
          <w:sz w:val="22"/>
          <w:szCs w:val="22"/>
        </w:rPr>
        <w:t>Tiris</w:t>
      </w:r>
      <w:proofErr w:type="spellEnd"/>
      <w:r w:rsidRPr="00031B94">
        <w:rPr>
          <w:rFonts w:asciiTheme="minorHAnsi" w:hAnsiTheme="minorHAnsi" w:cstheme="minorHAnsi"/>
          <w:sz w:val="22"/>
          <w:szCs w:val="22"/>
        </w:rPr>
        <w:t>-</w:t>
      </w:r>
      <w:proofErr w:type="spellStart"/>
      <w:r w:rsidRPr="00031B94">
        <w:rPr>
          <w:rFonts w:asciiTheme="minorHAnsi" w:hAnsiTheme="minorHAnsi" w:cstheme="minorHAnsi"/>
          <w:sz w:val="22"/>
          <w:szCs w:val="22"/>
        </w:rPr>
        <w:t>Zemmour</w:t>
      </w:r>
      <w:proofErr w:type="spellEnd"/>
      <w:r w:rsidRPr="00031B94">
        <w:rPr>
          <w:rFonts w:asciiTheme="minorHAnsi" w:hAnsiTheme="minorHAnsi" w:cstheme="minorHAnsi"/>
          <w:sz w:val="22"/>
          <w:szCs w:val="22"/>
        </w:rPr>
        <w:t xml:space="preserve"> </w:t>
      </w:r>
      <w:r w:rsidR="00A47DDD">
        <w:rPr>
          <w:rFonts w:asciiTheme="minorHAnsi" w:hAnsiTheme="minorHAnsi" w:cstheme="minorHAnsi"/>
          <w:sz w:val="22"/>
          <w:szCs w:val="22"/>
        </w:rPr>
        <w:t>a bénéficié pour l’exercice 2012</w:t>
      </w:r>
      <w:r w:rsidRPr="00031B94">
        <w:rPr>
          <w:rFonts w:asciiTheme="minorHAnsi" w:hAnsiTheme="minorHAnsi" w:cstheme="minorHAnsi"/>
          <w:sz w:val="22"/>
          <w:szCs w:val="22"/>
        </w:rPr>
        <w:t xml:space="preserve"> d’un FRD équipement de </w:t>
      </w:r>
      <w:r w:rsidR="00A47DDD">
        <w:rPr>
          <w:rFonts w:asciiTheme="minorHAnsi" w:hAnsiTheme="minorHAnsi" w:cstheme="minorHAnsi"/>
          <w:b/>
          <w:sz w:val="22"/>
          <w:szCs w:val="22"/>
        </w:rPr>
        <w:t>34 429 797</w:t>
      </w:r>
      <w:r w:rsidRPr="00031B94">
        <w:rPr>
          <w:rFonts w:asciiTheme="minorHAnsi" w:hAnsiTheme="minorHAnsi" w:cstheme="minorHAnsi"/>
          <w:b/>
          <w:sz w:val="22"/>
          <w:szCs w:val="22"/>
        </w:rPr>
        <w:t xml:space="preserve"> </w:t>
      </w:r>
      <w:proofErr w:type="gramStart"/>
      <w:r w:rsidR="004871EA">
        <w:rPr>
          <w:rFonts w:asciiTheme="minorHAnsi" w:hAnsiTheme="minorHAnsi" w:cstheme="minorHAnsi"/>
          <w:b/>
          <w:sz w:val="22"/>
          <w:szCs w:val="22"/>
        </w:rPr>
        <w:t>ouguiya</w:t>
      </w:r>
      <w:proofErr w:type="gramEnd"/>
      <w:r w:rsidRPr="00031B94">
        <w:rPr>
          <w:rFonts w:asciiTheme="minorHAnsi" w:hAnsiTheme="minorHAnsi" w:cstheme="minorHAnsi"/>
          <w:sz w:val="22"/>
          <w:szCs w:val="22"/>
        </w:rPr>
        <w:t xml:space="preserve">, soit une hausse de </w:t>
      </w:r>
      <w:r w:rsidR="00A47DDD">
        <w:rPr>
          <w:rFonts w:asciiTheme="minorHAnsi" w:hAnsiTheme="minorHAnsi" w:cstheme="minorHAnsi"/>
          <w:b/>
          <w:sz w:val="22"/>
          <w:szCs w:val="22"/>
        </w:rPr>
        <w:t>15,40</w:t>
      </w:r>
      <w:r w:rsidRPr="00031B94">
        <w:rPr>
          <w:rFonts w:asciiTheme="minorHAnsi" w:hAnsiTheme="minorHAnsi" w:cstheme="minorHAnsi"/>
          <w:b/>
          <w:sz w:val="22"/>
          <w:szCs w:val="22"/>
        </w:rPr>
        <w:t>%.</w:t>
      </w:r>
      <w:r w:rsidR="00A47DDD">
        <w:rPr>
          <w:rFonts w:asciiTheme="minorHAnsi" w:hAnsiTheme="minorHAnsi" w:cstheme="minorHAnsi"/>
          <w:sz w:val="22"/>
          <w:szCs w:val="22"/>
        </w:rPr>
        <w:t xml:space="preserve"> 35 085 152</w:t>
      </w:r>
      <w:r w:rsidRPr="00031B94">
        <w:rPr>
          <w:rFonts w:asciiTheme="minorHAnsi" w:hAnsiTheme="minorHAnsi" w:cstheme="minorHAnsi"/>
          <w:sz w:val="22"/>
          <w:szCs w:val="22"/>
        </w:rPr>
        <w:t xml:space="preserve"> </w:t>
      </w:r>
      <w:proofErr w:type="gramStart"/>
      <w:r w:rsidR="004871EA">
        <w:rPr>
          <w:rFonts w:asciiTheme="minorHAnsi" w:hAnsiTheme="minorHAnsi" w:cstheme="minorHAnsi"/>
          <w:sz w:val="22"/>
          <w:szCs w:val="22"/>
        </w:rPr>
        <w:t>ouguiya</w:t>
      </w:r>
      <w:proofErr w:type="gramEnd"/>
      <w:r w:rsidRPr="00031B94">
        <w:rPr>
          <w:rFonts w:asciiTheme="minorHAnsi" w:hAnsiTheme="minorHAnsi" w:cstheme="minorHAnsi"/>
          <w:sz w:val="22"/>
          <w:szCs w:val="22"/>
        </w:rPr>
        <w:t xml:space="preserve"> ont été engagés en 2011, soit un </w:t>
      </w:r>
      <w:r w:rsidRPr="00031B94">
        <w:rPr>
          <w:rFonts w:asciiTheme="minorHAnsi" w:hAnsiTheme="minorHAnsi" w:cstheme="minorHAnsi"/>
          <w:b/>
          <w:sz w:val="22"/>
          <w:szCs w:val="22"/>
        </w:rPr>
        <w:t>taux d’absorption de</w:t>
      </w:r>
      <w:r w:rsidR="00A47DDD">
        <w:rPr>
          <w:rFonts w:asciiTheme="minorHAnsi" w:hAnsiTheme="minorHAnsi" w:cstheme="minorHAnsi"/>
          <w:b/>
          <w:sz w:val="22"/>
          <w:szCs w:val="22"/>
        </w:rPr>
        <w:t xml:space="preserve"> 101,90</w:t>
      </w:r>
      <w:r w:rsidRPr="00031B94">
        <w:rPr>
          <w:rFonts w:asciiTheme="minorHAnsi" w:hAnsiTheme="minorHAnsi" w:cstheme="minorHAnsi"/>
          <w:sz w:val="22"/>
          <w:szCs w:val="22"/>
        </w:rPr>
        <w:t xml:space="preserve">%. </w:t>
      </w:r>
    </w:p>
    <w:p w:rsidR="00A27296" w:rsidRPr="00031B94" w:rsidRDefault="00A47DDD" w:rsidP="00A27296">
      <w:pPr>
        <w:jc w:val="both"/>
        <w:rPr>
          <w:rFonts w:asciiTheme="minorHAnsi" w:hAnsiTheme="minorHAnsi" w:cstheme="minorHAnsi"/>
          <w:sz w:val="22"/>
          <w:szCs w:val="22"/>
        </w:rPr>
      </w:pPr>
      <w:r>
        <w:rPr>
          <w:rFonts w:asciiTheme="minorHAnsi" w:hAnsiTheme="minorHAnsi" w:cstheme="minorHAnsi"/>
          <w:sz w:val="22"/>
          <w:szCs w:val="22"/>
        </w:rPr>
        <w:t xml:space="preserve">Ce taux est tout à fait satisfaisant, surtout si l’on considère que le taux était descendu de manière inquiétante à </w:t>
      </w:r>
      <w:r w:rsidR="00A928E3">
        <w:rPr>
          <w:rFonts w:asciiTheme="minorHAnsi" w:hAnsiTheme="minorHAnsi" w:cstheme="minorHAnsi"/>
          <w:sz w:val="22"/>
          <w:szCs w:val="22"/>
        </w:rPr>
        <w:t>68,56% en 2011. Il confirme en outre l’hypothèse d’une accumulation de crédits sur plusieurs exercices pour permettre d’atteindre le seuil requis pour entreprendre des opérations d’envergure.</w:t>
      </w:r>
    </w:p>
    <w:p w:rsidR="00A27296" w:rsidRPr="00031B94" w:rsidRDefault="008F0EFB" w:rsidP="00A27296">
      <w:pPr>
        <w:jc w:val="both"/>
        <w:rPr>
          <w:rFonts w:asciiTheme="minorHAnsi" w:hAnsiTheme="minorHAnsi" w:cstheme="minorHAnsi"/>
          <w:sz w:val="22"/>
          <w:szCs w:val="22"/>
        </w:rPr>
      </w:pPr>
      <w:r>
        <w:rPr>
          <w:rFonts w:asciiTheme="minorHAnsi" w:hAnsiTheme="minorHAnsi" w:cstheme="minorHAnsi"/>
          <w:sz w:val="22"/>
          <w:szCs w:val="22"/>
        </w:rPr>
        <w:t xml:space="preserve">Il est également à noter qu’aucune information n’a été </w:t>
      </w:r>
      <w:proofErr w:type="gramStart"/>
      <w:r>
        <w:rPr>
          <w:rFonts w:asciiTheme="minorHAnsi" w:hAnsiTheme="minorHAnsi" w:cstheme="minorHAnsi"/>
          <w:sz w:val="22"/>
          <w:szCs w:val="22"/>
        </w:rPr>
        <w:t>donné</w:t>
      </w:r>
      <w:proofErr w:type="gramEnd"/>
      <w:r>
        <w:rPr>
          <w:rFonts w:asciiTheme="minorHAnsi" w:hAnsiTheme="minorHAnsi" w:cstheme="minorHAnsi"/>
          <w:sz w:val="22"/>
          <w:szCs w:val="22"/>
        </w:rPr>
        <w:t xml:space="preserve"> sur l’avancement des 12 projets.</w:t>
      </w:r>
    </w:p>
    <w:p w:rsidR="00A27296" w:rsidRDefault="00557394" w:rsidP="00A27296">
      <w:pPr>
        <w:jc w:val="both"/>
        <w:rPr>
          <w:rFonts w:asciiTheme="minorHAnsi" w:hAnsiTheme="minorHAnsi" w:cstheme="minorHAnsi"/>
          <w:sz w:val="22"/>
          <w:szCs w:val="22"/>
        </w:rPr>
      </w:pPr>
      <w:r w:rsidRPr="00557394">
        <w:rPr>
          <w:noProof/>
          <w:szCs w:val="22"/>
        </w:rPr>
        <w:drawing>
          <wp:inline distT="0" distB="0" distL="0" distR="0">
            <wp:extent cx="6645910" cy="2190750"/>
            <wp:effectExtent l="19050" t="0" r="2540" b="0"/>
            <wp:docPr id="184"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1" cstate="print"/>
                    <a:srcRect/>
                    <a:stretch>
                      <a:fillRect/>
                    </a:stretch>
                  </pic:blipFill>
                  <pic:spPr bwMode="auto">
                    <a:xfrm>
                      <a:off x="0" y="0"/>
                      <a:ext cx="6645910" cy="2190750"/>
                    </a:xfrm>
                    <a:prstGeom prst="rect">
                      <a:avLst/>
                    </a:prstGeom>
                    <a:noFill/>
                    <a:ln w="9525">
                      <a:noFill/>
                      <a:miter lim="800000"/>
                      <a:headEnd/>
                      <a:tailEnd/>
                    </a:ln>
                  </pic:spPr>
                </pic:pic>
              </a:graphicData>
            </a:graphic>
          </wp:inline>
        </w:drawing>
      </w:r>
    </w:p>
    <w:p w:rsidR="00A27296" w:rsidRDefault="00A27296" w:rsidP="00A27296">
      <w:pPr>
        <w:jc w:val="both"/>
        <w:rPr>
          <w:rFonts w:asciiTheme="minorHAnsi" w:hAnsiTheme="minorHAnsi" w:cstheme="minorHAnsi"/>
          <w:sz w:val="22"/>
          <w:szCs w:val="22"/>
        </w:rPr>
      </w:pPr>
    </w:p>
    <w:p w:rsidR="00A27296" w:rsidRDefault="00B800AD" w:rsidP="00A27296">
      <w:pPr>
        <w:jc w:val="both"/>
        <w:rPr>
          <w:rFonts w:asciiTheme="minorHAnsi" w:hAnsiTheme="minorHAnsi" w:cstheme="minorHAnsi"/>
          <w:sz w:val="22"/>
          <w:szCs w:val="22"/>
        </w:rPr>
      </w:pPr>
      <w:r w:rsidRPr="00B800AD">
        <w:rPr>
          <w:noProof/>
          <w:szCs w:val="22"/>
        </w:rPr>
        <w:drawing>
          <wp:inline distT="0" distB="0" distL="0" distR="0">
            <wp:extent cx="6696075" cy="2619375"/>
            <wp:effectExtent l="19050" t="0" r="9525" b="0"/>
            <wp:docPr id="220"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2" cstate="print"/>
                    <a:srcRect/>
                    <a:stretch>
                      <a:fillRect/>
                    </a:stretch>
                  </pic:blipFill>
                  <pic:spPr bwMode="auto">
                    <a:xfrm>
                      <a:off x="0" y="0"/>
                      <a:ext cx="6696075" cy="2619375"/>
                    </a:xfrm>
                    <a:prstGeom prst="rect">
                      <a:avLst/>
                    </a:prstGeom>
                    <a:noFill/>
                    <a:ln w="9525">
                      <a:noFill/>
                      <a:miter lim="800000"/>
                      <a:headEnd/>
                      <a:tailEnd/>
                    </a:ln>
                  </pic:spPr>
                </pic:pic>
              </a:graphicData>
            </a:graphic>
          </wp:inline>
        </w:drawing>
      </w:r>
    </w:p>
    <w:p w:rsidR="00A27296" w:rsidRDefault="00A27296" w:rsidP="00A27296">
      <w:pPr>
        <w:jc w:val="both"/>
        <w:rPr>
          <w:rFonts w:asciiTheme="minorHAnsi" w:hAnsiTheme="minorHAnsi" w:cstheme="minorHAnsi"/>
          <w:sz w:val="22"/>
          <w:szCs w:val="22"/>
        </w:rPr>
      </w:pPr>
    </w:p>
    <w:p w:rsidR="00A928E3" w:rsidRDefault="00A928E3" w:rsidP="00A928E3">
      <w:pPr>
        <w:jc w:val="both"/>
        <w:rPr>
          <w:rFonts w:asciiTheme="minorHAnsi" w:hAnsiTheme="minorHAnsi" w:cstheme="minorHAnsi"/>
          <w:sz w:val="22"/>
          <w:szCs w:val="22"/>
        </w:rPr>
      </w:pPr>
      <w:r w:rsidRPr="0093300F">
        <w:rPr>
          <w:rFonts w:asciiTheme="minorHAnsi" w:hAnsiTheme="minorHAnsi" w:cstheme="minorHAnsi"/>
          <w:sz w:val="22"/>
          <w:szCs w:val="22"/>
        </w:rPr>
        <w:t>Le</w:t>
      </w:r>
      <w:r>
        <w:rPr>
          <w:rFonts w:asciiTheme="minorHAnsi" w:hAnsiTheme="minorHAnsi" w:cstheme="minorHAnsi"/>
          <w:sz w:val="22"/>
          <w:szCs w:val="22"/>
        </w:rPr>
        <w:t xml:space="preserve"> montant moyen </w:t>
      </w:r>
      <w:r w:rsidR="00746069">
        <w:rPr>
          <w:rFonts w:asciiTheme="minorHAnsi" w:hAnsiTheme="minorHAnsi" w:cstheme="minorHAnsi"/>
          <w:sz w:val="22"/>
          <w:szCs w:val="22"/>
        </w:rPr>
        <w:t>par projet d’investissement progresse nettement (+42,94%)</w:t>
      </w:r>
      <w:r w:rsidR="008974F8">
        <w:rPr>
          <w:rFonts w:asciiTheme="minorHAnsi" w:hAnsiTheme="minorHAnsi" w:cstheme="minorHAnsi"/>
          <w:sz w:val="22"/>
          <w:szCs w:val="22"/>
        </w:rPr>
        <w:t>, passant de 2 045 392</w:t>
      </w:r>
      <w:r>
        <w:rPr>
          <w:rFonts w:asciiTheme="minorHAnsi" w:hAnsiTheme="minorHAnsi" w:cstheme="minorHAnsi"/>
          <w:sz w:val="22"/>
          <w:szCs w:val="22"/>
        </w:rPr>
        <w:t xml:space="preserve"> MRO en 2011 à 2 923 763</w:t>
      </w:r>
      <w:r w:rsidR="00746069">
        <w:rPr>
          <w:rFonts w:asciiTheme="minorHAnsi" w:hAnsiTheme="minorHAnsi" w:cstheme="minorHAnsi"/>
          <w:sz w:val="22"/>
          <w:szCs w:val="22"/>
        </w:rPr>
        <w:t xml:space="preserve"> MRO en 2012</w:t>
      </w:r>
      <w:r>
        <w:rPr>
          <w:rFonts w:asciiTheme="minorHAnsi" w:hAnsiTheme="minorHAnsi" w:cstheme="minorHAnsi"/>
          <w:sz w:val="22"/>
          <w:szCs w:val="22"/>
        </w:rPr>
        <w:t>, concomitamment à la quasi-stagnation du nombre de projets (</w:t>
      </w:r>
      <w:r w:rsidR="008974F8">
        <w:rPr>
          <w:rFonts w:asciiTheme="minorHAnsi" w:hAnsiTheme="minorHAnsi" w:cstheme="minorHAnsi"/>
          <w:sz w:val="22"/>
          <w:szCs w:val="22"/>
        </w:rPr>
        <w:t>10</w:t>
      </w:r>
      <w:r>
        <w:rPr>
          <w:rFonts w:asciiTheme="minorHAnsi" w:hAnsiTheme="minorHAnsi" w:cstheme="minorHAnsi"/>
          <w:sz w:val="22"/>
          <w:szCs w:val="22"/>
        </w:rPr>
        <w:t xml:space="preserve"> en 2011 contre </w:t>
      </w:r>
      <w:r w:rsidR="008974F8">
        <w:rPr>
          <w:rFonts w:asciiTheme="minorHAnsi" w:hAnsiTheme="minorHAnsi" w:cstheme="minorHAnsi"/>
          <w:sz w:val="22"/>
          <w:szCs w:val="22"/>
        </w:rPr>
        <w:t>12</w:t>
      </w:r>
      <w:r>
        <w:rPr>
          <w:rFonts w:asciiTheme="minorHAnsi" w:hAnsiTheme="minorHAnsi" w:cstheme="minorHAnsi"/>
          <w:sz w:val="22"/>
          <w:szCs w:val="22"/>
        </w:rPr>
        <w:t xml:space="preserve"> en 2012). En compar</w:t>
      </w:r>
      <w:r w:rsidR="00683006">
        <w:rPr>
          <w:rFonts w:asciiTheme="minorHAnsi" w:hAnsiTheme="minorHAnsi" w:cstheme="minorHAnsi"/>
          <w:sz w:val="22"/>
          <w:szCs w:val="22"/>
        </w:rPr>
        <w:t xml:space="preserve">aison de la moyenne </w:t>
      </w:r>
      <w:r>
        <w:rPr>
          <w:rFonts w:asciiTheme="minorHAnsi" w:hAnsiTheme="minorHAnsi" w:cstheme="minorHAnsi"/>
          <w:sz w:val="22"/>
          <w:szCs w:val="22"/>
        </w:rPr>
        <w:t>natio</w:t>
      </w:r>
      <w:r w:rsidR="008974F8">
        <w:rPr>
          <w:rFonts w:asciiTheme="minorHAnsi" w:hAnsiTheme="minorHAnsi" w:cstheme="minorHAnsi"/>
          <w:sz w:val="22"/>
          <w:szCs w:val="22"/>
        </w:rPr>
        <w:t xml:space="preserve">nale, ce montant est </w:t>
      </w:r>
      <w:r w:rsidR="00746069">
        <w:rPr>
          <w:rFonts w:asciiTheme="minorHAnsi" w:hAnsiTheme="minorHAnsi" w:cstheme="minorHAnsi"/>
          <w:sz w:val="22"/>
          <w:szCs w:val="22"/>
        </w:rPr>
        <w:t xml:space="preserve">évidemment </w:t>
      </w:r>
      <w:r w:rsidR="008974F8">
        <w:rPr>
          <w:rFonts w:asciiTheme="minorHAnsi" w:hAnsiTheme="minorHAnsi" w:cstheme="minorHAnsi"/>
          <w:sz w:val="22"/>
          <w:szCs w:val="22"/>
        </w:rPr>
        <w:t>très</w:t>
      </w:r>
      <w:r w:rsidR="00746069">
        <w:rPr>
          <w:rFonts w:asciiTheme="minorHAnsi" w:hAnsiTheme="minorHAnsi" w:cstheme="minorHAnsi"/>
          <w:sz w:val="22"/>
          <w:szCs w:val="22"/>
        </w:rPr>
        <w:t xml:space="preserve"> satisfaisant</w:t>
      </w:r>
      <w:r>
        <w:rPr>
          <w:rFonts w:asciiTheme="minorHAnsi" w:hAnsiTheme="minorHAnsi" w:cstheme="minorHAnsi"/>
          <w:sz w:val="22"/>
          <w:szCs w:val="22"/>
        </w:rPr>
        <w:t>.</w:t>
      </w:r>
    </w:p>
    <w:p w:rsidR="00A928E3" w:rsidRDefault="00A928E3" w:rsidP="00A928E3">
      <w:pPr>
        <w:jc w:val="both"/>
        <w:rPr>
          <w:rFonts w:asciiTheme="minorHAnsi" w:hAnsiTheme="minorHAnsi" w:cstheme="minorHAnsi"/>
          <w:sz w:val="22"/>
          <w:szCs w:val="22"/>
        </w:rPr>
      </w:pPr>
      <w:r>
        <w:rPr>
          <w:rFonts w:asciiTheme="minorHAnsi" w:hAnsiTheme="minorHAnsi" w:cstheme="minorHAnsi"/>
          <w:sz w:val="22"/>
          <w:szCs w:val="22"/>
        </w:rPr>
        <w:t>En termes de priori</w:t>
      </w:r>
      <w:r w:rsidR="00746069">
        <w:rPr>
          <w:rFonts w:asciiTheme="minorHAnsi" w:hAnsiTheme="minorHAnsi" w:cstheme="minorHAnsi"/>
          <w:sz w:val="22"/>
          <w:szCs w:val="22"/>
        </w:rPr>
        <w:t>tés d’investissement, les opérations d’assainissement</w:t>
      </w:r>
      <w:r>
        <w:rPr>
          <w:rFonts w:asciiTheme="minorHAnsi" w:hAnsiTheme="minorHAnsi" w:cstheme="minorHAnsi"/>
          <w:sz w:val="22"/>
          <w:szCs w:val="22"/>
        </w:rPr>
        <w:t xml:space="preserve"> vie</w:t>
      </w:r>
      <w:r w:rsidR="00746069">
        <w:rPr>
          <w:rFonts w:asciiTheme="minorHAnsi" w:hAnsiTheme="minorHAnsi" w:cstheme="minorHAnsi"/>
          <w:sz w:val="22"/>
          <w:szCs w:val="22"/>
        </w:rPr>
        <w:t>n</w:t>
      </w:r>
      <w:r>
        <w:rPr>
          <w:rFonts w:asciiTheme="minorHAnsi" w:hAnsiTheme="minorHAnsi" w:cstheme="minorHAnsi"/>
          <w:sz w:val="22"/>
          <w:szCs w:val="22"/>
        </w:rPr>
        <w:t>n</w:t>
      </w:r>
      <w:r w:rsidR="00746069">
        <w:rPr>
          <w:rFonts w:asciiTheme="minorHAnsi" w:hAnsiTheme="minorHAnsi" w:cstheme="minorHAnsi"/>
          <w:sz w:val="22"/>
          <w:szCs w:val="22"/>
        </w:rPr>
        <w:t>ent</w:t>
      </w:r>
      <w:r>
        <w:rPr>
          <w:rFonts w:asciiTheme="minorHAnsi" w:hAnsiTheme="minorHAnsi" w:cstheme="minorHAnsi"/>
          <w:sz w:val="22"/>
          <w:szCs w:val="22"/>
        </w:rPr>
        <w:t xml:space="preserve"> en première position avec </w:t>
      </w:r>
      <w:r w:rsidR="00746069">
        <w:rPr>
          <w:rFonts w:asciiTheme="minorHAnsi" w:hAnsiTheme="minorHAnsi" w:cstheme="minorHAnsi"/>
          <w:sz w:val="22"/>
          <w:szCs w:val="22"/>
        </w:rPr>
        <w:t>34,14</w:t>
      </w:r>
      <w:r>
        <w:rPr>
          <w:rFonts w:asciiTheme="minorHAnsi" w:hAnsiTheme="minorHAnsi" w:cstheme="minorHAnsi"/>
          <w:sz w:val="22"/>
          <w:szCs w:val="22"/>
        </w:rPr>
        <w:t xml:space="preserve">% des engagements, pour </w:t>
      </w:r>
      <w:r w:rsidR="00746069">
        <w:rPr>
          <w:rFonts w:asciiTheme="minorHAnsi" w:hAnsiTheme="minorHAnsi" w:cstheme="minorHAnsi"/>
          <w:sz w:val="22"/>
          <w:szCs w:val="22"/>
        </w:rPr>
        <w:t>3</w:t>
      </w:r>
      <w:r>
        <w:rPr>
          <w:rFonts w:asciiTheme="minorHAnsi" w:hAnsiTheme="minorHAnsi" w:cstheme="minorHAnsi"/>
          <w:sz w:val="22"/>
          <w:szCs w:val="22"/>
        </w:rPr>
        <w:t xml:space="preserve"> projets se répartissant </w:t>
      </w:r>
      <w:r w:rsidR="00746069">
        <w:rPr>
          <w:rFonts w:asciiTheme="minorHAnsi" w:hAnsiTheme="minorHAnsi" w:cstheme="minorHAnsi"/>
          <w:sz w:val="22"/>
          <w:szCs w:val="22"/>
        </w:rPr>
        <w:t>11 977 442</w:t>
      </w:r>
      <w:r>
        <w:rPr>
          <w:rFonts w:asciiTheme="minorHAnsi" w:hAnsiTheme="minorHAnsi" w:cstheme="minorHAnsi"/>
          <w:sz w:val="22"/>
          <w:szCs w:val="22"/>
        </w:rPr>
        <w:t xml:space="preserve"> MRO.</w:t>
      </w:r>
    </w:p>
    <w:p w:rsidR="00A928E3" w:rsidRPr="0093300F" w:rsidRDefault="00A928E3" w:rsidP="00A928E3">
      <w:pPr>
        <w:jc w:val="both"/>
        <w:rPr>
          <w:rFonts w:asciiTheme="minorHAnsi" w:hAnsiTheme="minorHAnsi" w:cstheme="minorHAnsi"/>
          <w:sz w:val="22"/>
          <w:szCs w:val="22"/>
        </w:rPr>
      </w:pPr>
      <w:r>
        <w:rPr>
          <w:rFonts w:asciiTheme="minorHAnsi" w:hAnsiTheme="minorHAnsi" w:cstheme="minorHAnsi"/>
          <w:sz w:val="22"/>
          <w:szCs w:val="22"/>
        </w:rPr>
        <w:t>Ensuite, viennent en deuxième position le</w:t>
      </w:r>
      <w:r w:rsidR="00746069">
        <w:rPr>
          <w:rFonts w:asciiTheme="minorHAnsi" w:hAnsiTheme="minorHAnsi" w:cstheme="minorHAnsi"/>
          <w:sz w:val="22"/>
          <w:szCs w:val="22"/>
        </w:rPr>
        <w:t>s travaux d’entretien et de maintenance</w:t>
      </w:r>
      <w:r>
        <w:rPr>
          <w:rFonts w:asciiTheme="minorHAnsi" w:hAnsiTheme="minorHAnsi" w:cstheme="minorHAnsi"/>
          <w:sz w:val="22"/>
          <w:szCs w:val="22"/>
        </w:rPr>
        <w:t xml:space="preserve"> avec 2</w:t>
      </w:r>
      <w:r w:rsidR="00746069">
        <w:rPr>
          <w:rFonts w:asciiTheme="minorHAnsi" w:hAnsiTheme="minorHAnsi" w:cstheme="minorHAnsi"/>
          <w:sz w:val="22"/>
          <w:szCs w:val="22"/>
        </w:rPr>
        <w:t>0,71</w:t>
      </w:r>
      <w:r>
        <w:rPr>
          <w:rFonts w:asciiTheme="minorHAnsi" w:hAnsiTheme="minorHAnsi" w:cstheme="minorHAnsi"/>
          <w:sz w:val="22"/>
          <w:szCs w:val="22"/>
        </w:rPr>
        <w:t xml:space="preserve">% des engagements, soit </w:t>
      </w:r>
      <w:r w:rsidR="00746069">
        <w:rPr>
          <w:rFonts w:asciiTheme="minorHAnsi" w:hAnsiTheme="minorHAnsi" w:cstheme="minorHAnsi"/>
          <w:sz w:val="22"/>
          <w:szCs w:val="22"/>
        </w:rPr>
        <w:t>7 265 513 MRO pour 3</w:t>
      </w:r>
      <w:r>
        <w:rPr>
          <w:rFonts w:asciiTheme="minorHAnsi" w:hAnsiTheme="minorHAnsi" w:cstheme="minorHAnsi"/>
          <w:sz w:val="22"/>
          <w:szCs w:val="22"/>
        </w:rPr>
        <w:t xml:space="preserve"> projets.</w:t>
      </w:r>
      <w:r w:rsidR="00FC73D6">
        <w:rPr>
          <w:rFonts w:asciiTheme="minorHAnsi" w:hAnsiTheme="minorHAnsi" w:cstheme="minorHAnsi"/>
          <w:sz w:val="22"/>
          <w:szCs w:val="22"/>
        </w:rPr>
        <w:t xml:space="preserve"> Il faudra voir si ces travaux doivent bien être enregistrés en section d’investissement (à condition d’être du gros entretien ou de la rénovation permettant de prolonger la durée de v</w:t>
      </w:r>
      <w:r w:rsidR="003A1139">
        <w:rPr>
          <w:rFonts w:asciiTheme="minorHAnsi" w:hAnsiTheme="minorHAnsi" w:cstheme="minorHAnsi"/>
          <w:sz w:val="22"/>
          <w:szCs w:val="22"/>
        </w:rPr>
        <w:t>ie de l’équipement). La maintenance</w:t>
      </w:r>
      <w:r w:rsidR="00FC73D6">
        <w:rPr>
          <w:rFonts w:asciiTheme="minorHAnsi" w:hAnsiTheme="minorHAnsi" w:cstheme="minorHAnsi"/>
          <w:sz w:val="22"/>
          <w:szCs w:val="22"/>
        </w:rPr>
        <w:t xml:space="preserve">, selon les règles budgétaires et comptables, est </w:t>
      </w:r>
      <w:r w:rsidR="003A1139">
        <w:rPr>
          <w:rFonts w:asciiTheme="minorHAnsi" w:hAnsiTheme="minorHAnsi" w:cstheme="minorHAnsi"/>
          <w:sz w:val="22"/>
          <w:szCs w:val="22"/>
        </w:rPr>
        <w:t xml:space="preserve">bien </w:t>
      </w:r>
      <w:r w:rsidR="00FC73D6">
        <w:rPr>
          <w:rFonts w:asciiTheme="minorHAnsi" w:hAnsiTheme="minorHAnsi" w:cstheme="minorHAnsi"/>
          <w:sz w:val="22"/>
          <w:szCs w:val="22"/>
        </w:rPr>
        <w:t>une dépense de fonctionnement.</w:t>
      </w:r>
    </w:p>
    <w:p w:rsidR="00A928E3" w:rsidRDefault="00A928E3" w:rsidP="00A928E3">
      <w:pPr>
        <w:jc w:val="both"/>
        <w:rPr>
          <w:rFonts w:asciiTheme="minorHAnsi" w:hAnsiTheme="minorHAnsi" w:cstheme="minorHAnsi"/>
          <w:sz w:val="22"/>
          <w:szCs w:val="22"/>
        </w:rPr>
      </w:pPr>
      <w:r>
        <w:rPr>
          <w:rFonts w:asciiTheme="minorHAnsi" w:hAnsiTheme="minorHAnsi" w:cstheme="minorHAnsi"/>
          <w:sz w:val="22"/>
          <w:szCs w:val="22"/>
        </w:rPr>
        <w:t>En troisième posit</w:t>
      </w:r>
      <w:r w:rsidR="00746069">
        <w:rPr>
          <w:rFonts w:asciiTheme="minorHAnsi" w:hAnsiTheme="minorHAnsi" w:cstheme="minorHAnsi"/>
          <w:sz w:val="22"/>
          <w:szCs w:val="22"/>
        </w:rPr>
        <w:t>ion, les bâtiments communaux</w:t>
      </w:r>
      <w:r>
        <w:rPr>
          <w:rFonts w:asciiTheme="minorHAnsi" w:hAnsiTheme="minorHAnsi" w:cstheme="minorHAnsi"/>
          <w:sz w:val="22"/>
          <w:szCs w:val="22"/>
        </w:rPr>
        <w:t xml:space="preserve"> avec </w:t>
      </w:r>
      <w:r w:rsidR="00746069">
        <w:rPr>
          <w:rFonts w:asciiTheme="minorHAnsi" w:hAnsiTheme="minorHAnsi" w:cstheme="minorHAnsi"/>
          <w:sz w:val="22"/>
          <w:szCs w:val="22"/>
        </w:rPr>
        <w:t>17,35</w:t>
      </w:r>
      <w:r>
        <w:rPr>
          <w:rFonts w:asciiTheme="minorHAnsi" w:hAnsiTheme="minorHAnsi" w:cstheme="minorHAnsi"/>
          <w:sz w:val="22"/>
          <w:szCs w:val="22"/>
        </w:rPr>
        <w:t xml:space="preserve">% des engagements, soit </w:t>
      </w:r>
      <w:r w:rsidR="00746069">
        <w:rPr>
          <w:rFonts w:asciiTheme="minorHAnsi" w:hAnsiTheme="minorHAnsi" w:cstheme="minorHAnsi"/>
          <w:sz w:val="22"/>
          <w:szCs w:val="22"/>
        </w:rPr>
        <w:t>6 086 716</w:t>
      </w:r>
      <w:r>
        <w:rPr>
          <w:rFonts w:asciiTheme="minorHAnsi" w:hAnsiTheme="minorHAnsi" w:cstheme="minorHAnsi"/>
          <w:sz w:val="22"/>
          <w:szCs w:val="22"/>
        </w:rPr>
        <w:t xml:space="preserve"> MRO pour </w:t>
      </w:r>
      <w:r w:rsidR="004F58F3">
        <w:rPr>
          <w:rFonts w:asciiTheme="minorHAnsi" w:hAnsiTheme="minorHAnsi" w:cstheme="minorHAnsi"/>
          <w:sz w:val="22"/>
          <w:szCs w:val="22"/>
        </w:rPr>
        <w:t>un seul</w:t>
      </w:r>
      <w:r w:rsidR="00746069">
        <w:rPr>
          <w:rFonts w:asciiTheme="minorHAnsi" w:hAnsiTheme="minorHAnsi" w:cstheme="minorHAnsi"/>
          <w:sz w:val="22"/>
          <w:szCs w:val="22"/>
        </w:rPr>
        <w:t xml:space="preserve"> </w:t>
      </w:r>
      <w:r w:rsidR="004F58F3">
        <w:rPr>
          <w:rFonts w:asciiTheme="minorHAnsi" w:hAnsiTheme="minorHAnsi" w:cstheme="minorHAnsi"/>
          <w:sz w:val="22"/>
          <w:szCs w:val="22"/>
        </w:rPr>
        <w:t>projet</w:t>
      </w:r>
      <w:r>
        <w:rPr>
          <w:rFonts w:asciiTheme="minorHAnsi" w:hAnsiTheme="minorHAnsi" w:cstheme="minorHAnsi"/>
          <w:sz w:val="22"/>
          <w:szCs w:val="22"/>
        </w:rPr>
        <w:t>.</w:t>
      </w:r>
    </w:p>
    <w:p w:rsidR="00A27296" w:rsidRDefault="00A27296" w:rsidP="00A27296">
      <w:pPr>
        <w:jc w:val="both"/>
        <w:rPr>
          <w:rFonts w:asciiTheme="minorHAnsi" w:hAnsiTheme="minorHAnsi" w:cstheme="minorHAnsi"/>
          <w:sz w:val="22"/>
          <w:szCs w:val="22"/>
        </w:rPr>
      </w:pPr>
    </w:p>
    <w:p w:rsidR="00A27296" w:rsidRDefault="000041D8" w:rsidP="00A27296">
      <w:pPr>
        <w:jc w:val="both"/>
        <w:rPr>
          <w:rFonts w:asciiTheme="minorHAnsi" w:hAnsiTheme="minorHAnsi" w:cstheme="minorHAnsi"/>
          <w:sz w:val="22"/>
          <w:szCs w:val="22"/>
        </w:rPr>
      </w:pPr>
      <w:r w:rsidRPr="000041D8">
        <w:rPr>
          <w:noProof/>
        </w:rPr>
        <w:drawing>
          <wp:inline distT="0" distB="0" distL="0" distR="0">
            <wp:extent cx="6505575" cy="2362200"/>
            <wp:effectExtent l="19050" t="0" r="9525" b="0"/>
            <wp:docPr id="322"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3" cstate="print"/>
                    <a:stretch>
                      <a:fillRect/>
                    </a:stretch>
                  </pic:blipFill>
                  <pic:spPr>
                    <a:xfrm>
                      <a:off x="0" y="0"/>
                      <a:ext cx="6504763" cy="2361905"/>
                    </a:xfrm>
                    <a:prstGeom prst="rect">
                      <a:avLst/>
                    </a:prstGeom>
                  </pic:spPr>
                </pic:pic>
              </a:graphicData>
            </a:graphic>
          </wp:inline>
        </w:drawing>
      </w:r>
    </w:p>
    <w:p w:rsidR="00A27296" w:rsidRDefault="00A27296" w:rsidP="00A27296">
      <w:pPr>
        <w:jc w:val="both"/>
        <w:rPr>
          <w:rFonts w:asciiTheme="minorHAnsi" w:hAnsiTheme="minorHAnsi" w:cstheme="minorHAnsi"/>
          <w:sz w:val="22"/>
          <w:szCs w:val="22"/>
        </w:rPr>
      </w:pPr>
    </w:p>
    <w:p w:rsidR="004F58F3" w:rsidRDefault="004F58F3" w:rsidP="00A27296">
      <w:pPr>
        <w:jc w:val="both"/>
        <w:rPr>
          <w:rFonts w:asciiTheme="minorHAnsi" w:hAnsiTheme="minorHAnsi" w:cstheme="minorHAnsi"/>
          <w:sz w:val="22"/>
          <w:szCs w:val="22"/>
        </w:rPr>
      </w:pPr>
    </w:p>
    <w:p w:rsidR="00A27296" w:rsidRPr="004F58F3" w:rsidRDefault="00A27296" w:rsidP="004F58F3">
      <w:pPr>
        <w:jc w:val="both"/>
        <w:rPr>
          <w:rFonts w:asciiTheme="minorHAnsi" w:hAnsiTheme="minorHAnsi" w:cstheme="minorHAnsi"/>
          <w:b/>
          <w:sz w:val="22"/>
          <w:szCs w:val="22"/>
          <w:u w:val="single"/>
        </w:rPr>
      </w:pPr>
      <w:r w:rsidRPr="004F58F3">
        <w:rPr>
          <w:rFonts w:asciiTheme="minorHAnsi" w:hAnsiTheme="minorHAnsi" w:cstheme="minorHAnsi"/>
          <w:b/>
          <w:sz w:val="22"/>
          <w:szCs w:val="22"/>
          <w:u w:val="single"/>
        </w:rPr>
        <w:t xml:space="preserve">Analyse des données par </w:t>
      </w:r>
      <w:proofErr w:type="spellStart"/>
      <w:r w:rsidR="001246CD">
        <w:rPr>
          <w:rFonts w:asciiTheme="minorHAnsi" w:hAnsiTheme="minorHAnsi" w:cstheme="minorHAnsi"/>
          <w:b/>
          <w:sz w:val="22"/>
          <w:szCs w:val="22"/>
          <w:u w:val="single"/>
        </w:rPr>
        <w:t>Moughataa</w:t>
      </w:r>
      <w:proofErr w:type="spellEnd"/>
    </w:p>
    <w:p w:rsidR="004F58F3" w:rsidRPr="00031B94" w:rsidRDefault="004F58F3" w:rsidP="00A27296">
      <w:pPr>
        <w:pStyle w:val="Paragraphedeliste"/>
        <w:jc w:val="both"/>
        <w:rPr>
          <w:rFonts w:asciiTheme="minorHAnsi" w:hAnsiTheme="minorHAnsi" w:cstheme="minorHAnsi"/>
          <w:b/>
          <w:sz w:val="22"/>
          <w:szCs w:val="22"/>
        </w:rPr>
      </w:pPr>
    </w:p>
    <w:p w:rsidR="00A27296" w:rsidRPr="00031B94" w:rsidRDefault="001246CD" w:rsidP="00A27296">
      <w:pPr>
        <w:jc w:val="center"/>
        <w:rPr>
          <w:rFonts w:asciiTheme="minorHAnsi" w:hAnsiTheme="minorHAnsi" w:cstheme="minorHAnsi"/>
          <w:sz w:val="22"/>
          <w:szCs w:val="22"/>
          <w:u w:val="single"/>
        </w:rPr>
      </w:pPr>
      <w:proofErr w:type="spellStart"/>
      <w:r>
        <w:rPr>
          <w:rFonts w:asciiTheme="minorHAnsi" w:hAnsiTheme="minorHAnsi" w:cstheme="minorHAnsi"/>
          <w:b/>
          <w:sz w:val="22"/>
          <w:szCs w:val="22"/>
          <w:u w:val="single"/>
        </w:rPr>
        <w:t>Moughataa</w:t>
      </w:r>
      <w:proofErr w:type="spellEnd"/>
      <w:r w:rsidR="00A27296" w:rsidRPr="00031B94">
        <w:rPr>
          <w:rFonts w:asciiTheme="minorHAnsi" w:hAnsiTheme="minorHAnsi" w:cstheme="minorHAnsi"/>
          <w:b/>
          <w:sz w:val="22"/>
          <w:szCs w:val="22"/>
          <w:u w:val="single"/>
        </w:rPr>
        <w:t xml:space="preserve"> de </w:t>
      </w:r>
      <w:proofErr w:type="spellStart"/>
      <w:r w:rsidR="00A27296" w:rsidRPr="00031B94">
        <w:rPr>
          <w:rFonts w:asciiTheme="minorHAnsi" w:hAnsiTheme="minorHAnsi" w:cstheme="minorHAnsi"/>
          <w:b/>
          <w:sz w:val="22"/>
          <w:szCs w:val="22"/>
          <w:u w:val="single"/>
        </w:rPr>
        <w:t>Zoueratt</w:t>
      </w:r>
      <w:proofErr w:type="spellEnd"/>
    </w:p>
    <w:p w:rsidR="00A27296" w:rsidRPr="00031B94" w:rsidRDefault="00A27296" w:rsidP="00A27296">
      <w:pPr>
        <w:jc w:val="both"/>
        <w:rPr>
          <w:rFonts w:asciiTheme="minorHAnsi" w:hAnsiTheme="minorHAnsi" w:cstheme="minorHAnsi"/>
          <w:sz w:val="22"/>
          <w:szCs w:val="22"/>
        </w:rPr>
      </w:pPr>
    </w:p>
    <w:p w:rsidR="00A27296" w:rsidRPr="00031B94" w:rsidRDefault="00A27296" w:rsidP="00A27296">
      <w:pPr>
        <w:jc w:val="both"/>
        <w:rPr>
          <w:rFonts w:asciiTheme="minorHAnsi" w:hAnsiTheme="minorHAnsi" w:cstheme="minorHAnsi"/>
          <w:sz w:val="22"/>
          <w:szCs w:val="22"/>
        </w:rPr>
      </w:pPr>
      <w:r w:rsidRPr="00031B94">
        <w:rPr>
          <w:rFonts w:asciiTheme="minorHAnsi" w:hAnsiTheme="minorHAnsi" w:cstheme="minorHAnsi"/>
          <w:sz w:val="22"/>
          <w:szCs w:val="22"/>
        </w:rPr>
        <w:t xml:space="preserve">Les communes de la </w:t>
      </w:r>
      <w:proofErr w:type="spellStart"/>
      <w:r w:rsidR="001246CD">
        <w:rPr>
          <w:rFonts w:asciiTheme="minorHAnsi" w:hAnsiTheme="minorHAnsi" w:cstheme="minorHAnsi"/>
          <w:sz w:val="22"/>
          <w:szCs w:val="22"/>
        </w:rPr>
        <w:t>Moughataa</w:t>
      </w:r>
      <w:proofErr w:type="spellEnd"/>
      <w:r w:rsidRPr="00031B94">
        <w:rPr>
          <w:rFonts w:asciiTheme="minorHAnsi" w:hAnsiTheme="minorHAnsi" w:cstheme="minorHAnsi"/>
          <w:sz w:val="22"/>
          <w:szCs w:val="22"/>
        </w:rPr>
        <w:t xml:space="preserve"> de </w:t>
      </w:r>
      <w:proofErr w:type="spellStart"/>
      <w:r w:rsidRPr="00031B94">
        <w:rPr>
          <w:rFonts w:asciiTheme="minorHAnsi" w:hAnsiTheme="minorHAnsi" w:cstheme="minorHAnsi"/>
          <w:sz w:val="22"/>
          <w:szCs w:val="22"/>
        </w:rPr>
        <w:t>Zoue</w:t>
      </w:r>
      <w:r w:rsidR="00FC73D6">
        <w:rPr>
          <w:rFonts w:asciiTheme="minorHAnsi" w:hAnsiTheme="minorHAnsi" w:cstheme="minorHAnsi"/>
          <w:sz w:val="22"/>
          <w:szCs w:val="22"/>
        </w:rPr>
        <w:t>ratt</w:t>
      </w:r>
      <w:proofErr w:type="spellEnd"/>
      <w:r w:rsidR="00FC73D6">
        <w:rPr>
          <w:rFonts w:asciiTheme="minorHAnsi" w:hAnsiTheme="minorHAnsi" w:cstheme="minorHAnsi"/>
          <w:sz w:val="22"/>
          <w:szCs w:val="22"/>
        </w:rPr>
        <w:t xml:space="preserve"> ont bénéficié </w:t>
      </w:r>
      <w:r w:rsidR="004F58F3">
        <w:rPr>
          <w:rFonts w:asciiTheme="minorHAnsi" w:hAnsiTheme="minorHAnsi" w:cstheme="minorHAnsi"/>
          <w:sz w:val="22"/>
          <w:szCs w:val="22"/>
        </w:rPr>
        <w:t>d’un FRD 2012</w:t>
      </w:r>
      <w:r w:rsidR="00FC73D6">
        <w:rPr>
          <w:rFonts w:asciiTheme="minorHAnsi" w:hAnsiTheme="minorHAnsi" w:cstheme="minorHAnsi"/>
          <w:sz w:val="22"/>
          <w:szCs w:val="22"/>
        </w:rPr>
        <w:t xml:space="preserve"> pour l’équipement de 27 971 803 MRO (+16,67 % par rapport à 2011</w:t>
      </w:r>
      <w:r w:rsidRPr="00031B94">
        <w:rPr>
          <w:rFonts w:asciiTheme="minorHAnsi" w:hAnsiTheme="minorHAnsi" w:cstheme="minorHAnsi"/>
          <w:sz w:val="22"/>
          <w:szCs w:val="22"/>
        </w:rPr>
        <w:t xml:space="preserve">). </w:t>
      </w:r>
    </w:p>
    <w:p w:rsidR="00A27296" w:rsidRDefault="00D801E9" w:rsidP="00A27296">
      <w:pPr>
        <w:jc w:val="both"/>
        <w:rPr>
          <w:rFonts w:asciiTheme="minorHAnsi" w:hAnsiTheme="minorHAnsi" w:cstheme="minorHAnsi"/>
          <w:sz w:val="22"/>
          <w:szCs w:val="22"/>
        </w:rPr>
      </w:pPr>
      <w:r w:rsidRPr="00D801E9">
        <w:rPr>
          <w:noProof/>
        </w:rPr>
        <w:drawing>
          <wp:inline distT="0" distB="0" distL="0" distR="0">
            <wp:extent cx="3295650" cy="3362325"/>
            <wp:effectExtent l="19050" t="0" r="0" b="0"/>
            <wp:docPr id="342"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4" cstate="print"/>
                    <a:stretch>
                      <a:fillRect/>
                    </a:stretch>
                  </pic:blipFill>
                  <pic:spPr>
                    <a:xfrm>
                      <a:off x="0" y="0"/>
                      <a:ext cx="3295238" cy="3361905"/>
                    </a:xfrm>
                    <a:prstGeom prst="rect">
                      <a:avLst/>
                    </a:prstGeom>
                  </pic:spPr>
                </pic:pic>
              </a:graphicData>
            </a:graphic>
          </wp:inline>
        </w:drawing>
      </w:r>
      <w:r w:rsidR="00805D38" w:rsidRPr="00805D38">
        <w:rPr>
          <w:rFonts w:asciiTheme="minorHAnsi" w:hAnsiTheme="minorHAnsi" w:cstheme="minorHAnsi"/>
          <w:noProof/>
          <w:sz w:val="22"/>
          <w:szCs w:val="22"/>
        </w:rPr>
        <w:drawing>
          <wp:inline distT="0" distB="0" distL="0" distR="0">
            <wp:extent cx="3295650" cy="3362325"/>
            <wp:effectExtent l="19050" t="0" r="0" b="0"/>
            <wp:docPr id="526"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5" cstate="print"/>
                    <a:stretch>
                      <a:fillRect/>
                    </a:stretch>
                  </pic:blipFill>
                  <pic:spPr>
                    <a:xfrm>
                      <a:off x="0" y="0"/>
                      <a:ext cx="3295239" cy="3361906"/>
                    </a:xfrm>
                    <a:prstGeom prst="rect">
                      <a:avLst/>
                    </a:prstGeom>
                  </pic:spPr>
                </pic:pic>
              </a:graphicData>
            </a:graphic>
          </wp:inline>
        </w:drawing>
      </w:r>
    </w:p>
    <w:p w:rsidR="00082F34" w:rsidRPr="00031B94" w:rsidRDefault="00082F34" w:rsidP="00A27296">
      <w:pPr>
        <w:jc w:val="both"/>
        <w:rPr>
          <w:rFonts w:asciiTheme="minorHAnsi" w:hAnsiTheme="minorHAnsi" w:cstheme="minorHAnsi"/>
          <w:sz w:val="22"/>
          <w:szCs w:val="22"/>
        </w:rPr>
      </w:pPr>
    </w:p>
    <w:p w:rsidR="00A27296" w:rsidRPr="00031B94" w:rsidRDefault="00805D38" w:rsidP="00A27296">
      <w:pPr>
        <w:jc w:val="both"/>
        <w:rPr>
          <w:rFonts w:asciiTheme="minorHAnsi" w:hAnsiTheme="minorHAnsi" w:cstheme="minorHAnsi"/>
          <w:sz w:val="22"/>
          <w:szCs w:val="22"/>
        </w:rPr>
      </w:pPr>
      <w:r w:rsidRPr="00805D38">
        <w:rPr>
          <w:rFonts w:asciiTheme="minorHAnsi" w:hAnsiTheme="minorHAnsi" w:cstheme="minorHAnsi"/>
          <w:noProof/>
          <w:sz w:val="22"/>
          <w:szCs w:val="22"/>
        </w:rPr>
        <w:drawing>
          <wp:inline distT="0" distB="0" distL="0" distR="0">
            <wp:extent cx="6657975" cy="3152775"/>
            <wp:effectExtent l="19050" t="0" r="0" b="0"/>
            <wp:docPr id="527"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6" cstate="print"/>
                    <a:stretch>
                      <a:fillRect/>
                    </a:stretch>
                  </pic:blipFill>
                  <pic:spPr>
                    <a:xfrm>
                      <a:off x="0" y="0"/>
                      <a:ext cx="6657144" cy="3152382"/>
                    </a:xfrm>
                    <a:prstGeom prst="rect">
                      <a:avLst/>
                    </a:prstGeom>
                  </pic:spPr>
                </pic:pic>
              </a:graphicData>
            </a:graphic>
          </wp:inline>
        </w:drawing>
      </w:r>
    </w:p>
    <w:p w:rsidR="00A27296" w:rsidRDefault="00A27296" w:rsidP="00A27296">
      <w:pPr>
        <w:jc w:val="both"/>
        <w:rPr>
          <w:rFonts w:asciiTheme="minorHAnsi" w:hAnsiTheme="minorHAnsi" w:cstheme="minorHAnsi"/>
          <w:sz w:val="22"/>
          <w:szCs w:val="22"/>
        </w:rPr>
      </w:pPr>
    </w:p>
    <w:p w:rsidR="00A27296" w:rsidRPr="00031B94" w:rsidRDefault="00E033BD" w:rsidP="00A27296">
      <w:pPr>
        <w:jc w:val="both"/>
        <w:rPr>
          <w:rFonts w:asciiTheme="minorHAnsi" w:hAnsiTheme="minorHAnsi" w:cstheme="minorHAnsi"/>
          <w:sz w:val="22"/>
          <w:szCs w:val="22"/>
        </w:rPr>
      </w:pPr>
      <w:r>
        <w:rPr>
          <w:rFonts w:asciiTheme="minorHAnsi" w:hAnsiTheme="minorHAnsi" w:cstheme="minorHAnsi"/>
          <w:sz w:val="22"/>
          <w:szCs w:val="22"/>
        </w:rPr>
        <w:t xml:space="preserve">Elles ont engagé 28 464 158 </w:t>
      </w:r>
      <w:r w:rsidR="00A27296" w:rsidRPr="00031B94">
        <w:rPr>
          <w:rFonts w:asciiTheme="minorHAnsi" w:hAnsiTheme="minorHAnsi" w:cstheme="minorHAnsi"/>
          <w:sz w:val="22"/>
          <w:szCs w:val="22"/>
        </w:rPr>
        <w:t xml:space="preserve">MRO pour la réalisation de </w:t>
      </w:r>
      <w:r>
        <w:rPr>
          <w:rFonts w:asciiTheme="minorHAnsi" w:hAnsiTheme="minorHAnsi" w:cstheme="minorHAnsi"/>
          <w:b/>
          <w:sz w:val="22"/>
          <w:szCs w:val="22"/>
        </w:rPr>
        <w:t>5</w:t>
      </w:r>
      <w:r w:rsidR="00A27296" w:rsidRPr="00473AF2">
        <w:rPr>
          <w:rFonts w:asciiTheme="minorHAnsi" w:hAnsiTheme="minorHAnsi" w:cstheme="minorHAnsi"/>
          <w:b/>
          <w:sz w:val="22"/>
          <w:szCs w:val="22"/>
        </w:rPr>
        <w:t xml:space="preserve"> projets</w:t>
      </w:r>
      <w:r w:rsidR="00A27296" w:rsidRPr="00031B94">
        <w:rPr>
          <w:rFonts w:asciiTheme="minorHAnsi" w:hAnsiTheme="minorHAnsi" w:cstheme="minorHAnsi"/>
          <w:sz w:val="22"/>
          <w:szCs w:val="22"/>
        </w:rPr>
        <w:t xml:space="preserve">, soit un </w:t>
      </w:r>
      <w:r w:rsidR="00A27296" w:rsidRPr="00031B94">
        <w:rPr>
          <w:rFonts w:asciiTheme="minorHAnsi" w:hAnsiTheme="minorHAnsi" w:cstheme="minorHAnsi"/>
          <w:b/>
          <w:sz w:val="22"/>
          <w:szCs w:val="22"/>
        </w:rPr>
        <w:t>taux d’abso</w:t>
      </w:r>
      <w:r>
        <w:rPr>
          <w:rFonts w:asciiTheme="minorHAnsi" w:hAnsiTheme="minorHAnsi" w:cstheme="minorHAnsi"/>
          <w:b/>
          <w:sz w:val="22"/>
          <w:szCs w:val="22"/>
        </w:rPr>
        <w:t>rption de 101,76</w:t>
      </w:r>
      <w:r w:rsidR="00A27296" w:rsidRPr="00031B94">
        <w:rPr>
          <w:rFonts w:asciiTheme="minorHAnsi" w:hAnsiTheme="minorHAnsi" w:cstheme="minorHAnsi"/>
          <w:b/>
          <w:sz w:val="22"/>
          <w:szCs w:val="22"/>
        </w:rPr>
        <w:t>%.</w:t>
      </w:r>
    </w:p>
    <w:p w:rsidR="00A27296" w:rsidRPr="00031B94" w:rsidRDefault="00E033BD" w:rsidP="00A27296">
      <w:pPr>
        <w:jc w:val="both"/>
        <w:rPr>
          <w:rFonts w:asciiTheme="minorHAnsi" w:hAnsiTheme="minorHAnsi" w:cstheme="minorHAnsi"/>
          <w:sz w:val="22"/>
          <w:szCs w:val="22"/>
        </w:rPr>
      </w:pPr>
      <w:r>
        <w:rPr>
          <w:rFonts w:asciiTheme="minorHAnsi" w:hAnsiTheme="minorHAnsi" w:cstheme="minorHAnsi"/>
          <w:sz w:val="22"/>
          <w:szCs w:val="22"/>
        </w:rPr>
        <w:t>Un taux en forte progression</w:t>
      </w:r>
      <w:r w:rsidR="00A27296" w:rsidRPr="00031B94">
        <w:rPr>
          <w:rFonts w:asciiTheme="minorHAnsi" w:hAnsiTheme="minorHAnsi" w:cstheme="minorHAnsi"/>
          <w:sz w:val="22"/>
          <w:szCs w:val="22"/>
        </w:rPr>
        <w:t xml:space="preserve"> par rapport à celui de l’exercice précédent </w:t>
      </w:r>
      <w:r w:rsidR="00FB0A4E">
        <w:rPr>
          <w:rFonts w:asciiTheme="minorHAnsi" w:hAnsiTheme="minorHAnsi" w:cstheme="minorHAnsi"/>
          <w:sz w:val="22"/>
          <w:szCs w:val="22"/>
        </w:rPr>
        <w:t>(63,77%) et supérieur</w:t>
      </w:r>
      <w:r>
        <w:rPr>
          <w:rFonts w:asciiTheme="minorHAnsi" w:hAnsiTheme="minorHAnsi" w:cstheme="minorHAnsi"/>
          <w:sz w:val="22"/>
          <w:szCs w:val="22"/>
        </w:rPr>
        <w:t xml:space="preserve"> de plus de 8 points à la moyenne nationale</w:t>
      </w:r>
      <w:r w:rsidR="00A27296" w:rsidRPr="00031B94">
        <w:rPr>
          <w:rFonts w:asciiTheme="minorHAnsi" w:hAnsiTheme="minorHAnsi" w:cstheme="minorHAnsi"/>
          <w:sz w:val="22"/>
          <w:szCs w:val="22"/>
        </w:rPr>
        <w:t xml:space="preserve">. La </w:t>
      </w:r>
      <w:proofErr w:type="spellStart"/>
      <w:r w:rsidR="001246CD">
        <w:rPr>
          <w:rFonts w:asciiTheme="minorHAnsi" w:hAnsiTheme="minorHAnsi" w:cstheme="minorHAnsi"/>
          <w:sz w:val="22"/>
          <w:szCs w:val="22"/>
        </w:rPr>
        <w:t>Moughataa</w:t>
      </w:r>
      <w:proofErr w:type="spellEnd"/>
      <w:r w:rsidR="00A27296" w:rsidRPr="00031B94">
        <w:rPr>
          <w:rFonts w:asciiTheme="minorHAnsi" w:hAnsiTheme="minorHAnsi" w:cstheme="minorHAnsi"/>
          <w:sz w:val="22"/>
          <w:szCs w:val="22"/>
        </w:rPr>
        <w:t xml:space="preserve"> de </w:t>
      </w:r>
      <w:proofErr w:type="spellStart"/>
      <w:r w:rsidR="00A27296" w:rsidRPr="00031B94">
        <w:rPr>
          <w:rFonts w:asciiTheme="minorHAnsi" w:hAnsiTheme="minorHAnsi" w:cstheme="minorHAnsi"/>
          <w:sz w:val="22"/>
          <w:szCs w:val="22"/>
        </w:rPr>
        <w:t>Zoueratt</w:t>
      </w:r>
      <w:proofErr w:type="spellEnd"/>
      <w:r w:rsidR="00A27296" w:rsidRPr="00031B94">
        <w:rPr>
          <w:rFonts w:asciiTheme="minorHAnsi" w:hAnsiTheme="minorHAnsi" w:cstheme="minorHAnsi"/>
          <w:sz w:val="22"/>
          <w:szCs w:val="22"/>
        </w:rPr>
        <w:t xml:space="preserve"> représentant plus de 80 % des capacités d’investissement de la </w:t>
      </w:r>
      <w:r w:rsidR="001246CD">
        <w:rPr>
          <w:rFonts w:asciiTheme="minorHAnsi" w:hAnsiTheme="minorHAnsi" w:cstheme="minorHAnsi"/>
          <w:sz w:val="22"/>
          <w:szCs w:val="22"/>
        </w:rPr>
        <w:t>Wilaya</w:t>
      </w:r>
      <w:r w:rsidR="00A27296" w:rsidRPr="00031B94">
        <w:rPr>
          <w:rFonts w:asciiTheme="minorHAnsi" w:hAnsiTheme="minorHAnsi" w:cstheme="minorHAnsi"/>
          <w:sz w:val="22"/>
          <w:szCs w:val="22"/>
        </w:rPr>
        <w:t xml:space="preserve">, ce taux d’absorption influe donc fortement sur le taux régional. </w:t>
      </w:r>
      <w:r>
        <w:rPr>
          <w:rFonts w:asciiTheme="minorHAnsi" w:hAnsiTheme="minorHAnsi" w:cstheme="minorHAnsi"/>
          <w:sz w:val="22"/>
          <w:szCs w:val="22"/>
        </w:rPr>
        <w:t>Comme indiqué supra, il atteste en effet d’</w:t>
      </w:r>
      <w:r w:rsidR="00A27296" w:rsidRPr="00031B94">
        <w:rPr>
          <w:rFonts w:asciiTheme="minorHAnsi" w:hAnsiTheme="minorHAnsi" w:cstheme="minorHAnsi"/>
          <w:sz w:val="22"/>
          <w:szCs w:val="22"/>
        </w:rPr>
        <w:t xml:space="preserve">une volonté de faire des « économies » afin de réaliser un investissement plus important sur l’exercice suivant. </w:t>
      </w:r>
    </w:p>
    <w:p w:rsidR="00A27296" w:rsidRPr="00031B94" w:rsidRDefault="00A27296" w:rsidP="00A27296">
      <w:pPr>
        <w:jc w:val="both"/>
        <w:rPr>
          <w:rFonts w:asciiTheme="minorHAnsi" w:hAnsiTheme="minorHAnsi" w:cstheme="minorHAnsi"/>
          <w:b/>
          <w:sz w:val="22"/>
          <w:szCs w:val="22"/>
        </w:rPr>
      </w:pPr>
      <w:r w:rsidRPr="00031B94">
        <w:rPr>
          <w:rFonts w:asciiTheme="minorHAnsi" w:hAnsiTheme="minorHAnsi" w:cstheme="minorHAnsi"/>
          <w:sz w:val="22"/>
          <w:szCs w:val="22"/>
        </w:rPr>
        <w:t>Cela est globalement confirmé</w:t>
      </w:r>
      <w:r w:rsidR="00E033BD">
        <w:rPr>
          <w:rFonts w:asciiTheme="minorHAnsi" w:hAnsiTheme="minorHAnsi" w:cstheme="minorHAnsi"/>
          <w:sz w:val="22"/>
          <w:szCs w:val="22"/>
        </w:rPr>
        <w:t>, comme pour l’exer</w:t>
      </w:r>
      <w:r w:rsidR="00063F2D">
        <w:rPr>
          <w:rFonts w:asciiTheme="minorHAnsi" w:hAnsiTheme="minorHAnsi" w:cstheme="minorHAnsi"/>
          <w:sz w:val="22"/>
          <w:szCs w:val="22"/>
        </w:rPr>
        <w:t>c</w:t>
      </w:r>
      <w:r w:rsidR="00E033BD">
        <w:rPr>
          <w:rFonts w:asciiTheme="minorHAnsi" w:hAnsiTheme="minorHAnsi" w:cstheme="minorHAnsi"/>
          <w:sz w:val="22"/>
          <w:szCs w:val="22"/>
        </w:rPr>
        <w:t>ice précédent,</w:t>
      </w:r>
      <w:r w:rsidRPr="00031B94">
        <w:rPr>
          <w:rFonts w:asciiTheme="minorHAnsi" w:hAnsiTheme="minorHAnsi" w:cstheme="minorHAnsi"/>
          <w:sz w:val="22"/>
          <w:szCs w:val="22"/>
        </w:rPr>
        <w:t xml:space="preserve"> par le montant moyen de l’investissement qui se maint</w:t>
      </w:r>
      <w:r w:rsidR="00E033BD">
        <w:rPr>
          <w:rFonts w:asciiTheme="minorHAnsi" w:hAnsiTheme="minorHAnsi" w:cstheme="minorHAnsi"/>
          <w:sz w:val="22"/>
          <w:szCs w:val="22"/>
        </w:rPr>
        <w:t xml:space="preserve">ient </w:t>
      </w:r>
      <w:r w:rsidRPr="00031B94">
        <w:rPr>
          <w:rFonts w:asciiTheme="minorHAnsi" w:hAnsiTheme="minorHAnsi" w:cstheme="minorHAnsi"/>
          <w:sz w:val="22"/>
          <w:szCs w:val="22"/>
        </w:rPr>
        <w:t xml:space="preserve">à </w:t>
      </w:r>
      <w:r w:rsidR="00E033BD">
        <w:rPr>
          <w:rFonts w:asciiTheme="minorHAnsi" w:hAnsiTheme="minorHAnsi" w:cstheme="minorHAnsi"/>
          <w:sz w:val="22"/>
          <w:szCs w:val="22"/>
        </w:rPr>
        <w:t>un niveau très élevé</w:t>
      </w:r>
      <w:r w:rsidR="00063F2D">
        <w:rPr>
          <w:rFonts w:asciiTheme="minorHAnsi" w:hAnsiTheme="minorHAnsi" w:cstheme="minorHAnsi"/>
          <w:sz w:val="22"/>
          <w:szCs w:val="22"/>
        </w:rPr>
        <w:t xml:space="preserve"> (3 822 500 MRO en 2011 et 5 692 832 MRO en 2012)</w:t>
      </w:r>
      <w:r w:rsidR="00E033BD" w:rsidRPr="00063F2D">
        <w:rPr>
          <w:rFonts w:asciiTheme="minorHAnsi" w:hAnsiTheme="minorHAnsi" w:cstheme="minorHAnsi"/>
          <w:b/>
          <w:sz w:val="22"/>
          <w:szCs w:val="22"/>
        </w:rPr>
        <w:t>. Il est 4,57</w:t>
      </w:r>
      <w:r w:rsidRPr="00063F2D">
        <w:rPr>
          <w:rFonts w:asciiTheme="minorHAnsi" w:hAnsiTheme="minorHAnsi" w:cstheme="minorHAnsi"/>
          <w:b/>
          <w:sz w:val="22"/>
          <w:szCs w:val="22"/>
        </w:rPr>
        <w:t xml:space="preserve"> fois plus élevé que le montant moyen par </w:t>
      </w:r>
      <w:r w:rsidR="00FB0A4E">
        <w:rPr>
          <w:rFonts w:asciiTheme="minorHAnsi" w:hAnsiTheme="minorHAnsi" w:cstheme="minorHAnsi"/>
          <w:b/>
          <w:sz w:val="22"/>
          <w:szCs w:val="22"/>
        </w:rPr>
        <w:t>projet d’</w:t>
      </w:r>
      <w:r w:rsidRPr="00063F2D">
        <w:rPr>
          <w:rFonts w:asciiTheme="minorHAnsi" w:hAnsiTheme="minorHAnsi" w:cstheme="minorHAnsi"/>
          <w:b/>
          <w:sz w:val="22"/>
          <w:szCs w:val="22"/>
        </w:rPr>
        <w:t>invest</w:t>
      </w:r>
      <w:r w:rsidR="00E033BD" w:rsidRPr="00063F2D">
        <w:rPr>
          <w:rFonts w:asciiTheme="minorHAnsi" w:hAnsiTheme="minorHAnsi" w:cstheme="minorHAnsi"/>
          <w:b/>
          <w:sz w:val="22"/>
          <w:szCs w:val="22"/>
        </w:rPr>
        <w:t>issement</w:t>
      </w:r>
      <w:r w:rsidRPr="00063F2D">
        <w:rPr>
          <w:rFonts w:asciiTheme="minorHAnsi" w:hAnsiTheme="minorHAnsi" w:cstheme="minorHAnsi"/>
          <w:b/>
          <w:sz w:val="22"/>
          <w:szCs w:val="22"/>
        </w:rPr>
        <w:t xml:space="preserve"> au niveau national</w:t>
      </w:r>
      <w:r w:rsidR="00063F2D">
        <w:rPr>
          <w:rFonts w:asciiTheme="minorHAnsi" w:hAnsiTheme="minorHAnsi" w:cstheme="minorHAnsi"/>
          <w:sz w:val="22"/>
          <w:szCs w:val="22"/>
        </w:rPr>
        <w:t xml:space="preserve">. Il s’agit donc d’un taux </w:t>
      </w:r>
      <w:r w:rsidRPr="00031B94">
        <w:rPr>
          <w:rFonts w:asciiTheme="minorHAnsi" w:hAnsiTheme="minorHAnsi" w:cstheme="minorHAnsi"/>
          <w:sz w:val="22"/>
          <w:szCs w:val="22"/>
        </w:rPr>
        <w:t>significatif d’une volonté localement affirmé</w:t>
      </w:r>
      <w:r w:rsidR="00063F2D">
        <w:rPr>
          <w:rFonts w:asciiTheme="minorHAnsi" w:hAnsiTheme="minorHAnsi" w:cstheme="minorHAnsi"/>
          <w:sz w:val="22"/>
          <w:szCs w:val="22"/>
        </w:rPr>
        <w:t>e</w:t>
      </w:r>
      <w:r w:rsidRPr="00031B94">
        <w:rPr>
          <w:rFonts w:asciiTheme="minorHAnsi" w:hAnsiTheme="minorHAnsi" w:cstheme="minorHAnsi"/>
          <w:sz w:val="22"/>
          <w:szCs w:val="22"/>
        </w:rPr>
        <w:t xml:space="preserve"> de privilégie</w:t>
      </w:r>
      <w:r w:rsidR="00063F2D">
        <w:rPr>
          <w:rFonts w:asciiTheme="minorHAnsi" w:hAnsiTheme="minorHAnsi" w:cstheme="minorHAnsi"/>
          <w:sz w:val="22"/>
          <w:szCs w:val="22"/>
        </w:rPr>
        <w:t>r</w:t>
      </w:r>
      <w:r w:rsidRPr="00031B94">
        <w:rPr>
          <w:rFonts w:asciiTheme="minorHAnsi" w:hAnsiTheme="minorHAnsi" w:cstheme="minorHAnsi"/>
          <w:sz w:val="22"/>
          <w:szCs w:val="22"/>
        </w:rPr>
        <w:t xml:space="preserve"> les projets d’une certaine ampleur, plutôt que de procéder à un saupoudrage de l’investissement.</w:t>
      </w:r>
    </w:p>
    <w:p w:rsidR="00063F2D" w:rsidRDefault="00063F2D" w:rsidP="00063F2D">
      <w:pPr>
        <w:jc w:val="both"/>
        <w:rPr>
          <w:rFonts w:asciiTheme="minorHAnsi" w:hAnsiTheme="minorHAnsi" w:cstheme="minorHAnsi"/>
          <w:sz w:val="22"/>
          <w:szCs w:val="22"/>
        </w:rPr>
      </w:pPr>
    </w:p>
    <w:p w:rsidR="00063F2D" w:rsidRDefault="00063F2D" w:rsidP="00063F2D">
      <w:pPr>
        <w:jc w:val="both"/>
        <w:rPr>
          <w:rFonts w:asciiTheme="minorHAnsi" w:hAnsiTheme="minorHAnsi" w:cstheme="minorHAnsi"/>
          <w:sz w:val="22"/>
          <w:szCs w:val="22"/>
        </w:rPr>
      </w:pPr>
      <w:r>
        <w:rPr>
          <w:rFonts w:asciiTheme="minorHAnsi" w:hAnsiTheme="minorHAnsi" w:cstheme="minorHAnsi"/>
          <w:sz w:val="22"/>
          <w:szCs w:val="22"/>
        </w:rPr>
        <w:t>En termes de priorités d’investissement, le secteur de l’assainissement se trouve en première position avec 32,94% des engagements, pour un projet unique à 9 377 442 MRO.</w:t>
      </w:r>
    </w:p>
    <w:p w:rsidR="00063F2D" w:rsidRPr="0093300F" w:rsidRDefault="00063F2D" w:rsidP="00063F2D">
      <w:pPr>
        <w:jc w:val="both"/>
        <w:rPr>
          <w:rFonts w:asciiTheme="minorHAnsi" w:hAnsiTheme="minorHAnsi" w:cstheme="minorHAnsi"/>
          <w:sz w:val="22"/>
          <w:szCs w:val="22"/>
        </w:rPr>
      </w:pPr>
      <w:r>
        <w:rPr>
          <w:rFonts w:asciiTheme="minorHAnsi" w:hAnsiTheme="minorHAnsi" w:cstheme="minorHAnsi"/>
          <w:sz w:val="22"/>
          <w:szCs w:val="22"/>
        </w:rPr>
        <w:t>Ensuite, viennent en deuxième position les bâtiments communaux avec 21,38% des engagements, soit 6 086 716 MRO pour 1 projet.</w:t>
      </w:r>
    </w:p>
    <w:p w:rsidR="00063F2D" w:rsidRDefault="00063F2D" w:rsidP="00063F2D">
      <w:pPr>
        <w:jc w:val="both"/>
        <w:rPr>
          <w:rFonts w:asciiTheme="minorHAnsi" w:hAnsiTheme="minorHAnsi" w:cstheme="minorHAnsi"/>
          <w:sz w:val="22"/>
          <w:szCs w:val="22"/>
        </w:rPr>
      </w:pPr>
      <w:r>
        <w:rPr>
          <w:rFonts w:asciiTheme="minorHAnsi" w:hAnsiTheme="minorHAnsi" w:cstheme="minorHAnsi"/>
          <w:sz w:val="22"/>
          <w:szCs w:val="22"/>
        </w:rPr>
        <w:t>En troisième position, l’entretien et la maintenance avec 17,57% des engagements, soit 5 000 000 MRO pour 1 projet.</w:t>
      </w:r>
    </w:p>
    <w:p w:rsidR="00A27296" w:rsidRPr="00031B94" w:rsidRDefault="00A27296" w:rsidP="00A27296">
      <w:pPr>
        <w:jc w:val="both"/>
        <w:rPr>
          <w:rFonts w:asciiTheme="minorHAnsi" w:hAnsiTheme="minorHAnsi" w:cstheme="minorHAnsi"/>
          <w:sz w:val="22"/>
          <w:szCs w:val="22"/>
        </w:rPr>
      </w:pPr>
    </w:p>
    <w:p w:rsidR="00A27296" w:rsidRPr="00031B94" w:rsidRDefault="00A27296" w:rsidP="00A27296">
      <w:pPr>
        <w:jc w:val="both"/>
        <w:rPr>
          <w:rFonts w:asciiTheme="minorHAnsi" w:hAnsiTheme="minorHAnsi" w:cstheme="minorHAnsi"/>
          <w:sz w:val="22"/>
          <w:szCs w:val="22"/>
        </w:rPr>
      </w:pPr>
    </w:p>
    <w:p w:rsidR="00A27296" w:rsidRPr="00031B94" w:rsidRDefault="001246CD" w:rsidP="00A27296">
      <w:pPr>
        <w:jc w:val="center"/>
        <w:rPr>
          <w:rFonts w:asciiTheme="minorHAnsi" w:hAnsiTheme="minorHAnsi" w:cstheme="minorHAnsi"/>
          <w:sz w:val="22"/>
          <w:szCs w:val="22"/>
          <w:u w:val="single"/>
        </w:rPr>
      </w:pPr>
      <w:proofErr w:type="spellStart"/>
      <w:r>
        <w:rPr>
          <w:rFonts w:asciiTheme="minorHAnsi" w:hAnsiTheme="minorHAnsi" w:cstheme="minorHAnsi"/>
          <w:b/>
          <w:sz w:val="22"/>
          <w:szCs w:val="22"/>
          <w:u w:val="single"/>
        </w:rPr>
        <w:t>Moughataa</w:t>
      </w:r>
      <w:proofErr w:type="spellEnd"/>
      <w:r w:rsidR="00A27296" w:rsidRPr="00031B94">
        <w:rPr>
          <w:rFonts w:asciiTheme="minorHAnsi" w:hAnsiTheme="minorHAnsi" w:cstheme="minorHAnsi"/>
          <w:b/>
          <w:sz w:val="22"/>
          <w:szCs w:val="22"/>
          <w:u w:val="single"/>
        </w:rPr>
        <w:t xml:space="preserve"> de </w:t>
      </w:r>
      <w:proofErr w:type="spellStart"/>
      <w:r w:rsidR="00A27296" w:rsidRPr="00031B94">
        <w:rPr>
          <w:rFonts w:asciiTheme="minorHAnsi" w:hAnsiTheme="minorHAnsi" w:cstheme="minorHAnsi"/>
          <w:b/>
          <w:sz w:val="22"/>
          <w:szCs w:val="22"/>
          <w:u w:val="single"/>
        </w:rPr>
        <w:t>F’Derik</w:t>
      </w:r>
      <w:proofErr w:type="spellEnd"/>
    </w:p>
    <w:p w:rsidR="00A27296" w:rsidRPr="00031B94" w:rsidRDefault="00A27296" w:rsidP="00A27296">
      <w:pPr>
        <w:jc w:val="both"/>
        <w:rPr>
          <w:rFonts w:asciiTheme="minorHAnsi" w:hAnsiTheme="minorHAnsi" w:cstheme="minorHAnsi"/>
          <w:sz w:val="22"/>
          <w:szCs w:val="22"/>
        </w:rPr>
      </w:pPr>
    </w:p>
    <w:p w:rsidR="00A27296" w:rsidRPr="00031B94" w:rsidRDefault="00A27296" w:rsidP="00A27296">
      <w:pPr>
        <w:jc w:val="both"/>
        <w:rPr>
          <w:rFonts w:asciiTheme="minorHAnsi" w:hAnsiTheme="minorHAnsi" w:cstheme="minorHAnsi"/>
          <w:sz w:val="22"/>
          <w:szCs w:val="22"/>
        </w:rPr>
      </w:pPr>
      <w:r w:rsidRPr="00031B94">
        <w:rPr>
          <w:rFonts w:asciiTheme="minorHAnsi" w:hAnsiTheme="minorHAnsi" w:cstheme="minorHAnsi"/>
          <w:sz w:val="22"/>
          <w:szCs w:val="22"/>
        </w:rPr>
        <w:t xml:space="preserve">Les communes de la </w:t>
      </w:r>
      <w:proofErr w:type="spellStart"/>
      <w:r w:rsidR="001246CD">
        <w:rPr>
          <w:rFonts w:asciiTheme="minorHAnsi" w:hAnsiTheme="minorHAnsi" w:cstheme="minorHAnsi"/>
          <w:sz w:val="22"/>
          <w:szCs w:val="22"/>
        </w:rPr>
        <w:t>Moughataa</w:t>
      </w:r>
      <w:proofErr w:type="spellEnd"/>
      <w:r w:rsidR="00063F2D">
        <w:rPr>
          <w:rFonts w:asciiTheme="minorHAnsi" w:hAnsiTheme="minorHAnsi" w:cstheme="minorHAnsi"/>
          <w:sz w:val="22"/>
          <w:szCs w:val="22"/>
        </w:rPr>
        <w:t xml:space="preserve"> de </w:t>
      </w:r>
      <w:proofErr w:type="spellStart"/>
      <w:r w:rsidR="00063F2D">
        <w:rPr>
          <w:rFonts w:asciiTheme="minorHAnsi" w:hAnsiTheme="minorHAnsi" w:cstheme="minorHAnsi"/>
          <w:sz w:val="22"/>
          <w:szCs w:val="22"/>
        </w:rPr>
        <w:t>F’Derik</w:t>
      </w:r>
      <w:proofErr w:type="spellEnd"/>
      <w:r w:rsidR="00063F2D">
        <w:rPr>
          <w:rFonts w:asciiTheme="minorHAnsi" w:hAnsiTheme="minorHAnsi" w:cstheme="minorHAnsi"/>
          <w:sz w:val="22"/>
          <w:szCs w:val="22"/>
        </w:rPr>
        <w:t xml:space="preserve"> ont bénéficié d’un FRD 2012 pour l’équipement de 3 837 000 MRO (+14,65% par rapport à 2011</w:t>
      </w:r>
      <w:r w:rsidRPr="00031B94">
        <w:rPr>
          <w:rFonts w:asciiTheme="minorHAnsi" w:hAnsiTheme="minorHAnsi" w:cstheme="minorHAnsi"/>
          <w:sz w:val="22"/>
          <w:szCs w:val="22"/>
        </w:rPr>
        <w:t xml:space="preserve">). </w:t>
      </w:r>
    </w:p>
    <w:p w:rsidR="00A27296" w:rsidRPr="00031B94" w:rsidRDefault="00A27296" w:rsidP="00A27296">
      <w:pPr>
        <w:jc w:val="both"/>
        <w:rPr>
          <w:rFonts w:asciiTheme="minorHAnsi" w:hAnsiTheme="minorHAnsi" w:cstheme="minorHAnsi"/>
          <w:sz w:val="22"/>
          <w:szCs w:val="22"/>
        </w:rPr>
      </w:pPr>
    </w:p>
    <w:p w:rsidR="00A27296" w:rsidRPr="00031B94" w:rsidRDefault="00DC31BC" w:rsidP="00A27296">
      <w:pPr>
        <w:jc w:val="both"/>
        <w:rPr>
          <w:rFonts w:asciiTheme="minorHAnsi" w:hAnsiTheme="minorHAnsi" w:cstheme="minorHAnsi"/>
          <w:sz w:val="22"/>
          <w:szCs w:val="22"/>
        </w:rPr>
      </w:pPr>
      <w:r>
        <w:rPr>
          <w:rFonts w:asciiTheme="minorHAnsi" w:hAnsiTheme="minorHAnsi" w:cstheme="minorHAnsi"/>
          <w:sz w:val="22"/>
          <w:szCs w:val="22"/>
        </w:rPr>
        <w:t>Elles ont engagé 4 000 000</w:t>
      </w:r>
      <w:r w:rsidR="00A27296" w:rsidRPr="00031B94">
        <w:rPr>
          <w:rFonts w:asciiTheme="minorHAnsi" w:hAnsiTheme="minorHAnsi" w:cstheme="minorHAnsi"/>
          <w:sz w:val="22"/>
          <w:szCs w:val="22"/>
        </w:rPr>
        <w:t xml:space="preserve"> MRO pour la réalisation de </w:t>
      </w:r>
      <w:r w:rsidR="00A27296" w:rsidRPr="00473AF2">
        <w:rPr>
          <w:rFonts w:asciiTheme="minorHAnsi" w:hAnsiTheme="minorHAnsi" w:cstheme="minorHAnsi"/>
          <w:b/>
          <w:sz w:val="22"/>
          <w:szCs w:val="22"/>
        </w:rPr>
        <w:t>2 projets</w:t>
      </w:r>
      <w:r w:rsidR="00A27296" w:rsidRPr="00031B94">
        <w:rPr>
          <w:rFonts w:asciiTheme="minorHAnsi" w:hAnsiTheme="minorHAnsi" w:cstheme="minorHAnsi"/>
          <w:sz w:val="22"/>
          <w:szCs w:val="22"/>
        </w:rPr>
        <w:t xml:space="preserve">, soit un </w:t>
      </w:r>
      <w:r>
        <w:rPr>
          <w:rFonts w:asciiTheme="minorHAnsi" w:hAnsiTheme="minorHAnsi" w:cstheme="minorHAnsi"/>
          <w:b/>
          <w:sz w:val="22"/>
          <w:szCs w:val="22"/>
        </w:rPr>
        <w:t>taux d’absorption de 104,25</w:t>
      </w:r>
      <w:r w:rsidR="00A27296" w:rsidRPr="00031B94">
        <w:rPr>
          <w:rFonts w:asciiTheme="minorHAnsi" w:hAnsiTheme="minorHAnsi" w:cstheme="minorHAnsi"/>
          <w:b/>
          <w:sz w:val="22"/>
          <w:szCs w:val="22"/>
        </w:rPr>
        <w:t xml:space="preserve"> %.</w:t>
      </w:r>
    </w:p>
    <w:p w:rsidR="00A27296" w:rsidRPr="00031B94" w:rsidRDefault="00A27296" w:rsidP="00A27296">
      <w:pPr>
        <w:jc w:val="both"/>
        <w:rPr>
          <w:rFonts w:asciiTheme="minorHAnsi" w:hAnsiTheme="minorHAnsi" w:cstheme="minorHAnsi"/>
          <w:sz w:val="22"/>
          <w:szCs w:val="22"/>
        </w:rPr>
      </w:pPr>
      <w:r w:rsidRPr="00031B94">
        <w:rPr>
          <w:rFonts w:asciiTheme="minorHAnsi" w:hAnsiTheme="minorHAnsi" w:cstheme="minorHAnsi"/>
          <w:sz w:val="22"/>
          <w:szCs w:val="22"/>
        </w:rPr>
        <w:t xml:space="preserve">C’est bien entendu un taux satisfaisant bien que peu significatif vu le faible montant des crédits FRD en jeu. </w:t>
      </w:r>
    </w:p>
    <w:p w:rsidR="00A27296" w:rsidRPr="00031B94" w:rsidRDefault="00A27296" w:rsidP="00A27296">
      <w:pPr>
        <w:jc w:val="both"/>
        <w:rPr>
          <w:rFonts w:asciiTheme="minorHAnsi" w:hAnsiTheme="minorHAnsi" w:cstheme="minorHAnsi"/>
          <w:sz w:val="22"/>
          <w:szCs w:val="22"/>
        </w:rPr>
      </w:pPr>
    </w:p>
    <w:p w:rsidR="00DC31BC" w:rsidRPr="00031B94" w:rsidRDefault="00DC31BC" w:rsidP="00DC31BC">
      <w:pPr>
        <w:jc w:val="both"/>
        <w:rPr>
          <w:rFonts w:asciiTheme="minorHAnsi" w:hAnsiTheme="minorHAnsi" w:cstheme="minorHAnsi"/>
          <w:sz w:val="22"/>
          <w:szCs w:val="22"/>
        </w:rPr>
      </w:pPr>
      <w:r w:rsidRPr="00031B94">
        <w:rPr>
          <w:rFonts w:asciiTheme="minorHAnsi" w:hAnsiTheme="minorHAnsi" w:cstheme="minorHAnsi"/>
          <w:sz w:val="22"/>
          <w:szCs w:val="22"/>
        </w:rPr>
        <w:t xml:space="preserve">Le montant moyen par </w:t>
      </w:r>
      <w:r>
        <w:rPr>
          <w:rFonts w:asciiTheme="minorHAnsi" w:hAnsiTheme="minorHAnsi" w:cstheme="minorHAnsi"/>
          <w:sz w:val="22"/>
          <w:szCs w:val="22"/>
        </w:rPr>
        <w:t>projet d’</w:t>
      </w:r>
      <w:r w:rsidRPr="00031B94">
        <w:rPr>
          <w:rFonts w:asciiTheme="minorHAnsi" w:hAnsiTheme="minorHAnsi" w:cstheme="minorHAnsi"/>
          <w:sz w:val="22"/>
          <w:szCs w:val="22"/>
        </w:rPr>
        <w:t xml:space="preserve">investissement est </w:t>
      </w:r>
      <w:r>
        <w:rPr>
          <w:rFonts w:asciiTheme="minorHAnsi" w:hAnsiTheme="minorHAnsi" w:cstheme="minorHAnsi"/>
          <w:sz w:val="22"/>
          <w:szCs w:val="22"/>
        </w:rPr>
        <w:t>satisfaisant car largement au-dessus de la moyenne nationale, passant en outre de 1 673 413 MRO en 2011 à 2 000 000 MRO en 2012</w:t>
      </w:r>
      <w:r w:rsidRPr="00031B94">
        <w:rPr>
          <w:rFonts w:asciiTheme="minorHAnsi" w:hAnsiTheme="minorHAnsi" w:cstheme="minorHAnsi"/>
          <w:sz w:val="22"/>
          <w:szCs w:val="22"/>
        </w:rPr>
        <w:t>. Là encore il n’est pas très significatif puisqu’il ne porte que sur 2 projet</w:t>
      </w:r>
      <w:r w:rsidR="00AD1DA2">
        <w:rPr>
          <w:rFonts w:asciiTheme="minorHAnsi" w:hAnsiTheme="minorHAnsi" w:cstheme="minorHAnsi"/>
          <w:sz w:val="22"/>
          <w:szCs w:val="22"/>
        </w:rPr>
        <w:t xml:space="preserve">s. Il témoigne toutefois </w:t>
      </w:r>
      <w:r>
        <w:rPr>
          <w:rFonts w:asciiTheme="minorHAnsi" w:hAnsiTheme="minorHAnsi" w:cstheme="minorHAnsi"/>
          <w:sz w:val="22"/>
          <w:szCs w:val="22"/>
        </w:rPr>
        <w:t>d’</w:t>
      </w:r>
      <w:r w:rsidRPr="00031B94">
        <w:rPr>
          <w:rFonts w:asciiTheme="minorHAnsi" w:hAnsiTheme="minorHAnsi" w:cstheme="minorHAnsi"/>
          <w:sz w:val="22"/>
          <w:szCs w:val="22"/>
        </w:rPr>
        <w:t>une certaine volonté de ne pas trop parcelliser l’investissement, ce qui n’est pas forcément évident quand on ne dispose que d’un montant FRD très limité.</w:t>
      </w:r>
    </w:p>
    <w:p w:rsidR="00A27296" w:rsidRPr="00031B94" w:rsidRDefault="00A27296" w:rsidP="00A27296">
      <w:pPr>
        <w:jc w:val="both"/>
        <w:rPr>
          <w:rFonts w:asciiTheme="minorHAnsi" w:hAnsiTheme="minorHAnsi" w:cstheme="minorHAnsi"/>
          <w:b/>
          <w:sz w:val="22"/>
          <w:szCs w:val="22"/>
        </w:rPr>
      </w:pPr>
    </w:p>
    <w:p w:rsidR="00A27296" w:rsidRPr="00031B94" w:rsidRDefault="00A27296" w:rsidP="00A27296">
      <w:pPr>
        <w:jc w:val="both"/>
        <w:rPr>
          <w:rFonts w:asciiTheme="minorHAnsi" w:hAnsiTheme="minorHAnsi" w:cstheme="minorHAnsi"/>
          <w:b/>
          <w:sz w:val="22"/>
          <w:szCs w:val="22"/>
        </w:rPr>
      </w:pPr>
    </w:p>
    <w:p w:rsidR="00A27296" w:rsidRPr="00031B94" w:rsidRDefault="00A27296" w:rsidP="00A27296">
      <w:pPr>
        <w:jc w:val="both"/>
        <w:rPr>
          <w:rFonts w:asciiTheme="minorHAnsi" w:hAnsiTheme="minorHAnsi" w:cstheme="minorHAnsi"/>
          <w:b/>
          <w:sz w:val="22"/>
          <w:szCs w:val="22"/>
        </w:rPr>
      </w:pPr>
    </w:p>
    <w:p w:rsidR="00A27296" w:rsidRPr="00031B94" w:rsidRDefault="00D801E9" w:rsidP="00A27296">
      <w:pPr>
        <w:jc w:val="both"/>
        <w:rPr>
          <w:rFonts w:asciiTheme="minorHAnsi" w:hAnsiTheme="minorHAnsi" w:cstheme="minorHAnsi"/>
          <w:b/>
          <w:sz w:val="22"/>
          <w:szCs w:val="22"/>
        </w:rPr>
      </w:pPr>
      <w:r w:rsidRPr="00D801E9">
        <w:rPr>
          <w:noProof/>
        </w:rPr>
        <w:drawing>
          <wp:inline distT="0" distB="0" distL="0" distR="0">
            <wp:extent cx="3133725" cy="3571875"/>
            <wp:effectExtent l="19050" t="0" r="9525" b="0"/>
            <wp:docPr id="341"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7" cstate="print"/>
                    <a:stretch>
                      <a:fillRect/>
                    </a:stretch>
                  </pic:blipFill>
                  <pic:spPr>
                    <a:xfrm>
                      <a:off x="0" y="0"/>
                      <a:ext cx="3133333" cy="3571428"/>
                    </a:xfrm>
                    <a:prstGeom prst="rect">
                      <a:avLst/>
                    </a:prstGeom>
                  </pic:spPr>
                </pic:pic>
              </a:graphicData>
            </a:graphic>
          </wp:inline>
        </w:drawing>
      </w:r>
      <w:r w:rsidR="00BB03B2" w:rsidRPr="00BB03B2">
        <w:rPr>
          <w:rFonts w:asciiTheme="minorHAnsi" w:hAnsiTheme="minorHAnsi" w:cstheme="minorHAnsi"/>
          <w:b/>
          <w:noProof/>
          <w:sz w:val="22"/>
          <w:szCs w:val="22"/>
        </w:rPr>
        <w:drawing>
          <wp:inline distT="0" distB="0" distL="0" distR="0">
            <wp:extent cx="3381375" cy="3571875"/>
            <wp:effectExtent l="19050" t="0" r="9525" b="0"/>
            <wp:docPr id="494"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8" cstate="print"/>
                    <a:stretch>
                      <a:fillRect/>
                    </a:stretch>
                  </pic:blipFill>
                  <pic:spPr>
                    <a:xfrm>
                      <a:off x="0" y="0"/>
                      <a:ext cx="3380953" cy="3571429"/>
                    </a:xfrm>
                    <a:prstGeom prst="rect">
                      <a:avLst/>
                    </a:prstGeom>
                  </pic:spPr>
                </pic:pic>
              </a:graphicData>
            </a:graphic>
          </wp:inline>
        </w:drawing>
      </w:r>
      <w:r w:rsidR="00BB03B2" w:rsidRPr="00BB03B2">
        <w:rPr>
          <w:rFonts w:asciiTheme="minorHAnsi" w:hAnsiTheme="minorHAnsi" w:cstheme="minorHAnsi"/>
          <w:b/>
          <w:noProof/>
          <w:sz w:val="22"/>
          <w:szCs w:val="22"/>
        </w:rPr>
        <w:drawing>
          <wp:inline distT="0" distB="0" distL="0" distR="0">
            <wp:extent cx="6543675" cy="2466975"/>
            <wp:effectExtent l="19050" t="0" r="9525" b="0"/>
            <wp:docPr id="493"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9" cstate="print"/>
                    <a:stretch>
                      <a:fillRect/>
                    </a:stretch>
                  </pic:blipFill>
                  <pic:spPr>
                    <a:xfrm>
                      <a:off x="0" y="0"/>
                      <a:ext cx="6543675" cy="2466975"/>
                    </a:xfrm>
                    <a:prstGeom prst="rect">
                      <a:avLst/>
                    </a:prstGeom>
                  </pic:spPr>
                </pic:pic>
              </a:graphicData>
            </a:graphic>
          </wp:inline>
        </w:drawing>
      </w:r>
    </w:p>
    <w:p w:rsidR="00A27296" w:rsidRPr="00031B94" w:rsidRDefault="00A27296" w:rsidP="00A27296">
      <w:pPr>
        <w:jc w:val="both"/>
        <w:rPr>
          <w:rFonts w:asciiTheme="minorHAnsi" w:hAnsiTheme="minorHAnsi" w:cstheme="minorHAnsi"/>
          <w:b/>
          <w:sz w:val="22"/>
          <w:szCs w:val="22"/>
        </w:rPr>
      </w:pPr>
    </w:p>
    <w:p w:rsidR="00A27296" w:rsidRPr="00DC31BC" w:rsidRDefault="00DC31BC" w:rsidP="00A27296">
      <w:pPr>
        <w:jc w:val="both"/>
        <w:rPr>
          <w:rFonts w:asciiTheme="minorHAnsi" w:hAnsiTheme="minorHAnsi" w:cstheme="minorHAnsi"/>
          <w:sz w:val="22"/>
          <w:szCs w:val="22"/>
        </w:rPr>
      </w:pPr>
      <w:r w:rsidRPr="00DC31BC">
        <w:rPr>
          <w:rFonts w:asciiTheme="minorHAnsi" w:hAnsiTheme="minorHAnsi" w:cstheme="minorHAnsi"/>
          <w:sz w:val="22"/>
          <w:szCs w:val="22"/>
        </w:rPr>
        <w:t xml:space="preserve">La </w:t>
      </w:r>
      <w:proofErr w:type="spellStart"/>
      <w:r w:rsidR="001246CD">
        <w:rPr>
          <w:rFonts w:asciiTheme="minorHAnsi" w:hAnsiTheme="minorHAnsi" w:cstheme="minorHAnsi"/>
          <w:sz w:val="22"/>
          <w:szCs w:val="22"/>
        </w:rPr>
        <w:t>Moughataa</w:t>
      </w:r>
      <w:proofErr w:type="spellEnd"/>
      <w:r>
        <w:rPr>
          <w:rFonts w:asciiTheme="minorHAnsi" w:hAnsiTheme="minorHAnsi" w:cstheme="minorHAnsi"/>
          <w:sz w:val="22"/>
          <w:szCs w:val="22"/>
        </w:rPr>
        <w:t xml:space="preserve"> de </w:t>
      </w:r>
      <w:proofErr w:type="spellStart"/>
      <w:r>
        <w:rPr>
          <w:rFonts w:asciiTheme="minorHAnsi" w:hAnsiTheme="minorHAnsi" w:cstheme="minorHAnsi"/>
          <w:sz w:val="22"/>
          <w:szCs w:val="22"/>
        </w:rPr>
        <w:t>F’Derik</w:t>
      </w:r>
      <w:proofErr w:type="spellEnd"/>
      <w:r>
        <w:rPr>
          <w:rFonts w:asciiTheme="minorHAnsi" w:hAnsiTheme="minorHAnsi" w:cstheme="minorHAnsi"/>
          <w:sz w:val="22"/>
          <w:szCs w:val="22"/>
        </w:rPr>
        <w:t xml:space="preserve"> se partage à parts égales deux secteurs d’investissement : 1 projet pour l’assainissement et un autre pour l’entretien et la maintenance. Chaque projet bénéficiant d’un budget à hauteur de 2 000 000 MRO.</w:t>
      </w:r>
    </w:p>
    <w:p w:rsidR="00A27296" w:rsidRPr="00DC31BC" w:rsidRDefault="00A27296" w:rsidP="00A27296">
      <w:pPr>
        <w:jc w:val="both"/>
        <w:rPr>
          <w:rFonts w:asciiTheme="minorHAnsi" w:hAnsiTheme="minorHAnsi" w:cstheme="minorHAnsi"/>
          <w:sz w:val="22"/>
          <w:szCs w:val="22"/>
        </w:rPr>
      </w:pPr>
    </w:p>
    <w:p w:rsidR="00A27296" w:rsidRPr="00031B94" w:rsidRDefault="00A27296" w:rsidP="00A27296">
      <w:pPr>
        <w:jc w:val="both"/>
        <w:rPr>
          <w:rFonts w:asciiTheme="minorHAnsi" w:hAnsiTheme="minorHAnsi" w:cstheme="minorHAnsi"/>
          <w:sz w:val="22"/>
          <w:szCs w:val="22"/>
        </w:rPr>
      </w:pPr>
    </w:p>
    <w:p w:rsidR="00A27296" w:rsidRPr="00031B94" w:rsidRDefault="001246CD" w:rsidP="00A27296">
      <w:pPr>
        <w:jc w:val="center"/>
        <w:rPr>
          <w:rFonts w:asciiTheme="minorHAnsi" w:hAnsiTheme="minorHAnsi" w:cstheme="minorHAnsi"/>
          <w:sz w:val="22"/>
          <w:szCs w:val="22"/>
          <w:u w:val="single"/>
        </w:rPr>
      </w:pPr>
      <w:proofErr w:type="spellStart"/>
      <w:r>
        <w:rPr>
          <w:rFonts w:asciiTheme="minorHAnsi" w:hAnsiTheme="minorHAnsi" w:cstheme="minorHAnsi"/>
          <w:b/>
          <w:sz w:val="22"/>
          <w:szCs w:val="22"/>
          <w:u w:val="single"/>
        </w:rPr>
        <w:t>Moughataa</w:t>
      </w:r>
      <w:proofErr w:type="spellEnd"/>
      <w:r w:rsidR="00A27296" w:rsidRPr="00031B94">
        <w:rPr>
          <w:rFonts w:asciiTheme="minorHAnsi" w:hAnsiTheme="minorHAnsi" w:cstheme="minorHAnsi"/>
          <w:b/>
          <w:sz w:val="22"/>
          <w:szCs w:val="22"/>
          <w:u w:val="single"/>
        </w:rPr>
        <w:t xml:space="preserve"> de </w:t>
      </w:r>
      <w:proofErr w:type="spellStart"/>
      <w:r w:rsidR="00A27296" w:rsidRPr="00031B94">
        <w:rPr>
          <w:rFonts w:asciiTheme="minorHAnsi" w:hAnsiTheme="minorHAnsi" w:cstheme="minorHAnsi"/>
          <w:b/>
          <w:sz w:val="22"/>
          <w:szCs w:val="22"/>
          <w:u w:val="single"/>
        </w:rPr>
        <w:t>Bir</w:t>
      </w:r>
      <w:proofErr w:type="spellEnd"/>
      <w:r w:rsidR="00A27296" w:rsidRPr="00031B94">
        <w:rPr>
          <w:rFonts w:asciiTheme="minorHAnsi" w:hAnsiTheme="minorHAnsi" w:cstheme="minorHAnsi"/>
          <w:b/>
          <w:sz w:val="22"/>
          <w:szCs w:val="22"/>
          <w:u w:val="single"/>
        </w:rPr>
        <w:t xml:space="preserve"> </w:t>
      </w:r>
      <w:proofErr w:type="spellStart"/>
      <w:r w:rsidR="00A27296" w:rsidRPr="00031B94">
        <w:rPr>
          <w:rFonts w:asciiTheme="minorHAnsi" w:hAnsiTheme="minorHAnsi" w:cstheme="minorHAnsi"/>
          <w:b/>
          <w:sz w:val="22"/>
          <w:szCs w:val="22"/>
          <w:u w:val="single"/>
        </w:rPr>
        <w:t>Mogreïn</w:t>
      </w:r>
      <w:proofErr w:type="spellEnd"/>
    </w:p>
    <w:p w:rsidR="00A27296" w:rsidRPr="00031B94" w:rsidRDefault="00A27296" w:rsidP="00A27296">
      <w:pPr>
        <w:jc w:val="both"/>
        <w:rPr>
          <w:rFonts w:asciiTheme="minorHAnsi" w:hAnsiTheme="minorHAnsi" w:cstheme="minorHAnsi"/>
          <w:sz w:val="22"/>
          <w:szCs w:val="22"/>
        </w:rPr>
      </w:pPr>
    </w:p>
    <w:p w:rsidR="008312A2" w:rsidRPr="0013330A" w:rsidRDefault="00A27296" w:rsidP="008312A2">
      <w:pPr>
        <w:jc w:val="both"/>
        <w:rPr>
          <w:rFonts w:asciiTheme="minorHAnsi" w:hAnsiTheme="minorHAnsi" w:cstheme="minorHAnsi"/>
          <w:sz w:val="22"/>
          <w:szCs w:val="22"/>
        </w:rPr>
      </w:pPr>
      <w:r w:rsidRPr="00031B94">
        <w:rPr>
          <w:rFonts w:asciiTheme="minorHAnsi" w:hAnsiTheme="minorHAnsi" w:cstheme="minorHAnsi"/>
          <w:sz w:val="22"/>
          <w:szCs w:val="22"/>
        </w:rPr>
        <w:t xml:space="preserve">Les communes de la </w:t>
      </w:r>
      <w:proofErr w:type="spellStart"/>
      <w:r w:rsidR="001246CD">
        <w:rPr>
          <w:rFonts w:asciiTheme="minorHAnsi" w:hAnsiTheme="minorHAnsi" w:cstheme="minorHAnsi"/>
          <w:sz w:val="22"/>
          <w:szCs w:val="22"/>
        </w:rPr>
        <w:t>Moughataa</w:t>
      </w:r>
      <w:proofErr w:type="spellEnd"/>
      <w:r w:rsidRPr="00031B94">
        <w:rPr>
          <w:rFonts w:asciiTheme="minorHAnsi" w:hAnsiTheme="minorHAnsi" w:cstheme="minorHAnsi"/>
          <w:sz w:val="22"/>
          <w:szCs w:val="22"/>
        </w:rPr>
        <w:t xml:space="preserve"> de </w:t>
      </w:r>
      <w:proofErr w:type="spellStart"/>
      <w:r w:rsidRPr="00031B94">
        <w:rPr>
          <w:rFonts w:asciiTheme="minorHAnsi" w:hAnsiTheme="minorHAnsi" w:cstheme="minorHAnsi"/>
          <w:sz w:val="22"/>
          <w:szCs w:val="22"/>
        </w:rPr>
        <w:t>Bir</w:t>
      </w:r>
      <w:proofErr w:type="spellEnd"/>
      <w:r w:rsidRPr="00031B94">
        <w:rPr>
          <w:rFonts w:asciiTheme="minorHAnsi" w:hAnsiTheme="minorHAnsi" w:cstheme="minorHAnsi"/>
          <w:sz w:val="22"/>
          <w:szCs w:val="22"/>
        </w:rPr>
        <w:t xml:space="preserve"> </w:t>
      </w:r>
      <w:proofErr w:type="spellStart"/>
      <w:r w:rsidRPr="00031B94">
        <w:rPr>
          <w:rFonts w:asciiTheme="minorHAnsi" w:hAnsiTheme="minorHAnsi" w:cstheme="minorHAnsi"/>
          <w:sz w:val="22"/>
          <w:szCs w:val="22"/>
        </w:rPr>
        <w:t>Mog</w:t>
      </w:r>
      <w:r w:rsidR="00DC31BC">
        <w:rPr>
          <w:rFonts w:asciiTheme="minorHAnsi" w:hAnsiTheme="minorHAnsi" w:cstheme="minorHAnsi"/>
          <w:sz w:val="22"/>
          <w:szCs w:val="22"/>
        </w:rPr>
        <w:t>reïn</w:t>
      </w:r>
      <w:proofErr w:type="spellEnd"/>
      <w:r w:rsidR="00DC31BC">
        <w:rPr>
          <w:rFonts w:asciiTheme="minorHAnsi" w:hAnsiTheme="minorHAnsi" w:cstheme="minorHAnsi"/>
          <w:sz w:val="22"/>
          <w:szCs w:val="22"/>
        </w:rPr>
        <w:t xml:space="preserve"> ont bénéficié d’un FRD 2012 pour l’équipement de 2 620 995</w:t>
      </w:r>
      <w:r w:rsidRPr="00031B94">
        <w:rPr>
          <w:rFonts w:asciiTheme="minorHAnsi" w:hAnsiTheme="minorHAnsi" w:cstheme="minorHAnsi"/>
          <w:sz w:val="22"/>
          <w:szCs w:val="22"/>
        </w:rPr>
        <w:t xml:space="preserve"> </w:t>
      </w:r>
      <w:r w:rsidR="00DC31BC">
        <w:rPr>
          <w:rFonts w:asciiTheme="minorHAnsi" w:hAnsiTheme="minorHAnsi" w:cstheme="minorHAnsi"/>
          <w:sz w:val="22"/>
          <w:szCs w:val="22"/>
        </w:rPr>
        <w:t>MRO (+4,36% par rapport à 2011</w:t>
      </w:r>
      <w:r w:rsidRPr="00031B94">
        <w:rPr>
          <w:rFonts w:asciiTheme="minorHAnsi" w:hAnsiTheme="minorHAnsi" w:cstheme="minorHAnsi"/>
          <w:sz w:val="22"/>
          <w:szCs w:val="22"/>
        </w:rPr>
        <w:t xml:space="preserve">). </w:t>
      </w:r>
      <w:r w:rsidR="008312A2">
        <w:rPr>
          <w:rFonts w:asciiTheme="minorHAnsi" w:hAnsiTheme="minorHAnsi" w:cstheme="minorHAnsi"/>
          <w:sz w:val="22"/>
          <w:szCs w:val="22"/>
        </w:rPr>
        <w:t>Le faible taux d’augmentation des crédits alloués au titre de l’exercice 2012, e</w:t>
      </w:r>
      <w:r w:rsidR="00B773F6">
        <w:rPr>
          <w:rFonts w:asciiTheme="minorHAnsi" w:hAnsiTheme="minorHAnsi" w:cstheme="minorHAnsi"/>
          <w:sz w:val="22"/>
          <w:szCs w:val="22"/>
        </w:rPr>
        <w:t>n comparaison de celui constaté</w:t>
      </w:r>
      <w:r w:rsidR="008312A2">
        <w:rPr>
          <w:rFonts w:asciiTheme="minorHAnsi" w:hAnsiTheme="minorHAnsi" w:cstheme="minorHAnsi"/>
          <w:sz w:val="22"/>
          <w:szCs w:val="22"/>
        </w:rPr>
        <w:t xml:space="preserve"> pour les autres </w:t>
      </w:r>
      <w:proofErr w:type="spellStart"/>
      <w:r w:rsidR="001246CD">
        <w:rPr>
          <w:rFonts w:asciiTheme="minorHAnsi" w:hAnsiTheme="minorHAnsi" w:cstheme="minorHAnsi"/>
          <w:sz w:val="22"/>
          <w:szCs w:val="22"/>
        </w:rPr>
        <w:t>Moughataas</w:t>
      </w:r>
      <w:proofErr w:type="spellEnd"/>
      <w:r w:rsidR="008312A2">
        <w:rPr>
          <w:rFonts w:asciiTheme="minorHAnsi" w:hAnsiTheme="minorHAnsi" w:cstheme="minorHAnsi"/>
          <w:sz w:val="22"/>
          <w:szCs w:val="22"/>
        </w:rPr>
        <w:t>, s’explique sans doute par une correction dans la mesure où les crédits alloués en 2011 avaient connu une très forte augmentation de l’ordre de 38,21% par rapport à l’exercice 2010, peut-être suite à une erreur matérielle de répartition.</w:t>
      </w:r>
    </w:p>
    <w:p w:rsidR="00A27296" w:rsidRPr="00031B94" w:rsidRDefault="00A27296" w:rsidP="00A27296">
      <w:pPr>
        <w:jc w:val="both"/>
        <w:rPr>
          <w:rFonts w:asciiTheme="minorHAnsi" w:hAnsiTheme="minorHAnsi" w:cstheme="minorHAnsi"/>
          <w:sz w:val="22"/>
          <w:szCs w:val="22"/>
        </w:rPr>
      </w:pPr>
    </w:p>
    <w:p w:rsidR="00A27296" w:rsidRPr="00031B94" w:rsidRDefault="008312A2" w:rsidP="00A27296">
      <w:pPr>
        <w:jc w:val="both"/>
        <w:rPr>
          <w:rFonts w:asciiTheme="minorHAnsi" w:hAnsiTheme="minorHAnsi" w:cstheme="minorHAnsi"/>
          <w:sz w:val="22"/>
          <w:szCs w:val="22"/>
        </w:rPr>
      </w:pPr>
      <w:r>
        <w:rPr>
          <w:rFonts w:asciiTheme="minorHAnsi" w:hAnsiTheme="minorHAnsi" w:cstheme="minorHAnsi"/>
          <w:sz w:val="22"/>
          <w:szCs w:val="22"/>
        </w:rPr>
        <w:t>Elles ont engagé 2 620 994</w:t>
      </w:r>
      <w:r w:rsidR="00A27296" w:rsidRPr="00031B94">
        <w:rPr>
          <w:rFonts w:asciiTheme="minorHAnsi" w:hAnsiTheme="minorHAnsi" w:cstheme="minorHAnsi"/>
          <w:sz w:val="22"/>
          <w:szCs w:val="22"/>
        </w:rPr>
        <w:t xml:space="preserve"> MRO pour la réalisation de </w:t>
      </w:r>
      <w:r>
        <w:rPr>
          <w:rFonts w:asciiTheme="minorHAnsi" w:hAnsiTheme="minorHAnsi" w:cstheme="minorHAnsi"/>
          <w:b/>
          <w:sz w:val="22"/>
          <w:szCs w:val="22"/>
        </w:rPr>
        <w:t>5</w:t>
      </w:r>
      <w:r w:rsidR="00A27296" w:rsidRPr="00473AF2">
        <w:rPr>
          <w:rFonts w:asciiTheme="minorHAnsi" w:hAnsiTheme="minorHAnsi" w:cstheme="minorHAnsi"/>
          <w:b/>
          <w:sz w:val="22"/>
          <w:szCs w:val="22"/>
        </w:rPr>
        <w:t xml:space="preserve"> projets</w:t>
      </w:r>
      <w:r w:rsidR="00A27296" w:rsidRPr="00031B94">
        <w:rPr>
          <w:rFonts w:asciiTheme="minorHAnsi" w:hAnsiTheme="minorHAnsi" w:cstheme="minorHAnsi"/>
          <w:sz w:val="22"/>
          <w:szCs w:val="22"/>
        </w:rPr>
        <w:t xml:space="preserve">, soit un </w:t>
      </w:r>
      <w:r>
        <w:rPr>
          <w:rFonts w:asciiTheme="minorHAnsi" w:hAnsiTheme="minorHAnsi" w:cstheme="minorHAnsi"/>
          <w:b/>
          <w:sz w:val="22"/>
          <w:szCs w:val="22"/>
        </w:rPr>
        <w:t>taux d’absorption de 100</w:t>
      </w:r>
      <w:r w:rsidR="00A27296" w:rsidRPr="00031B94">
        <w:rPr>
          <w:rFonts w:asciiTheme="minorHAnsi" w:hAnsiTheme="minorHAnsi" w:cstheme="minorHAnsi"/>
          <w:b/>
          <w:sz w:val="22"/>
          <w:szCs w:val="22"/>
        </w:rPr>
        <w:t xml:space="preserve"> %.</w:t>
      </w:r>
    </w:p>
    <w:p w:rsidR="00A27296" w:rsidRPr="00031B94" w:rsidRDefault="008312A2" w:rsidP="00A27296">
      <w:pPr>
        <w:jc w:val="both"/>
        <w:rPr>
          <w:rFonts w:asciiTheme="minorHAnsi" w:hAnsiTheme="minorHAnsi" w:cstheme="minorHAnsi"/>
          <w:sz w:val="22"/>
          <w:szCs w:val="22"/>
        </w:rPr>
      </w:pPr>
      <w:r>
        <w:rPr>
          <w:rFonts w:asciiTheme="minorHAnsi" w:hAnsiTheme="minorHAnsi" w:cstheme="minorHAnsi"/>
          <w:sz w:val="22"/>
          <w:szCs w:val="22"/>
        </w:rPr>
        <w:t>C’est un taux satisfaisant, qui fait suite à un taux de 72,35% en 2011.</w:t>
      </w:r>
      <w:r w:rsidR="00A27296" w:rsidRPr="00031B94">
        <w:rPr>
          <w:rFonts w:asciiTheme="minorHAnsi" w:hAnsiTheme="minorHAnsi" w:cstheme="minorHAnsi"/>
          <w:sz w:val="22"/>
          <w:szCs w:val="22"/>
        </w:rPr>
        <w:t xml:space="preserve"> </w:t>
      </w:r>
      <w:r>
        <w:rPr>
          <w:rFonts w:asciiTheme="minorHAnsi" w:hAnsiTheme="minorHAnsi" w:cstheme="minorHAnsi"/>
          <w:sz w:val="22"/>
          <w:szCs w:val="22"/>
        </w:rPr>
        <w:t>La faiblesse des crédits alloués explique</w:t>
      </w:r>
      <w:r w:rsidR="0033613C">
        <w:rPr>
          <w:rFonts w:asciiTheme="minorHAnsi" w:hAnsiTheme="minorHAnsi" w:cstheme="minorHAnsi"/>
          <w:sz w:val="22"/>
          <w:szCs w:val="22"/>
        </w:rPr>
        <w:t>,</w:t>
      </w:r>
      <w:r>
        <w:rPr>
          <w:rFonts w:asciiTheme="minorHAnsi" w:hAnsiTheme="minorHAnsi" w:cstheme="minorHAnsi"/>
          <w:sz w:val="22"/>
          <w:szCs w:val="22"/>
        </w:rPr>
        <w:t xml:space="preserve"> comme suggéré plus haut, pourquoi certain</w:t>
      </w:r>
      <w:r w:rsidR="0033613C">
        <w:rPr>
          <w:rFonts w:asciiTheme="minorHAnsi" w:hAnsiTheme="minorHAnsi" w:cstheme="minorHAnsi"/>
          <w:sz w:val="22"/>
          <w:szCs w:val="22"/>
        </w:rPr>
        <w:t>es communes font le choix délibéré de sacrifier les petits investissements annuels pour programmer des projets requérant des moyens financiers plus importants à l’issue de plusieurs exercices</w:t>
      </w:r>
      <w:r w:rsidR="00A27296" w:rsidRPr="00031B94">
        <w:rPr>
          <w:rFonts w:asciiTheme="minorHAnsi" w:hAnsiTheme="minorHAnsi" w:cstheme="minorHAnsi"/>
          <w:sz w:val="22"/>
          <w:szCs w:val="22"/>
        </w:rPr>
        <w:t>.</w:t>
      </w:r>
    </w:p>
    <w:p w:rsidR="00A27296" w:rsidRPr="00031B94" w:rsidRDefault="00A27296" w:rsidP="00A27296">
      <w:pPr>
        <w:jc w:val="both"/>
        <w:rPr>
          <w:rFonts w:asciiTheme="minorHAnsi" w:hAnsiTheme="minorHAnsi" w:cstheme="minorHAnsi"/>
          <w:sz w:val="22"/>
          <w:szCs w:val="22"/>
        </w:rPr>
      </w:pPr>
    </w:p>
    <w:p w:rsidR="00A27296" w:rsidRPr="00031B94" w:rsidRDefault="00A27296" w:rsidP="00A27296">
      <w:pPr>
        <w:jc w:val="both"/>
        <w:rPr>
          <w:rFonts w:asciiTheme="minorHAnsi" w:hAnsiTheme="minorHAnsi" w:cstheme="minorHAnsi"/>
          <w:sz w:val="22"/>
          <w:szCs w:val="22"/>
        </w:rPr>
      </w:pPr>
    </w:p>
    <w:p w:rsidR="00683006" w:rsidRPr="00031B94" w:rsidRDefault="004F58F3" w:rsidP="00A27296">
      <w:pPr>
        <w:jc w:val="both"/>
        <w:rPr>
          <w:rFonts w:asciiTheme="minorHAnsi" w:hAnsiTheme="minorHAnsi" w:cstheme="minorHAnsi"/>
          <w:b/>
          <w:sz w:val="22"/>
          <w:szCs w:val="22"/>
        </w:rPr>
      </w:pPr>
      <w:r w:rsidRPr="004F58F3">
        <w:rPr>
          <w:noProof/>
        </w:rPr>
        <w:drawing>
          <wp:inline distT="0" distB="0" distL="0" distR="0">
            <wp:extent cx="3162300" cy="3314700"/>
            <wp:effectExtent l="19050" t="0" r="0" b="0"/>
            <wp:docPr id="215"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0" cstate="print"/>
                    <a:srcRect/>
                    <a:stretch>
                      <a:fillRect/>
                    </a:stretch>
                  </pic:blipFill>
                  <pic:spPr bwMode="auto">
                    <a:xfrm>
                      <a:off x="0" y="0"/>
                      <a:ext cx="3162300" cy="3314700"/>
                    </a:xfrm>
                    <a:prstGeom prst="rect">
                      <a:avLst/>
                    </a:prstGeom>
                    <a:noFill/>
                    <a:ln w="9525">
                      <a:noFill/>
                      <a:miter lim="800000"/>
                      <a:headEnd/>
                      <a:tailEnd/>
                    </a:ln>
                  </pic:spPr>
                </pic:pic>
              </a:graphicData>
            </a:graphic>
          </wp:inline>
        </w:drawing>
      </w:r>
      <w:r w:rsidR="00683006" w:rsidRPr="00683006">
        <w:rPr>
          <w:rFonts w:asciiTheme="minorHAnsi" w:hAnsiTheme="minorHAnsi" w:cstheme="minorHAnsi"/>
          <w:b/>
          <w:noProof/>
          <w:sz w:val="22"/>
          <w:szCs w:val="22"/>
        </w:rPr>
        <w:drawing>
          <wp:inline distT="0" distB="0" distL="0" distR="0">
            <wp:extent cx="3409950" cy="3314700"/>
            <wp:effectExtent l="19050" t="0" r="0" b="0"/>
            <wp:docPr id="219"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1" cstate="print"/>
                    <a:stretch>
                      <a:fillRect/>
                    </a:stretch>
                  </pic:blipFill>
                  <pic:spPr>
                    <a:xfrm>
                      <a:off x="0" y="0"/>
                      <a:ext cx="3409950" cy="3314700"/>
                    </a:xfrm>
                    <a:prstGeom prst="rect">
                      <a:avLst/>
                    </a:prstGeom>
                  </pic:spPr>
                </pic:pic>
              </a:graphicData>
            </a:graphic>
          </wp:inline>
        </w:drawing>
      </w:r>
    </w:p>
    <w:p w:rsidR="00A27296" w:rsidRPr="00031B94" w:rsidRDefault="00BB03B2" w:rsidP="00A27296">
      <w:pPr>
        <w:jc w:val="both"/>
        <w:rPr>
          <w:rFonts w:asciiTheme="minorHAnsi" w:hAnsiTheme="minorHAnsi" w:cstheme="minorHAnsi"/>
          <w:b/>
          <w:sz w:val="22"/>
          <w:szCs w:val="22"/>
        </w:rPr>
      </w:pPr>
      <w:r w:rsidRPr="00BB03B2">
        <w:rPr>
          <w:rFonts w:asciiTheme="minorHAnsi" w:hAnsiTheme="minorHAnsi" w:cstheme="minorHAnsi"/>
          <w:b/>
          <w:noProof/>
          <w:sz w:val="22"/>
          <w:szCs w:val="22"/>
        </w:rPr>
        <w:drawing>
          <wp:inline distT="0" distB="0" distL="0" distR="0">
            <wp:extent cx="6591300" cy="3019425"/>
            <wp:effectExtent l="19050" t="0" r="0" b="0"/>
            <wp:docPr id="495"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2" cstate="print"/>
                    <a:stretch>
                      <a:fillRect/>
                    </a:stretch>
                  </pic:blipFill>
                  <pic:spPr>
                    <a:xfrm>
                      <a:off x="0" y="0"/>
                      <a:ext cx="6590477" cy="3019048"/>
                    </a:xfrm>
                    <a:prstGeom prst="rect">
                      <a:avLst/>
                    </a:prstGeom>
                  </pic:spPr>
                </pic:pic>
              </a:graphicData>
            </a:graphic>
          </wp:inline>
        </w:drawing>
      </w:r>
    </w:p>
    <w:p w:rsidR="00A27296" w:rsidRDefault="00A27296" w:rsidP="00A27296">
      <w:pPr>
        <w:jc w:val="both"/>
        <w:rPr>
          <w:rFonts w:asciiTheme="minorHAnsi" w:hAnsiTheme="minorHAnsi" w:cstheme="minorHAnsi"/>
          <w:b/>
          <w:sz w:val="22"/>
          <w:szCs w:val="22"/>
        </w:rPr>
      </w:pPr>
    </w:p>
    <w:p w:rsidR="0033613C" w:rsidRDefault="0033613C" w:rsidP="0033613C">
      <w:pPr>
        <w:jc w:val="both"/>
        <w:rPr>
          <w:rFonts w:asciiTheme="minorHAnsi" w:hAnsiTheme="minorHAnsi" w:cstheme="minorHAnsi"/>
          <w:sz w:val="22"/>
          <w:szCs w:val="22"/>
        </w:rPr>
      </w:pPr>
      <w:r w:rsidRPr="0093300F">
        <w:rPr>
          <w:rFonts w:asciiTheme="minorHAnsi" w:hAnsiTheme="minorHAnsi" w:cstheme="minorHAnsi"/>
          <w:sz w:val="22"/>
          <w:szCs w:val="22"/>
        </w:rPr>
        <w:t>Le</w:t>
      </w:r>
      <w:r>
        <w:rPr>
          <w:rFonts w:asciiTheme="minorHAnsi" w:hAnsiTheme="minorHAnsi" w:cstheme="minorHAnsi"/>
          <w:sz w:val="22"/>
          <w:szCs w:val="22"/>
        </w:rPr>
        <w:t xml:space="preserve"> montant moyen par projet d’investissement s’améliore quelque peu, passant de 454 274 MRO en 2011 à 524 199 MRO en 2012, en dépit d’une légère augmentation</w:t>
      </w:r>
      <w:r w:rsidR="00435621">
        <w:rPr>
          <w:rFonts w:asciiTheme="minorHAnsi" w:hAnsiTheme="minorHAnsi" w:cstheme="minorHAnsi"/>
          <w:sz w:val="22"/>
          <w:szCs w:val="22"/>
        </w:rPr>
        <w:t xml:space="preserve"> du nombre de projets (4 en 2011 contre 5</w:t>
      </w:r>
      <w:r>
        <w:rPr>
          <w:rFonts w:asciiTheme="minorHAnsi" w:hAnsiTheme="minorHAnsi" w:cstheme="minorHAnsi"/>
          <w:sz w:val="22"/>
          <w:szCs w:val="22"/>
        </w:rPr>
        <w:t xml:space="preserve"> en 2012). En comparaison des moyennes régionale et nationale, ce mont</w:t>
      </w:r>
      <w:r w:rsidR="00435621">
        <w:rPr>
          <w:rFonts w:asciiTheme="minorHAnsi" w:hAnsiTheme="minorHAnsi" w:cstheme="minorHAnsi"/>
          <w:sz w:val="22"/>
          <w:szCs w:val="22"/>
        </w:rPr>
        <w:t>ant est peu satisfaisant et traduit la faiblesse des crédits alloués plus qu’un saupoudrage de l’investissement par la multiplication de petits projets</w:t>
      </w:r>
      <w:r>
        <w:rPr>
          <w:rFonts w:asciiTheme="minorHAnsi" w:hAnsiTheme="minorHAnsi" w:cstheme="minorHAnsi"/>
          <w:sz w:val="22"/>
          <w:szCs w:val="22"/>
        </w:rPr>
        <w:t>.</w:t>
      </w:r>
    </w:p>
    <w:p w:rsidR="0033613C" w:rsidRDefault="0033613C" w:rsidP="0033613C">
      <w:pPr>
        <w:jc w:val="both"/>
        <w:rPr>
          <w:rFonts w:asciiTheme="minorHAnsi" w:hAnsiTheme="minorHAnsi" w:cstheme="minorHAnsi"/>
          <w:sz w:val="22"/>
          <w:szCs w:val="22"/>
        </w:rPr>
      </w:pPr>
      <w:r>
        <w:rPr>
          <w:rFonts w:asciiTheme="minorHAnsi" w:hAnsiTheme="minorHAnsi" w:cstheme="minorHAnsi"/>
          <w:sz w:val="22"/>
          <w:szCs w:val="22"/>
        </w:rPr>
        <w:t>En termes de priorités d’investissement, le</w:t>
      </w:r>
      <w:r w:rsidR="00435621">
        <w:rPr>
          <w:rFonts w:asciiTheme="minorHAnsi" w:hAnsiTheme="minorHAnsi" w:cstheme="minorHAnsi"/>
          <w:sz w:val="22"/>
          <w:szCs w:val="22"/>
        </w:rPr>
        <w:t>s dépenses d’équipement de mairie arrivent en première position avec 53,41% des engagements, pour 2</w:t>
      </w:r>
      <w:r>
        <w:rPr>
          <w:rFonts w:asciiTheme="minorHAnsi" w:hAnsiTheme="minorHAnsi" w:cstheme="minorHAnsi"/>
          <w:sz w:val="22"/>
          <w:szCs w:val="22"/>
        </w:rPr>
        <w:t xml:space="preserve"> p</w:t>
      </w:r>
      <w:r w:rsidR="00435621">
        <w:rPr>
          <w:rFonts w:asciiTheme="minorHAnsi" w:hAnsiTheme="minorHAnsi" w:cstheme="minorHAnsi"/>
          <w:sz w:val="22"/>
          <w:szCs w:val="22"/>
        </w:rPr>
        <w:t>rojets se répartissant 1 400 000</w:t>
      </w:r>
      <w:r>
        <w:rPr>
          <w:rFonts w:asciiTheme="minorHAnsi" w:hAnsiTheme="minorHAnsi" w:cstheme="minorHAnsi"/>
          <w:sz w:val="22"/>
          <w:szCs w:val="22"/>
        </w:rPr>
        <w:t xml:space="preserve"> MRO.</w:t>
      </w:r>
    </w:p>
    <w:p w:rsidR="0033613C" w:rsidRPr="0093300F" w:rsidRDefault="0033613C" w:rsidP="0033613C">
      <w:pPr>
        <w:jc w:val="both"/>
        <w:rPr>
          <w:rFonts w:asciiTheme="minorHAnsi" w:hAnsiTheme="minorHAnsi" w:cstheme="minorHAnsi"/>
          <w:sz w:val="22"/>
          <w:szCs w:val="22"/>
        </w:rPr>
      </w:pPr>
      <w:r>
        <w:rPr>
          <w:rFonts w:asciiTheme="minorHAnsi" w:hAnsiTheme="minorHAnsi" w:cstheme="minorHAnsi"/>
          <w:sz w:val="22"/>
          <w:szCs w:val="22"/>
        </w:rPr>
        <w:t>Ensuite, vient en deuxième posi</w:t>
      </w:r>
      <w:r w:rsidR="00435621">
        <w:rPr>
          <w:rFonts w:asciiTheme="minorHAnsi" w:hAnsiTheme="minorHAnsi" w:cstheme="minorHAnsi"/>
          <w:sz w:val="22"/>
          <w:szCs w:val="22"/>
        </w:rPr>
        <w:t>tion le secteur de l’assainissement avec 22,89</w:t>
      </w:r>
      <w:r>
        <w:rPr>
          <w:rFonts w:asciiTheme="minorHAnsi" w:hAnsiTheme="minorHAnsi" w:cstheme="minorHAnsi"/>
          <w:sz w:val="22"/>
          <w:szCs w:val="22"/>
        </w:rPr>
        <w:t>%</w:t>
      </w:r>
      <w:r w:rsidR="00435621">
        <w:rPr>
          <w:rFonts w:asciiTheme="minorHAnsi" w:hAnsiTheme="minorHAnsi" w:cstheme="minorHAnsi"/>
          <w:sz w:val="22"/>
          <w:szCs w:val="22"/>
        </w:rPr>
        <w:t xml:space="preserve"> des engagements, soit 600 000 MRO pour un projet unique</w:t>
      </w:r>
      <w:r>
        <w:rPr>
          <w:rFonts w:asciiTheme="minorHAnsi" w:hAnsiTheme="minorHAnsi" w:cstheme="minorHAnsi"/>
          <w:sz w:val="22"/>
          <w:szCs w:val="22"/>
        </w:rPr>
        <w:t>.</w:t>
      </w:r>
    </w:p>
    <w:p w:rsidR="0033613C" w:rsidRDefault="0033613C" w:rsidP="0033613C">
      <w:pPr>
        <w:jc w:val="both"/>
        <w:rPr>
          <w:rFonts w:asciiTheme="minorHAnsi" w:hAnsiTheme="minorHAnsi" w:cstheme="minorHAnsi"/>
          <w:sz w:val="22"/>
          <w:szCs w:val="22"/>
        </w:rPr>
      </w:pPr>
      <w:r>
        <w:rPr>
          <w:rFonts w:asciiTheme="minorHAnsi" w:hAnsiTheme="minorHAnsi" w:cstheme="minorHAnsi"/>
          <w:sz w:val="22"/>
          <w:szCs w:val="22"/>
        </w:rPr>
        <w:t>En</w:t>
      </w:r>
      <w:r w:rsidR="00435621">
        <w:rPr>
          <w:rFonts w:asciiTheme="minorHAnsi" w:hAnsiTheme="minorHAnsi" w:cstheme="minorHAnsi"/>
          <w:sz w:val="22"/>
          <w:szCs w:val="22"/>
        </w:rPr>
        <w:t xml:space="preserve"> troisième position, l’hydraulique avec 13,56</w:t>
      </w:r>
      <w:r>
        <w:rPr>
          <w:rFonts w:asciiTheme="minorHAnsi" w:hAnsiTheme="minorHAnsi" w:cstheme="minorHAnsi"/>
          <w:sz w:val="22"/>
          <w:szCs w:val="22"/>
        </w:rPr>
        <w:t>% des engage</w:t>
      </w:r>
      <w:r w:rsidR="00435621">
        <w:rPr>
          <w:rFonts w:asciiTheme="minorHAnsi" w:hAnsiTheme="minorHAnsi" w:cstheme="minorHAnsi"/>
          <w:sz w:val="22"/>
          <w:szCs w:val="22"/>
        </w:rPr>
        <w:t>ments, soit 355 481 MRO pour 1 projet</w:t>
      </w:r>
      <w:r>
        <w:rPr>
          <w:rFonts w:asciiTheme="minorHAnsi" w:hAnsiTheme="minorHAnsi" w:cstheme="minorHAnsi"/>
          <w:sz w:val="22"/>
          <w:szCs w:val="22"/>
        </w:rPr>
        <w:t>.</w:t>
      </w:r>
    </w:p>
    <w:p w:rsidR="00CF632D" w:rsidRDefault="00CF632D" w:rsidP="00A27296">
      <w:pPr>
        <w:jc w:val="both"/>
        <w:rPr>
          <w:rFonts w:asciiTheme="minorHAnsi" w:hAnsiTheme="minorHAnsi" w:cstheme="minorHAnsi"/>
          <w:b/>
          <w:sz w:val="22"/>
          <w:szCs w:val="22"/>
        </w:rPr>
      </w:pPr>
    </w:p>
    <w:p w:rsidR="00A47DDD" w:rsidRDefault="00A47DDD" w:rsidP="00A27296">
      <w:pPr>
        <w:jc w:val="both"/>
        <w:rPr>
          <w:rFonts w:asciiTheme="minorHAnsi" w:hAnsiTheme="minorHAnsi" w:cstheme="minorHAnsi"/>
          <w:b/>
          <w:sz w:val="22"/>
          <w:szCs w:val="22"/>
        </w:rPr>
      </w:pPr>
    </w:p>
    <w:p w:rsidR="00E651A6" w:rsidRDefault="00E651A6">
      <w:pPr>
        <w:spacing w:after="200" w:line="276" w:lineRule="auto"/>
        <w:rPr>
          <w:rFonts w:asciiTheme="minorHAnsi" w:hAnsiTheme="minorHAnsi" w:cstheme="minorHAnsi"/>
          <w:b/>
          <w:sz w:val="22"/>
          <w:szCs w:val="22"/>
        </w:rPr>
      </w:pPr>
      <w:r>
        <w:rPr>
          <w:rFonts w:asciiTheme="minorHAnsi" w:hAnsiTheme="minorHAnsi" w:cstheme="minorHAnsi"/>
          <w:b/>
          <w:sz w:val="22"/>
          <w:szCs w:val="22"/>
        </w:rPr>
        <w:br w:type="page"/>
      </w:r>
    </w:p>
    <w:p w:rsidR="00E651A6" w:rsidRPr="00061EDA" w:rsidRDefault="001246CD" w:rsidP="00061ED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2D050"/>
        <w:spacing w:after="200" w:line="276" w:lineRule="auto"/>
        <w:rPr>
          <w:rFonts w:asciiTheme="minorHAnsi" w:hAnsiTheme="minorHAnsi" w:cstheme="minorHAnsi"/>
          <w:b/>
          <w:sz w:val="22"/>
          <w:szCs w:val="22"/>
        </w:rPr>
      </w:pPr>
      <w:r>
        <w:rPr>
          <w:rFonts w:asciiTheme="minorHAnsi" w:hAnsiTheme="minorHAnsi" w:cstheme="minorHAnsi"/>
          <w:b/>
          <w:smallCaps/>
          <w:sz w:val="28"/>
          <w:szCs w:val="28"/>
        </w:rPr>
        <w:t>Wilaya</w:t>
      </w:r>
      <w:r w:rsidR="00E651A6" w:rsidRPr="00E651A6">
        <w:rPr>
          <w:rFonts w:asciiTheme="minorHAnsi" w:hAnsiTheme="minorHAnsi" w:cstheme="minorHAnsi"/>
          <w:b/>
          <w:smallCaps/>
          <w:sz w:val="28"/>
          <w:szCs w:val="28"/>
        </w:rPr>
        <w:t xml:space="preserve"> de l’</w:t>
      </w:r>
      <w:proofErr w:type="spellStart"/>
      <w:r w:rsidR="00E651A6" w:rsidRPr="00E651A6">
        <w:rPr>
          <w:rFonts w:asciiTheme="minorHAnsi" w:hAnsiTheme="minorHAnsi" w:cstheme="minorHAnsi"/>
          <w:b/>
          <w:smallCaps/>
          <w:sz w:val="28"/>
          <w:szCs w:val="28"/>
        </w:rPr>
        <w:t>Inchiri</w:t>
      </w:r>
      <w:proofErr w:type="spellEnd"/>
    </w:p>
    <w:p w:rsidR="00E651A6" w:rsidRDefault="00E651A6" w:rsidP="00E651A6">
      <w:pPr>
        <w:jc w:val="both"/>
        <w:rPr>
          <w:rFonts w:asciiTheme="minorHAnsi" w:hAnsiTheme="minorHAnsi" w:cstheme="minorHAnsi"/>
        </w:rPr>
      </w:pPr>
    </w:p>
    <w:p w:rsidR="00061EDA" w:rsidRDefault="00061EDA" w:rsidP="00E651A6">
      <w:pPr>
        <w:jc w:val="both"/>
        <w:rPr>
          <w:rFonts w:asciiTheme="minorHAnsi" w:hAnsiTheme="minorHAnsi" w:cstheme="minorHAnsi"/>
        </w:rPr>
      </w:pPr>
      <w:r w:rsidRPr="00061EDA">
        <w:rPr>
          <w:noProof/>
        </w:rPr>
        <w:drawing>
          <wp:inline distT="0" distB="0" distL="0" distR="0">
            <wp:extent cx="6645910" cy="1714500"/>
            <wp:effectExtent l="19050" t="0" r="2540" b="0"/>
            <wp:docPr id="291"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3" cstate="print"/>
                    <a:stretch>
                      <a:fillRect/>
                    </a:stretch>
                  </pic:blipFill>
                  <pic:spPr>
                    <a:xfrm>
                      <a:off x="0" y="0"/>
                      <a:ext cx="6645910" cy="1714500"/>
                    </a:xfrm>
                    <a:prstGeom prst="rect">
                      <a:avLst/>
                    </a:prstGeom>
                  </pic:spPr>
                </pic:pic>
              </a:graphicData>
            </a:graphic>
          </wp:inline>
        </w:drawing>
      </w:r>
    </w:p>
    <w:p w:rsidR="00061EDA" w:rsidRDefault="00061EDA" w:rsidP="00E651A6">
      <w:pPr>
        <w:jc w:val="both"/>
        <w:rPr>
          <w:rFonts w:asciiTheme="minorHAnsi" w:hAnsiTheme="minorHAnsi" w:cstheme="minorHAnsi"/>
        </w:rPr>
      </w:pPr>
    </w:p>
    <w:p w:rsidR="00E651A6" w:rsidRPr="00DF1A14" w:rsidRDefault="00E651A6" w:rsidP="00E651A6">
      <w:pPr>
        <w:jc w:val="both"/>
        <w:rPr>
          <w:rFonts w:asciiTheme="minorHAnsi" w:hAnsiTheme="minorHAnsi" w:cstheme="minorHAnsi"/>
          <w:sz w:val="22"/>
          <w:szCs w:val="22"/>
        </w:rPr>
      </w:pPr>
      <w:r w:rsidRPr="00DF1A14">
        <w:rPr>
          <w:rFonts w:asciiTheme="minorHAnsi" w:hAnsiTheme="minorHAnsi" w:cstheme="minorHAnsi"/>
          <w:sz w:val="22"/>
          <w:szCs w:val="22"/>
        </w:rPr>
        <w:t xml:space="preserve">La </w:t>
      </w:r>
      <w:r w:rsidR="001246CD">
        <w:rPr>
          <w:rFonts w:asciiTheme="minorHAnsi" w:hAnsiTheme="minorHAnsi" w:cstheme="minorHAnsi"/>
          <w:sz w:val="22"/>
          <w:szCs w:val="22"/>
        </w:rPr>
        <w:t>Wilaya</w:t>
      </w:r>
      <w:r w:rsidRPr="00DF1A14">
        <w:rPr>
          <w:rFonts w:asciiTheme="minorHAnsi" w:hAnsiTheme="minorHAnsi" w:cstheme="minorHAnsi"/>
          <w:sz w:val="22"/>
          <w:szCs w:val="22"/>
        </w:rPr>
        <w:t xml:space="preserve"> de l’</w:t>
      </w:r>
      <w:proofErr w:type="spellStart"/>
      <w:r w:rsidRPr="00DF1A14">
        <w:rPr>
          <w:rFonts w:asciiTheme="minorHAnsi" w:hAnsiTheme="minorHAnsi" w:cstheme="minorHAnsi"/>
          <w:sz w:val="22"/>
          <w:szCs w:val="22"/>
        </w:rPr>
        <w:t>Inchiri</w:t>
      </w:r>
      <w:proofErr w:type="spellEnd"/>
      <w:r w:rsidRPr="00DF1A14">
        <w:rPr>
          <w:rFonts w:asciiTheme="minorHAnsi" w:hAnsiTheme="minorHAnsi" w:cstheme="minorHAnsi"/>
          <w:sz w:val="22"/>
          <w:szCs w:val="22"/>
        </w:rPr>
        <w:t xml:space="preserve"> se confond avec la </w:t>
      </w:r>
      <w:proofErr w:type="spellStart"/>
      <w:r w:rsidR="001246CD">
        <w:rPr>
          <w:rFonts w:asciiTheme="minorHAnsi" w:hAnsiTheme="minorHAnsi" w:cstheme="minorHAnsi"/>
          <w:sz w:val="22"/>
          <w:szCs w:val="22"/>
        </w:rPr>
        <w:t>Moughataa</w:t>
      </w:r>
      <w:proofErr w:type="spellEnd"/>
      <w:r w:rsidRPr="00DF1A14">
        <w:rPr>
          <w:rFonts w:asciiTheme="minorHAnsi" w:hAnsiTheme="minorHAnsi" w:cstheme="minorHAnsi"/>
          <w:sz w:val="22"/>
          <w:szCs w:val="22"/>
        </w:rPr>
        <w:t xml:space="preserve"> d’Akjoujt, les données correspondent donc à l’un</w:t>
      </w:r>
      <w:r>
        <w:rPr>
          <w:rFonts w:asciiTheme="minorHAnsi" w:hAnsiTheme="minorHAnsi" w:cstheme="minorHAnsi"/>
          <w:sz w:val="22"/>
          <w:szCs w:val="22"/>
        </w:rPr>
        <w:t>e</w:t>
      </w:r>
      <w:r w:rsidRPr="00DF1A14">
        <w:rPr>
          <w:rFonts w:asciiTheme="minorHAnsi" w:hAnsiTheme="minorHAnsi" w:cstheme="minorHAnsi"/>
          <w:sz w:val="22"/>
          <w:szCs w:val="22"/>
        </w:rPr>
        <w:t xml:space="preserve"> et l’autre des circonscriptions administratives.</w:t>
      </w:r>
    </w:p>
    <w:p w:rsidR="00E651A6" w:rsidRPr="00DF1A14" w:rsidRDefault="00E651A6" w:rsidP="00E651A6">
      <w:pPr>
        <w:jc w:val="both"/>
        <w:rPr>
          <w:rFonts w:asciiTheme="minorHAnsi" w:hAnsiTheme="minorHAnsi" w:cstheme="minorHAnsi"/>
          <w:sz w:val="22"/>
          <w:szCs w:val="22"/>
        </w:rPr>
      </w:pPr>
    </w:p>
    <w:p w:rsidR="00E651A6" w:rsidRPr="00DF1A14" w:rsidRDefault="0027405D" w:rsidP="00E651A6">
      <w:pPr>
        <w:jc w:val="both"/>
        <w:rPr>
          <w:rFonts w:asciiTheme="minorHAnsi" w:hAnsiTheme="minorHAnsi" w:cstheme="minorHAnsi"/>
          <w:sz w:val="22"/>
          <w:szCs w:val="22"/>
        </w:rPr>
      </w:pPr>
      <w:r>
        <w:rPr>
          <w:rFonts w:asciiTheme="minorHAnsi" w:hAnsiTheme="minorHAnsi" w:cstheme="minorHAnsi"/>
          <w:sz w:val="22"/>
          <w:szCs w:val="22"/>
        </w:rPr>
        <w:t xml:space="preserve">La </w:t>
      </w:r>
      <w:r w:rsidR="001246CD">
        <w:rPr>
          <w:rFonts w:asciiTheme="minorHAnsi" w:hAnsiTheme="minorHAnsi" w:cstheme="minorHAnsi"/>
          <w:sz w:val="22"/>
          <w:szCs w:val="22"/>
        </w:rPr>
        <w:t>Wilaya</w:t>
      </w:r>
      <w:r>
        <w:rPr>
          <w:rFonts w:asciiTheme="minorHAnsi" w:hAnsiTheme="minorHAnsi" w:cstheme="minorHAnsi"/>
          <w:sz w:val="22"/>
          <w:szCs w:val="22"/>
        </w:rPr>
        <w:t xml:space="preserve"> de l’</w:t>
      </w:r>
      <w:proofErr w:type="spellStart"/>
      <w:r>
        <w:rPr>
          <w:rFonts w:asciiTheme="minorHAnsi" w:hAnsiTheme="minorHAnsi" w:cstheme="minorHAnsi"/>
          <w:sz w:val="22"/>
          <w:szCs w:val="22"/>
        </w:rPr>
        <w:t>Inchiri</w:t>
      </w:r>
      <w:proofErr w:type="spellEnd"/>
      <w:r w:rsidR="00E651A6" w:rsidRPr="00DF1A14">
        <w:rPr>
          <w:rFonts w:asciiTheme="minorHAnsi" w:hAnsiTheme="minorHAnsi" w:cstheme="minorHAnsi"/>
          <w:sz w:val="22"/>
          <w:szCs w:val="22"/>
        </w:rPr>
        <w:t>/</w:t>
      </w:r>
      <w:proofErr w:type="spellStart"/>
      <w:r w:rsidR="001246CD">
        <w:rPr>
          <w:rFonts w:asciiTheme="minorHAnsi" w:hAnsiTheme="minorHAnsi" w:cstheme="minorHAnsi"/>
          <w:sz w:val="22"/>
          <w:szCs w:val="22"/>
        </w:rPr>
        <w:t>Moughataa</w:t>
      </w:r>
      <w:proofErr w:type="spellEnd"/>
      <w:r w:rsidR="00E651A6" w:rsidRPr="00DF1A14">
        <w:rPr>
          <w:rFonts w:asciiTheme="minorHAnsi" w:hAnsiTheme="minorHAnsi" w:cstheme="minorHAnsi"/>
          <w:sz w:val="22"/>
          <w:szCs w:val="22"/>
        </w:rPr>
        <w:t xml:space="preserve"> d’Akjoujt </w:t>
      </w:r>
      <w:r>
        <w:rPr>
          <w:rFonts w:asciiTheme="minorHAnsi" w:hAnsiTheme="minorHAnsi" w:cstheme="minorHAnsi"/>
          <w:sz w:val="22"/>
          <w:szCs w:val="22"/>
        </w:rPr>
        <w:t>a bénéficié pour l’exercice 2012</w:t>
      </w:r>
      <w:r w:rsidR="00E651A6" w:rsidRPr="00DF1A14">
        <w:rPr>
          <w:rFonts w:asciiTheme="minorHAnsi" w:hAnsiTheme="minorHAnsi" w:cstheme="minorHAnsi"/>
          <w:sz w:val="22"/>
          <w:szCs w:val="22"/>
        </w:rPr>
        <w:t xml:space="preserve"> d’un FRD équipement de </w:t>
      </w:r>
      <w:r>
        <w:rPr>
          <w:rFonts w:asciiTheme="minorHAnsi" w:hAnsiTheme="minorHAnsi" w:cstheme="minorHAnsi"/>
          <w:b/>
          <w:sz w:val="22"/>
          <w:szCs w:val="22"/>
        </w:rPr>
        <w:t>9 130 407</w:t>
      </w:r>
      <w:r w:rsidR="00E651A6" w:rsidRPr="00DF1A14">
        <w:rPr>
          <w:rFonts w:asciiTheme="minorHAnsi" w:hAnsiTheme="minorHAnsi" w:cstheme="minorHAnsi"/>
          <w:b/>
          <w:sz w:val="22"/>
          <w:szCs w:val="22"/>
        </w:rPr>
        <w:t xml:space="preserve"> </w:t>
      </w:r>
      <w:proofErr w:type="gramStart"/>
      <w:r w:rsidR="004871EA">
        <w:rPr>
          <w:rFonts w:asciiTheme="minorHAnsi" w:hAnsiTheme="minorHAnsi" w:cstheme="minorHAnsi"/>
          <w:b/>
          <w:sz w:val="22"/>
          <w:szCs w:val="22"/>
        </w:rPr>
        <w:t>ouguiya</w:t>
      </w:r>
      <w:proofErr w:type="gramEnd"/>
      <w:r w:rsidR="00E651A6" w:rsidRPr="00DF1A14">
        <w:rPr>
          <w:rFonts w:asciiTheme="minorHAnsi" w:hAnsiTheme="minorHAnsi" w:cstheme="minorHAnsi"/>
          <w:sz w:val="22"/>
          <w:szCs w:val="22"/>
        </w:rPr>
        <w:t xml:space="preserve">, soit une hausse de </w:t>
      </w:r>
      <w:r>
        <w:rPr>
          <w:rFonts w:asciiTheme="minorHAnsi" w:hAnsiTheme="minorHAnsi" w:cstheme="minorHAnsi"/>
          <w:b/>
          <w:sz w:val="22"/>
          <w:szCs w:val="22"/>
        </w:rPr>
        <w:t>14,04</w:t>
      </w:r>
      <w:r w:rsidR="00E651A6" w:rsidRPr="00DF1A14">
        <w:rPr>
          <w:rFonts w:asciiTheme="minorHAnsi" w:hAnsiTheme="minorHAnsi" w:cstheme="minorHAnsi"/>
          <w:b/>
          <w:sz w:val="22"/>
          <w:szCs w:val="22"/>
        </w:rPr>
        <w:t>%.</w:t>
      </w:r>
      <w:r>
        <w:rPr>
          <w:rFonts w:asciiTheme="minorHAnsi" w:hAnsiTheme="minorHAnsi" w:cstheme="minorHAnsi"/>
          <w:sz w:val="22"/>
          <w:szCs w:val="22"/>
        </w:rPr>
        <w:t xml:space="preserve"> 10 264 262 </w:t>
      </w:r>
      <w:proofErr w:type="gramStart"/>
      <w:r w:rsidR="004871EA">
        <w:rPr>
          <w:rFonts w:asciiTheme="minorHAnsi" w:hAnsiTheme="minorHAnsi" w:cstheme="minorHAnsi"/>
          <w:sz w:val="22"/>
          <w:szCs w:val="22"/>
        </w:rPr>
        <w:t>ouguiya</w:t>
      </w:r>
      <w:proofErr w:type="gramEnd"/>
      <w:r>
        <w:rPr>
          <w:rFonts w:asciiTheme="minorHAnsi" w:hAnsiTheme="minorHAnsi" w:cstheme="minorHAnsi"/>
          <w:sz w:val="22"/>
          <w:szCs w:val="22"/>
        </w:rPr>
        <w:t xml:space="preserve"> ont été engagés en 2012</w:t>
      </w:r>
      <w:r w:rsidR="00E651A6" w:rsidRPr="00DF1A14">
        <w:rPr>
          <w:rFonts w:asciiTheme="minorHAnsi" w:hAnsiTheme="minorHAnsi" w:cstheme="minorHAnsi"/>
          <w:sz w:val="22"/>
          <w:szCs w:val="22"/>
        </w:rPr>
        <w:t xml:space="preserve">, soit un </w:t>
      </w:r>
      <w:r>
        <w:rPr>
          <w:rFonts w:asciiTheme="minorHAnsi" w:hAnsiTheme="minorHAnsi" w:cstheme="minorHAnsi"/>
          <w:b/>
          <w:sz w:val="22"/>
          <w:szCs w:val="22"/>
        </w:rPr>
        <w:t>taux d’absorption de 112,42</w:t>
      </w:r>
      <w:r w:rsidR="00E651A6" w:rsidRPr="00DF1A14">
        <w:rPr>
          <w:rFonts w:asciiTheme="minorHAnsi" w:hAnsiTheme="minorHAnsi" w:cstheme="minorHAnsi"/>
          <w:b/>
          <w:sz w:val="22"/>
          <w:szCs w:val="22"/>
        </w:rPr>
        <w:t>%</w:t>
      </w:r>
      <w:r w:rsidR="00E651A6" w:rsidRPr="00DF1A14">
        <w:rPr>
          <w:rFonts w:asciiTheme="minorHAnsi" w:hAnsiTheme="minorHAnsi" w:cstheme="minorHAnsi"/>
          <w:sz w:val="22"/>
          <w:szCs w:val="22"/>
        </w:rPr>
        <w:t xml:space="preserve">. </w:t>
      </w:r>
      <w:r w:rsidRPr="00DF1A14">
        <w:rPr>
          <w:rFonts w:asciiTheme="minorHAnsi" w:hAnsiTheme="minorHAnsi" w:cstheme="minorHAnsi"/>
          <w:sz w:val="22"/>
          <w:szCs w:val="22"/>
        </w:rPr>
        <w:t xml:space="preserve">Il s’agit d’un taux </w:t>
      </w:r>
      <w:r>
        <w:rPr>
          <w:rFonts w:asciiTheme="minorHAnsi" w:hAnsiTheme="minorHAnsi" w:cstheme="minorHAnsi"/>
          <w:sz w:val="22"/>
          <w:szCs w:val="22"/>
        </w:rPr>
        <w:t xml:space="preserve">très </w:t>
      </w:r>
      <w:r w:rsidRPr="00DF1A14">
        <w:rPr>
          <w:rFonts w:asciiTheme="minorHAnsi" w:hAnsiTheme="minorHAnsi" w:cstheme="minorHAnsi"/>
          <w:sz w:val="22"/>
          <w:szCs w:val="22"/>
        </w:rPr>
        <w:t>satisfaisant</w:t>
      </w:r>
      <w:r w:rsidR="0023164F">
        <w:rPr>
          <w:rFonts w:asciiTheme="minorHAnsi" w:hAnsiTheme="minorHAnsi" w:cstheme="minorHAnsi"/>
          <w:sz w:val="22"/>
          <w:szCs w:val="22"/>
        </w:rPr>
        <w:t xml:space="preserve">, plus pour la Commune d’Akjoujt (129,74%) que pour celle de </w:t>
      </w:r>
      <w:proofErr w:type="spellStart"/>
      <w:r w:rsidR="0023164F">
        <w:rPr>
          <w:rFonts w:asciiTheme="minorHAnsi" w:hAnsiTheme="minorHAnsi" w:cstheme="minorHAnsi"/>
          <w:sz w:val="22"/>
          <w:szCs w:val="22"/>
        </w:rPr>
        <w:t>Benichab</w:t>
      </w:r>
      <w:proofErr w:type="spellEnd"/>
      <w:r w:rsidR="0023164F">
        <w:rPr>
          <w:rFonts w:asciiTheme="minorHAnsi" w:hAnsiTheme="minorHAnsi" w:cstheme="minorHAnsi"/>
          <w:sz w:val="22"/>
          <w:szCs w:val="22"/>
        </w:rPr>
        <w:t xml:space="preserve"> (78,70%)</w:t>
      </w:r>
      <w:r w:rsidRPr="00DF1A14">
        <w:rPr>
          <w:rFonts w:asciiTheme="minorHAnsi" w:hAnsiTheme="minorHAnsi" w:cstheme="minorHAnsi"/>
          <w:sz w:val="22"/>
          <w:szCs w:val="22"/>
        </w:rPr>
        <w:t xml:space="preserve">. Ce taux est le résultat probable de l’utilisation des reliquats importants </w:t>
      </w:r>
      <w:r>
        <w:rPr>
          <w:rFonts w:asciiTheme="minorHAnsi" w:hAnsiTheme="minorHAnsi" w:cstheme="minorHAnsi"/>
          <w:sz w:val="22"/>
          <w:szCs w:val="22"/>
        </w:rPr>
        <w:t>des exercices antérieurs.</w:t>
      </w:r>
    </w:p>
    <w:p w:rsidR="00E651A6" w:rsidRDefault="00E651A6" w:rsidP="00E651A6">
      <w:pPr>
        <w:jc w:val="both"/>
        <w:rPr>
          <w:rFonts w:asciiTheme="minorHAnsi" w:hAnsiTheme="minorHAnsi" w:cstheme="minorHAnsi"/>
        </w:rPr>
      </w:pPr>
    </w:p>
    <w:p w:rsidR="00E651A6" w:rsidRDefault="00E651A6" w:rsidP="00E651A6">
      <w:pPr>
        <w:jc w:val="both"/>
        <w:rPr>
          <w:rFonts w:asciiTheme="minorHAnsi" w:hAnsiTheme="minorHAnsi" w:cstheme="minorHAnsi"/>
        </w:rPr>
      </w:pPr>
      <w:r w:rsidRPr="00D11399">
        <w:rPr>
          <w:noProof/>
        </w:rPr>
        <w:drawing>
          <wp:inline distT="0" distB="0" distL="0" distR="0">
            <wp:extent cx="6645910" cy="2419350"/>
            <wp:effectExtent l="19050" t="0" r="2540" b="0"/>
            <wp:docPr id="211"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4" cstate="print"/>
                    <a:srcRect/>
                    <a:stretch>
                      <a:fillRect/>
                    </a:stretch>
                  </pic:blipFill>
                  <pic:spPr bwMode="auto">
                    <a:xfrm>
                      <a:off x="0" y="0"/>
                      <a:ext cx="6645910" cy="2419350"/>
                    </a:xfrm>
                    <a:prstGeom prst="rect">
                      <a:avLst/>
                    </a:prstGeom>
                    <a:noFill/>
                    <a:ln w="9525">
                      <a:noFill/>
                      <a:miter lim="800000"/>
                      <a:headEnd/>
                      <a:tailEnd/>
                    </a:ln>
                  </pic:spPr>
                </pic:pic>
              </a:graphicData>
            </a:graphic>
          </wp:inline>
        </w:drawing>
      </w:r>
    </w:p>
    <w:p w:rsidR="00E651A6" w:rsidRDefault="00E651A6" w:rsidP="00E651A6">
      <w:pPr>
        <w:jc w:val="both"/>
        <w:rPr>
          <w:rFonts w:asciiTheme="minorHAnsi" w:hAnsiTheme="minorHAnsi" w:cstheme="minorHAnsi"/>
        </w:rPr>
      </w:pPr>
    </w:p>
    <w:p w:rsidR="00E651A6" w:rsidRDefault="00E651A6" w:rsidP="00E651A6">
      <w:pPr>
        <w:jc w:val="both"/>
        <w:rPr>
          <w:rFonts w:asciiTheme="minorHAnsi" w:hAnsiTheme="minorHAnsi" w:cstheme="minorHAnsi"/>
        </w:rPr>
      </w:pPr>
      <w:r w:rsidRPr="003F7B64">
        <w:rPr>
          <w:noProof/>
        </w:rPr>
        <w:drawing>
          <wp:inline distT="0" distB="0" distL="0" distR="0">
            <wp:extent cx="6645910" cy="2705100"/>
            <wp:effectExtent l="19050" t="0" r="2540" b="0"/>
            <wp:docPr id="213"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75" cstate="print"/>
                    <a:srcRect/>
                    <a:stretch>
                      <a:fillRect/>
                    </a:stretch>
                  </pic:blipFill>
                  <pic:spPr bwMode="auto">
                    <a:xfrm>
                      <a:off x="0" y="0"/>
                      <a:ext cx="6645910" cy="2705100"/>
                    </a:xfrm>
                    <a:prstGeom prst="rect">
                      <a:avLst/>
                    </a:prstGeom>
                    <a:noFill/>
                    <a:ln w="9525">
                      <a:noFill/>
                      <a:miter lim="800000"/>
                      <a:headEnd/>
                      <a:tailEnd/>
                    </a:ln>
                  </pic:spPr>
                </pic:pic>
              </a:graphicData>
            </a:graphic>
          </wp:inline>
        </w:drawing>
      </w:r>
    </w:p>
    <w:p w:rsidR="00E651A6" w:rsidRPr="00DF1A14" w:rsidRDefault="0072005A" w:rsidP="00E651A6">
      <w:pPr>
        <w:jc w:val="both"/>
        <w:rPr>
          <w:rFonts w:asciiTheme="minorHAnsi" w:hAnsiTheme="minorHAnsi" w:cstheme="minorHAnsi"/>
          <w:sz w:val="22"/>
          <w:szCs w:val="22"/>
        </w:rPr>
      </w:pPr>
      <w:r w:rsidRPr="0072005A">
        <w:rPr>
          <w:noProof/>
          <w:szCs w:val="22"/>
        </w:rPr>
        <w:drawing>
          <wp:inline distT="0" distB="0" distL="0" distR="0">
            <wp:extent cx="6645910" cy="957083"/>
            <wp:effectExtent l="19050" t="0" r="2540" b="0"/>
            <wp:docPr id="119" name="Imag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276" cstate="print"/>
                    <a:srcRect/>
                    <a:stretch>
                      <a:fillRect/>
                    </a:stretch>
                  </pic:blipFill>
                  <pic:spPr bwMode="auto">
                    <a:xfrm>
                      <a:off x="0" y="0"/>
                      <a:ext cx="6645910" cy="957083"/>
                    </a:xfrm>
                    <a:prstGeom prst="rect">
                      <a:avLst/>
                    </a:prstGeom>
                    <a:noFill/>
                    <a:ln w="9525">
                      <a:noFill/>
                      <a:miter lim="800000"/>
                      <a:headEnd/>
                      <a:tailEnd/>
                    </a:ln>
                  </pic:spPr>
                </pic:pic>
              </a:graphicData>
            </a:graphic>
          </wp:inline>
        </w:drawing>
      </w:r>
    </w:p>
    <w:p w:rsidR="0072005A" w:rsidRDefault="0072005A" w:rsidP="001F1D31">
      <w:pPr>
        <w:jc w:val="both"/>
        <w:rPr>
          <w:rFonts w:asciiTheme="minorHAnsi" w:hAnsiTheme="minorHAnsi" w:cstheme="minorHAnsi"/>
          <w:sz w:val="22"/>
          <w:szCs w:val="22"/>
        </w:rPr>
      </w:pPr>
    </w:p>
    <w:p w:rsidR="001F1D31" w:rsidRDefault="001F1D31" w:rsidP="001F1D31">
      <w:pPr>
        <w:jc w:val="both"/>
        <w:rPr>
          <w:rFonts w:asciiTheme="minorHAnsi" w:hAnsiTheme="minorHAnsi" w:cstheme="minorHAnsi"/>
          <w:sz w:val="22"/>
          <w:szCs w:val="22"/>
        </w:rPr>
      </w:pPr>
      <w:r>
        <w:rPr>
          <w:rFonts w:asciiTheme="minorHAnsi" w:hAnsiTheme="minorHAnsi" w:cstheme="minorHAnsi"/>
          <w:sz w:val="22"/>
          <w:szCs w:val="22"/>
        </w:rPr>
        <w:t>Ces engagements financiers 2012</w:t>
      </w:r>
      <w:r w:rsidR="00E651A6" w:rsidRPr="00DF1A14">
        <w:rPr>
          <w:rFonts w:asciiTheme="minorHAnsi" w:hAnsiTheme="minorHAnsi" w:cstheme="minorHAnsi"/>
          <w:sz w:val="22"/>
          <w:szCs w:val="22"/>
        </w:rPr>
        <w:t xml:space="preserve"> correspondent à </w:t>
      </w:r>
      <w:r w:rsidRPr="001F1D31">
        <w:rPr>
          <w:rFonts w:asciiTheme="minorHAnsi" w:hAnsiTheme="minorHAnsi" w:cstheme="minorHAnsi"/>
          <w:sz w:val="22"/>
          <w:szCs w:val="22"/>
        </w:rPr>
        <w:t>5</w:t>
      </w:r>
      <w:r w:rsidR="00E651A6" w:rsidRPr="001F1D31">
        <w:rPr>
          <w:rFonts w:asciiTheme="minorHAnsi" w:hAnsiTheme="minorHAnsi" w:cstheme="minorHAnsi"/>
          <w:sz w:val="22"/>
          <w:szCs w:val="22"/>
        </w:rPr>
        <w:t xml:space="preserve"> projets</w:t>
      </w:r>
      <w:r w:rsidR="00E651A6" w:rsidRPr="00DF1A14">
        <w:rPr>
          <w:rFonts w:asciiTheme="minorHAnsi" w:hAnsiTheme="minorHAnsi" w:cstheme="minorHAnsi"/>
          <w:sz w:val="22"/>
          <w:szCs w:val="22"/>
        </w:rPr>
        <w:t xml:space="preserve">. </w:t>
      </w:r>
      <w:r w:rsidRPr="0093300F">
        <w:rPr>
          <w:rFonts w:asciiTheme="minorHAnsi" w:hAnsiTheme="minorHAnsi" w:cstheme="minorHAnsi"/>
          <w:sz w:val="22"/>
          <w:szCs w:val="22"/>
        </w:rPr>
        <w:t>Le</w:t>
      </w:r>
      <w:r>
        <w:rPr>
          <w:rFonts w:asciiTheme="minorHAnsi" w:hAnsiTheme="minorHAnsi" w:cstheme="minorHAnsi"/>
          <w:sz w:val="22"/>
          <w:szCs w:val="22"/>
        </w:rPr>
        <w:t xml:space="preserve"> montant moyen par projet d’investissement progresse nettement (+46,96%), passant de 1 396 902 MRO en 2011 à 2 052 852 MRO en 2012, concomitamment à la quasi-stagnation du nombre de projets (6 en 2011 contre 5 en 2012). En comparaison de la moyenne nationale, ce montant est évidemment très satisfaisant.</w:t>
      </w:r>
    </w:p>
    <w:p w:rsidR="00E651A6" w:rsidRPr="00DF1A14" w:rsidRDefault="00E651A6" w:rsidP="00E651A6">
      <w:pPr>
        <w:jc w:val="both"/>
        <w:rPr>
          <w:rFonts w:asciiTheme="minorHAnsi" w:hAnsiTheme="minorHAnsi" w:cstheme="minorHAnsi"/>
          <w:sz w:val="22"/>
          <w:szCs w:val="22"/>
        </w:rPr>
      </w:pPr>
    </w:p>
    <w:p w:rsidR="00E651A6" w:rsidRPr="00DF1A14" w:rsidRDefault="00E651A6" w:rsidP="00E651A6">
      <w:pPr>
        <w:jc w:val="both"/>
        <w:rPr>
          <w:rFonts w:asciiTheme="minorHAnsi" w:hAnsiTheme="minorHAnsi" w:cstheme="minorHAnsi"/>
          <w:sz w:val="22"/>
          <w:szCs w:val="22"/>
        </w:rPr>
      </w:pPr>
      <w:r w:rsidRPr="008811AE">
        <w:rPr>
          <w:noProof/>
        </w:rPr>
        <w:drawing>
          <wp:inline distT="0" distB="0" distL="0" distR="0">
            <wp:extent cx="6645910" cy="3086100"/>
            <wp:effectExtent l="19050" t="0" r="2540" b="0"/>
            <wp:docPr id="214"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7" cstate="print"/>
                    <a:stretch>
                      <a:fillRect/>
                    </a:stretch>
                  </pic:blipFill>
                  <pic:spPr>
                    <a:xfrm>
                      <a:off x="0" y="0"/>
                      <a:ext cx="6645081" cy="3085715"/>
                    </a:xfrm>
                    <a:prstGeom prst="rect">
                      <a:avLst/>
                    </a:prstGeom>
                  </pic:spPr>
                </pic:pic>
              </a:graphicData>
            </a:graphic>
          </wp:inline>
        </w:drawing>
      </w:r>
    </w:p>
    <w:p w:rsidR="00E651A6" w:rsidRPr="00DF1A14" w:rsidRDefault="0023164F" w:rsidP="00E651A6">
      <w:pPr>
        <w:jc w:val="both"/>
        <w:rPr>
          <w:rFonts w:asciiTheme="minorHAnsi" w:hAnsiTheme="minorHAnsi" w:cstheme="minorHAnsi"/>
          <w:sz w:val="22"/>
          <w:szCs w:val="22"/>
        </w:rPr>
      </w:pPr>
      <w:r w:rsidRPr="0023164F">
        <w:rPr>
          <w:noProof/>
        </w:rPr>
        <w:drawing>
          <wp:inline distT="0" distB="0" distL="0" distR="0">
            <wp:extent cx="6645910" cy="1971675"/>
            <wp:effectExtent l="19050" t="0" r="2540" b="0"/>
            <wp:docPr id="307"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8" cstate="print"/>
                    <a:stretch>
                      <a:fillRect/>
                    </a:stretch>
                  </pic:blipFill>
                  <pic:spPr>
                    <a:xfrm>
                      <a:off x="0" y="0"/>
                      <a:ext cx="6649371" cy="1972702"/>
                    </a:xfrm>
                    <a:prstGeom prst="rect">
                      <a:avLst/>
                    </a:prstGeom>
                  </pic:spPr>
                </pic:pic>
              </a:graphicData>
            </a:graphic>
          </wp:inline>
        </w:drawing>
      </w:r>
    </w:p>
    <w:p w:rsidR="0072005A" w:rsidRDefault="0072005A" w:rsidP="001F1D31">
      <w:pPr>
        <w:jc w:val="both"/>
        <w:rPr>
          <w:rFonts w:asciiTheme="minorHAnsi" w:hAnsiTheme="minorHAnsi" w:cstheme="minorHAnsi"/>
          <w:sz w:val="22"/>
          <w:szCs w:val="22"/>
        </w:rPr>
      </w:pPr>
    </w:p>
    <w:p w:rsidR="001F1D31" w:rsidRDefault="001F1D31" w:rsidP="001F1D31">
      <w:pPr>
        <w:jc w:val="both"/>
        <w:rPr>
          <w:rFonts w:asciiTheme="minorHAnsi" w:hAnsiTheme="minorHAnsi" w:cstheme="minorHAnsi"/>
          <w:sz w:val="22"/>
          <w:szCs w:val="22"/>
        </w:rPr>
      </w:pPr>
      <w:r>
        <w:rPr>
          <w:rFonts w:asciiTheme="minorHAnsi" w:hAnsiTheme="minorHAnsi" w:cstheme="minorHAnsi"/>
          <w:sz w:val="22"/>
          <w:szCs w:val="22"/>
        </w:rPr>
        <w:t>En termes de priorités d’investissement, l’éducation vient en première position avec 38,87% des engagements, pour un projet unique à 3 990 000 MRO.</w:t>
      </w:r>
    </w:p>
    <w:p w:rsidR="001F1D31" w:rsidRPr="0093300F" w:rsidRDefault="001F1D31" w:rsidP="001F1D31">
      <w:pPr>
        <w:jc w:val="both"/>
        <w:rPr>
          <w:rFonts w:asciiTheme="minorHAnsi" w:hAnsiTheme="minorHAnsi" w:cstheme="minorHAnsi"/>
          <w:sz w:val="22"/>
          <w:szCs w:val="22"/>
        </w:rPr>
      </w:pPr>
      <w:r>
        <w:rPr>
          <w:rFonts w:asciiTheme="minorHAnsi" w:hAnsiTheme="minorHAnsi" w:cstheme="minorHAnsi"/>
          <w:sz w:val="22"/>
          <w:szCs w:val="22"/>
        </w:rPr>
        <w:t xml:space="preserve">Ensuite, viennent en deuxième position les travaux d’assainissement avec 33,12% des engagements, soit 3 400 000 MRO pour 1 projet. </w:t>
      </w:r>
    </w:p>
    <w:p w:rsidR="001F1D31" w:rsidRDefault="001F1D31" w:rsidP="001F1D31">
      <w:pPr>
        <w:jc w:val="both"/>
        <w:rPr>
          <w:rFonts w:asciiTheme="minorHAnsi" w:hAnsiTheme="minorHAnsi" w:cstheme="minorHAnsi"/>
          <w:sz w:val="22"/>
          <w:szCs w:val="22"/>
        </w:rPr>
      </w:pPr>
      <w:r>
        <w:rPr>
          <w:rFonts w:asciiTheme="minorHAnsi" w:hAnsiTheme="minorHAnsi" w:cstheme="minorHAnsi"/>
          <w:sz w:val="22"/>
          <w:szCs w:val="22"/>
        </w:rPr>
        <w:t>En troisième position, le secteur de la santé avec 23,75%</w:t>
      </w:r>
      <w:r w:rsidR="008F0EFB">
        <w:rPr>
          <w:rFonts w:asciiTheme="minorHAnsi" w:hAnsiTheme="minorHAnsi" w:cstheme="minorHAnsi"/>
          <w:sz w:val="22"/>
          <w:szCs w:val="22"/>
        </w:rPr>
        <w:t xml:space="preserve"> des engagements, soit 2 438 262 MRO pour 2</w:t>
      </w:r>
      <w:r>
        <w:rPr>
          <w:rFonts w:asciiTheme="minorHAnsi" w:hAnsiTheme="minorHAnsi" w:cstheme="minorHAnsi"/>
          <w:sz w:val="22"/>
          <w:szCs w:val="22"/>
        </w:rPr>
        <w:t xml:space="preserve"> projet</w:t>
      </w:r>
      <w:r w:rsidR="008F0EFB">
        <w:rPr>
          <w:rFonts w:asciiTheme="minorHAnsi" w:hAnsiTheme="minorHAnsi" w:cstheme="minorHAnsi"/>
          <w:sz w:val="22"/>
          <w:szCs w:val="22"/>
        </w:rPr>
        <w:t>s</w:t>
      </w:r>
      <w:r>
        <w:rPr>
          <w:rFonts w:asciiTheme="minorHAnsi" w:hAnsiTheme="minorHAnsi" w:cstheme="minorHAnsi"/>
          <w:sz w:val="22"/>
          <w:szCs w:val="22"/>
        </w:rPr>
        <w:t>.</w:t>
      </w:r>
    </w:p>
    <w:p w:rsidR="00E651A6" w:rsidRDefault="00E651A6" w:rsidP="00E651A6">
      <w:pPr>
        <w:jc w:val="both"/>
        <w:rPr>
          <w:rFonts w:asciiTheme="minorHAnsi" w:hAnsiTheme="minorHAnsi" w:cstheme="minorHAnsi"/>
          <w:sz w:val="22"/>
          <w:szCs w:val="22"/>
        </w:rPr>
      </w:pPr>
    </w:p>
    <w:p w:rsidR="00E651A6" w:rsidRDefault="00E651A6" w:rsidP="00E651A6">
      <w:pPr>
        <w:jc w:val="both"/>
        <w:rPr>
          <w:rFonts w:asciiTheme="minorHAnsi" w:hAnsiTheme="minorHAnsi" w:cstheme="minorHAnsi"/>
          <w:b/>
        </w:rPr>
      </w:pPr>
    </w:p>
    <w:p w:rsidR="00E651A6" w:rsidRDefault="00E651A6" w:rsidP="00E651A6">
      <w:pPr>
        <w:jc w:val="both"/>
        <w:rPr>
          <w:rFonts w:asciiTheme="minorHAnsi" w:hAnsiTheme="minorHAnsi" w:cstheme="minorHAnsi"/>
          <w:sz w:val="22"/>
          <w:szCs w:val="22"/>
        </w:rPr>
      </w:pPr>
    </w:p>
    <w:p w:rsidR="00E651A6" w:rsidRDefault="00E651A6">
      <w:pPr>
        <w:spacing w:after="200" w:line="276" w:lineRule="auto"/>
        <w:rPr>
          <w:rFonts w:asciiTheme="minorHAnsi" w:hAnsiTheme="minorHAnsi" w:cstheme="minorHAnsi"/>
          <w:b/>
          <w:sz w:val="22"/>
          <w:szCs w:val="22"/>
        </w:rPr>
      </w:pPr>
      <w:r>
        <w:rPr>
          <w:rFonts w:asciiTheme="minorHAnsi" w:hAnsiTheme="minorHAnsi" w:cstheme="minorHAnsi"/>
          <w:b/>
          <w:sz w:val="22"/>
          <w:szCs w:val="22"/>
        </w:rPr>
        <w:br w:type="page"/>
      </w:r>
    </w:p>
    <w:p w:rsidR="001C536E" w:rsidRDefault="001246CD" w:rsidP="00C01EA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2D050"/>
        <w:rPr>
          <w:rFonts w:asciiTheme="minorHAnsi" w:hAnsiTheme="minorHAnsi" w:cstheme="minorHAnsi"/>
          <w:b/>
          <w:smallCaps/>
          <w:sz w:val="28"/>
          <w:szCs w:val="28"/>
        </w:rPr>
      </w:pPr>
      <w:r>
        <w:rPr>
          <w:rFonts w:asciiTheme="minorHAnsi" w:hAnsiTheme="minorHAnsi" w:cstheme="minorHAnsi"/>
          <w:b/>
          <w:smallCaps/>
          <w:sz w:val="28"/>
          <w:szCs w:val="28"/>
        </w:rPr>
        <w:t>Wilaya</w:t>
      </w:r>
      <w:r w:rsidR="00A27296" w:rsidRPr="00E651A6">
        <w:rPr>
          <w:rFonts w:asciiTheme="minorHAnsi" w:hAnsiTheme="minorHAnsi" w:cstheme="minorHAnsi"/>
          <w:b/>
          <w:smallCaps/>
          <w:sz w:val="28"/>
          <w:szCs w:val="28"/>
        </w:rPr>
        <w:t xml:space="preserve"> de Nouakchott</w:t>
      </w:r>
    </w:p>
    <w:p w:rsidR="001C536E" w:rsidRDefault="001C536E" w:rsidP="00A27296">
      <w:pPr>
        <w:pStyle w:val="Paragraphedeliste"/>
        <w:ind w:left="0"/>
        <w:rPr>
          <w:rFonts w:asciiTheme="minorHAnsi" w:hAnsiTheme="minorHAnsi" w:cstheme="minorHAnsi"/>
          <w:b/>
          <w:smallCaps/>
          <w:sz w:val="28"/>
          <w:szCs w:val="28"/>
        </w:rPr>
      </w:pPr>
    </w:p>
    <w:p w:rsidR="001C536E" w:rsidRDefault="00C01EAD" w:rsidP="00A27296">
      <w:pPr>
        <w:pStyle w:val="Paragraphedeliste"/>
        <w:ind w:left="0"/>
        <w:rPr>
          <w:rFonts w:asciiTheme="minorHAnsi" w:hAnsiTheme="minorHAnsi" w:cstheme="minorHAnsi"/>
          <w:b/>
          <w:smallCaps/>
          <w:sz w:val="28"/>
          <w:szCs w:val="28"/>
        </w:rPr>
      </w:pPr>
      <w:r w:rsidRPr="00C01EAD">
        <w:rPr>
          <w:noProof/>
        </w:rPr>
        <w:drawing>
          <wp:inline distT="0" distB="0" distL="0" distR="0">
            <wp:extent cx="6629398" cy="4105275"/>
            <wp:effectExtent l="19050" t="0" r="2" b="0"/>
            <wp:docPr id="292"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9" cstate="print"/>
                    <a:stretch>
                      <a:fillRect/>
                    </a:stretch>
                  </pic:blipFill>
                  <pic:spPr>
                    <a:xfrm>
                      <a:off x="0" y="0"/>
                      <a:ext cx="6644132" cy="4114399"/>
                    </a:xfrm>
                    <a:prstGeom prst="rect">
                      <a:avLst/>
                    </a:prstGeom>
                  </pic:spPr>
                </pic:pic>
              </a:graphicData>
            </a:graphic>
          </wp:inline>
        </w:drawing>
      </w:r>
    </w:p>
    <w:p w:rsidR="00C01EAD" w:rsidRPr="00D06D03" w:rsidRDefault="00C01EAD" w:rsidP="00A27296">
      <w:pPr>
        <w:pStyle w:val="Paragraphedeliste"/>
        <w:ind w:left="0"/>
        <w:rPr>
          <w:rFonts w:asciiTheme="minorHAnsi" w:hAnsiTheme="minorHAnsi" w:cstheme="minorHAnsi"/>
          <w:b/>
          <w:smallCaps/>
          <w:sz w:val="28"/>
          <w:szCs w:val="28"/>
        </w:rPr>
      </w:pPr>
    </w:p>
    <w:p w:rsidR="00454052" w:rsidRDefault="00454052" w:rsidP="00A27296">
      <w:pPr>
        <w:jc w:val="both"/>
        <w:rPr>
          <w:rFonts w:asciiTheme="minorHAnsi" w:hAnsiTheme="minorHAnsi" w:cstheme="minorHAnsi"/>
          <w:sz w:val="22"/>
          <w:szCs w:val="22"/>
        </w:rPr>
      </w:pPr>
      <w:r>
        <w:rPr>
          <w:rFonts w:asciiTheme="minorHAnsi" w:hAnsiTheme="minorHAnsi" w:cstheme="minorHAnsi"/>
          <w:sz w:val="22"/>
          <w:szCs w:val="22"/>
        </w:rPr>
        <w:t xml:space="preserve">Toutes les communes de la </w:t>
      </w:r>
      <w:r w:rsidR="001246CD">
        <w:rPr>
          <w:rFonts w:asciiTheme="minorHAnsi" w:hAnsiTheme="minorHAnsi" w:cstheme="minorHAnsi"/>
          <w:sz w:val="22"/>
          <w:szCs w:val="22"/>
        </w:rPr>
        <w:t>Wilaya</w:t>
      </w:r>
      <w:r>
        <w:rPr>
          <w:rFonts w:asciiTheme="minorHAnsi" w:hAnsiTheme="minorHAnsi" w:cstheme="minorHAnsi"/>
          <w:sz w:val="22"/>
          <w:szCs w:val="22"/>
        </w:rPr>
        <w:t xml:space="preserve"> de Nouakchott ont transmis cette année leur rapport, contrairement à l’année dernière où Riyad n’avait pas transmis le sien.</w:t>
      </w:r>
    </w:p>
    <w:p w:rsidR="00454052" w:rsidRDefault="00A27296" w:rsidP="00A27296">
      <w:pPr>
        <w:jc w:val="both"/>
        <w:rPr>
          <w:rFonts w:asciiTheme="minorHAnsi" w:hAnsiTheme="minorHAnsi" w:cstheme="minorHAnsi"/>
          <w:sz w:val="22"/>
          <w:szCs w:val="22"/>
        </w:rPr>
      </w:pPr>
      <w:r w:rsidRPr="00A9657A">
        <w:rPr>
          <w:rFonts w:asciiTheme="minorHAnsi" w:hAnsiTheme="minorHAnsi" w:cstheme="minorHAnsi"/>
          <w:sz w:val="22"/>
          <w:szCs w:val="22"/>
        </w:rPr>
        <w:t xml:space="preserve">La </w:t>
      </w:r>
      <w:r w:rsidR="001246CD">
        <w:rPr>
          <w:rFonts w:asciiTheme="minorHAnsi" w:hAnsiTheme="minorHAnsi" w:cstheme="minorHAnsi"/>
          <w:sz w:val="22"/>
          <w:szCs w:val="22"/>
        </w:rPr>
        <w:t>Wilaya</w:t>
      </w:r>
      <w:r w:rsidRPr="00A9657A">
        <w:rPr>
          <w:rFonts w:asciiTheme="minorHAnsi" w:hAnsiTheme="minorHAnsi" w:cstheme="minorHAnsi"/>
          <w:sz w:val="22"/>
          <w:szCs w:val="22"/>
        </w:rPr>
        <w:t xml:space="preserve"> de Nouakchott </w:t>
      </w:r>
      <w:r w:rsidR="0010457B">
        <w:rPr>
          <w:rFonts w:asciiTheme="minorHAnsi" w:hAnsiTheme="minorHAnsi" w:cstheme="minorHAnsi"/>
          <w:sz w:val="22"/>
          <w:szCs w:val="22"/>
        </w:rPr>
        <w:t>a bénéficié pour l’exercice 2012</w:t>
      </w:r>
      <w:r w:rsidRPr="00A9657A">
        <w:rPr>
          <w:rFonts w:asciiTheme="minorHAnsi" w:hAnsiTheme="minorHAnsi" w:cstheme="minorHAnsi"/>
          <w:sz w:val="22"/>
          <w:szCs w:val="22"/>
        </w:rPr>
        <w:t xml:space="preserve"> d’un FRD équipement de </w:t>
      </w:r>
      <w:r w:rsidR="0010457B">
        <w:rPr>
          <w:rFonts w:asciiTheme="minorHAnsi" w:hAnsiTheme="minorHAnsi" w:cstheme="minorHAnsi"/>
          <w:b/>
          <w:sz w:val="22"/>
          <w:szCs w:val="22"/>
        </w:rPr>
        <w:t>496 028 633</w:t>
      </w:r>
      <w:r w:rsidRPr="00A9657A">
        <w:rPr>
          <w:rFonts w:asciiTheme="minorHAnsi" w:hAnsiTheme="minorHAnsi" w:cstheme="minorHAnsi"/>
          <w:b/>
          <w:sz w:val="22"/>
          <w:szCs w:val="22"/>
        </w:rPr>
        <w:t xml:space="preserve"> </w:t>
      </w:r>
      <w:proofErr w:type="gramStart"/>
      <w:r w:rsidR="004871EA">
        <w:rPr>
          <w:rFonts w:asciiTheme="minorHAnsi" w:hAnsiTheme="minorHAnsi" w:cstheme="minorHAnsi"/>
          <w:b/>
          <w:sz w:val="22"/>
          <w:szCs w:val="22"/>
        </w:rPr>
        <w:t>ouguiya</w:t>
      </w:r>
      <w:proofErr w:type="gramEnd"/>
      <w:r w:rsidRPr="00A9657A">
        <w:rPr>
          <w:rFonts w:asciiTheme="minorHAnsi" w:hAnsiTheme="minorHAnsi" w:cstheme="minorHAnsi"/>
          <w:sz w:val="22"/>
          <w:szCs w:val="22"/>
        </w:rPr>
        <w:t xml:space="preserve">, soit une hausse de </w:t>
      </w:r>
      <w:r w:rsidR="0010457B">
        <w:rPr>
          <w:rFonts w:asciiTheme="minorHAnsi" w:hAnsiTheme="minorHAnsi" w:cstheme="minorHAnsi"/>
          <w:b/>
          <w:sz w:val="22"/>
          <w:szCs w:val="22"/>
        </w:rPr>
        <w:t>18,62</w:t>
      </w:r>
      <w:r w:rsidRPr="00A9657A">
        <w:rPr>
          <w:rFonts w:asciiTheme="minorHAnsi" w:hAnsiTheme="minorHAnsi" w:cstheme="minorHAnsi"/>
          <w:b/>
          <w:sz w:val="22"/>
          <w:szCs w:val="22"/>
        </w:rPr>
        <w:t>%.</w:t>
      </w:r>
    </w:p>
    <w:p w:rsidR="00A27296" w:rsidRPr="00A9657A" w:rsidRDefault="0010457B" w:rsidP="00A27296">
      <w:pPr>
        <w:jc w:val="both"/>
        <w:rPr>
          <w:rFonts w:asciiTheme="minorHAnsi" w:hAnsiTheme="minorHAnsi" w:cstheme="minorHAnsi"/>
          <w:sz w:val="22"/>
          <w:szCs w:val="22"/>
        </w:rPr>
      </w:pPr>
      <w:r>
        <w:rPr>
          <w:rFonts w:asciiTheme="minorHAnsi" w:hAnsiTheme="minorHAnsi" w:cstheme="minorHAnsi"/>
          <w:sz w:val="22"/>
          <w:szCs w:val="22"/>
        </w:rPr>
        <w:t xml:space="preserve">410 017 373 </w:t>
      </w:r>
      <w:proofErr w:type="gramStart"/>
      <w:r w:rsidR="004871EA">
        <w:rPr>
          <w:rFonts w:asciiTheme="minorHAnsi" w:hAnsiTheme="minorHAnsi" w:cstheme="minorHAnsi"/>
          <w:sz w:val="22"/>
          <w:szCs w:val="22"/>
        </w:rPr>
        <w:t>ouguiya</w:t>
      </w:r>
      <w:proofErr w:type="gramEnd"/>
      <w:r>
        <w:rPr>
          <w:rFonts w:asciiTheme="minorHAnsi" w:hAnsiTheme="minorHAnsi" w:cstheme="minorHAnsi"/>
          <w:sz w:val="22"/>
          <w:szCs w:val="22"/>
        </w:rPr>
        <w:t xml:space="preserve"> ont été engagés en 2012</w:t>
      </w:r>
      <w:r w:rsidR="00A27296" w:rsidRPr="00A9657A">
        <w:rPr>
          <w:rFonts w:asciiTheme="minorHAnsi" w:hAnsiTheme="minorHAnsi" w:cstheme="minorHAnsi"/>
          <w:sz w:val="22"/>
          <w:szCs w:val="22"/>
        </w:rPr>
        <w:t xml:space="preserve">, soit un </w:t>
      </w:r>
      <w:r>
        <w:rPr>
          <w:rFonts w:asciiTheme="minorHAnsi" w:hAnsiTheme="minorHAnsi" w:cstheme="minorHAnsi"/>
          <w:b/>
          <w:sz w:val="22"/>
          <w:szCs w:val="22"/>
        </w:rPr>
        <w:t>taux d’absorption de 82,66</w:t>
      </w:r>
      <w:r w:rsidR="00A27296" w:rsidRPr="00A9657A">
        <w:rPr>
          <w:rFonts w:asciiTheme="minorHAnsi" w:hAnsiTheme="minorHAnsi" w:cstheme="minorHAnsi"/>
          <w:b/>
          <w:sz w:val="22"/>
          <w:szCs w:val="22"/>
        </w:rPr>
        <w:t>%</w:t>
      </w:r>
      <w:r w:rsidR="00A27296" w:rsidRPr="00A9657A">
        <w:rPr>
          <w:rFonts w:asciiTheme="minorHAnsi" w:hAnsiTheme="minorHAnsi" w:cstheme="minorHAnsi"/>
          <w:sz w:val="22"/>
          <w:szCs w:val="22"/>
        </w:rPr>
        <w:t xml:space="preserve">. </w:t>
      </w:r>
    </w:p>
    <w:p w:rsidR="00A27296" w:rsidRDefault="00A27296" w:rsidP="00A27296">
      <w:pPr>
        <w:jc w:val="both"/>
        <w:rPr>
          <w:rFonts w:asciiTheme="minorHAnsi" w:hAnsiTheme="minorHAnsi" w:cstheme="minorHAnsi"/>
          <w:sz w:val="22"/>
          <w:szCs w:val="22"/>
        </w:rPr>
      </w:pPr>
    </w:p>
    <w:p w:rsidR="00A27296" w:rsidRDefault="00557394" w:rsidP="00A27296">
      <w:pPr>
        <w:jc w:val="both"/>
        <w:rPr>
          <w:rFonts w:asciiTheme="minorHAnsi" w:hAnsiTheme="minorHAnsi" w:cstheme="minorHAnsi"/>
          <w:sz w:val="22"/>
          <w:szCs w:val="22"/>
        </w:rPr>
      </w:pPr>
      <w:r w:rsidRPr="00557394">
        <w:rPr>
          <w:noProof/>
          <w:szCs w:val="22"/>
        </w:rPr>
        <w:drawing>
          <wp:inline distT="0" distB="0" distL="0" distR="0">
            <wp:extent cx="6645910" cy="2381250"/>
            <wp:effectExtent l="19050" t="0" r="2540" b="0"/>
            <wp:docPr id="189"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0" cstate="print"/>
                    <a:srcRect/>
                    <a:stretch>
                      <a:fillRect/>
                    </a:stretch>
                  </pic:blipFill>
                  <pic:spPr bwMode="auto">
                    <a:xfrm>
                      <a:off x="0" y="0"/>
                      <a:ext cx="6645910" cy="2381250"/>
                    </a:xfrm>
                    <a:prstGeom prst="rect">
                      <a:avLst/>
                    </a:prstGeom>
                    <a:noFill/>
                    <a:ln w="9525">
                      <a:noFill/>
                      <a:miter lim="800000"/>
                      <a:headEnd/>
                      <a:tailEnd/>
                    </a:ln>
                  </pic:spPr>
                </pic:pic>
              </a:graphicData>
            </a:graphic>
          </wp:inline>
        </w:drawing>
      </w:r>
    </w:p>
    <w:p w:rsidR="008147FA" w:rsidRDefault="008147FA" w:rsidP="0010457B">
      <w:pPr>
        <w:jc w:val="both"/>
        <w:rPr>
          <w:rFonts w:asciiTheme="minorHAnsi" w:hAnsiTheme="minorHAnsi" w:cstheme="minorHAnsi"/>
          <w:sz w:val="22"/>
          <w:szCs w:val="22"/>
        </w:rPr>
      </w:pPr>
    </w:p>
    <w:p w:rsidR="008147FA" w:rsidRDefault="0010457B" w:rsidP="0010457B">
      <w:pPr>
        <w:jc w:val="both"/>
        <w:rPr>
          <w:rFonts w:asciiTheme="minorHAnsi" w:hAnsiTheme="minorHAnsi" w:cstheme="minorHAnsi"/>
          <w:sz w:val="22"/>
          <w:szCs w:val="22"/>
        </w:rPr>
      </w:pPr>
      <w:r>
        <w:rPr>
          <w:rFonts w:asciiTheme="minorHAnsi" w:hAnsiTheme="minorHAnsi" w:cstheme="minorHAnsi"/>
          <w:sz w:val="22"/>
          <w:szCs w:val="22"/>
        </w:rPr>
        <w:t>Ce taux d’absorption bas (plus de 10 points d’écart avec la moyenne nationale)</w:t>
      </w:r>
      <w:r w:rsidR="0075280B">
        <w:rPr>
          <w:rFonts w:asciiTheme="minorHAnsi" w:hAnsiTheme="minorHAnsi" w:cstheme="minorHAnsi"/>
          <w:sz w:val="22"/>
          <w:szCs w:val="22"/>
        </w:rPr>
        <w:t xml:space="preserve"> </w:t>
      </w:r>
      <w:r>
        <w:rPr>
          <w:rFonts w:asciiTheme="minorHAnsi" w:hAnsiTheme="minorHAnsi" w:cstheme="minorHAnsi"/>
          <w:sz w:val="22"/>
          <w:szCs w:val="22"/>
        </w:rPr>
        <w:t>est en baisse</w:t>
      </w:r>
      <w:r w:rsidRPr="00A9657A">
        <w:rPr>
          <w:rFonts w:asciiTheme="minorHAnsi" w:hAnsiTheme="minorHAnsi" w:cstheme="minorHAnsi"/>
          <w:sz w:val="22"/>
          <w:szCs w:val="22"/>
        </w:rPr>
        <w:t xml:space="preserve"> par rapport à ceux des années précédentes</w:t>
      </w:r>
      <w:r w:rsidR="0075280B">
        <w:rPr>
          <w:rFonts w:asciiTheme="minorHAnsi" w:hAnsiTheme="minorHAnsi" w:cstheme="minorHAnsi"/>
          <w:sz w:val="22"/>
          <w:szCs w:val="22"/>
        </w:rPr>
        <w:t xml:space="preserve"> (-7,06% par rapport au taux de 2011)</w:t>
      </w:r>
      <w:r w:rsidR="008147FA">
        <w:rPr>
          <w:rFonts w:asciiTheme="minorHAnsi" w:hAnsiTheme="minorHAnsi" w:cstheme="minorHAnsi"/>
          <w:sz w:val="22"/>
          <w:szCs w:val="22"/>
        </w:rPr>
        <w:t>.</w:t>
      </w:r>
    </w:p>
    <w:p w:rsidR="00A27296" w:rsidRDefault="0075280B" w:rsidP="00A27296">
      <w:pPr>
        <w:jc w:val="both"/>
        <w:rPr>
          <w:rFonts w:asciiTheme="minorHAnsi" w:hAnsiTheme="minorHAnsi" w:cstheme="minorHAnsi"/>
          <w:sz w:val="22"/>
          <w:szCs w:val="22"/>
        </w:rPr>
      </w:pPr>
      <w:r>
        <w:rPr>
          <w:rFonts w:asciiTheme="minorHAnsi" w:hAnsiTheme="minorHAnsi" w:cstheme="minorHAnsi"/>
          <w:sz w:val="22"/>
          <w:szCs w:val="22"/>
        </w:rPr>
        <w:t xml:space="preserve">Il n’est </w:t>
      </w:r>
      <w:r w:rsidR="002164E3">
        <w:rPr>
          <w:rFonts w:asciiTheme="minorHAnsi" w:hAnsiTheme="minorHAnsi" w:cstheme="minorHAnsi"/>
          <w:sz w:val="22"/>
          <w:szCs w:val="22"/>
        </w:rPr>
        <w:t xml:space="preserve">apparemment </w:t>
      </w:r>
      <w:r>
        <w:rPr>
          <w:rFonts w:asciiTheme="minorHAnsi" w:hAnsiTheme="minorHAnsi" w:cstheme="minorHAnsi"/>
          <w:sz w:val="22"/>
          <w:szCs w:val="22"/>
        </w:rPr>
        <w:t xml:space="preserve">pas </w:t>
      </w:r>
      <w:r w:rsidR="008147FA">
        <w:rPr>
          <w:rFonts w:asciiTheme="minorHAnsi" w:hAnsiTheme="minorHAnsi" w:cstheme="minorHAnsi"/>
          <w:sz w:val="22"/>
          <w:szCs w:val="22"/>
        </w:rPr>
        <w:t>satisfaisant</w:t>
      </w:r>
      <w:r>
        <w:rPr>
          <w:rFonts w:asciiTheme="minorHAnsi" w:hAnsiTheme="minorHAnsi" w:cstheme="minorHAnsi"/>
          <w:sz w:val="22"/>
          <w:szCs w:val="22"/>
        </w:rPr>
        <w:t>, en particulier</w:t>
      </w:r>
      <w:r w:rsidR="0010457B">
        <w:rPr>
          <w:rFonts w:asciiTheme="minorHAnsi" w:hAnsiTheme="minorHAnsi" w:cstheme="minorHAnsi"/>
          <w:sz w:val="22"/>
          <w:szCs w:val="22"/>
        </w:rPr>
        <w:t xml:space="preserve"> </w:t>
      </w:r>
      <w:r w:rsidR="0010457B" w:rsidRPr="00A9657A">
        <w:rPr>
          <w:rFonts w:asciiTheme="minorHAnsi" w:hAnsiTheme="minorHAnsi" w:cstheme="minorHAnsi"/>
          <w:sz w:val="22"/>
          <w:szCs w:val="22"/>
        </w:rPr>
        <w:t>au regard des reliquats accu</w:t>
      </w:r>
      <w:r>
        <w:rPr>
          <w:rFonts w:asciiTheme="minorHAnsi" w:hAnsiTheme="minorHAnsi" w:cstheme="minorHAnsi"/>
          <w:sz w:val="22"/>
          <w:szCs w:val="22"/>
        </w:rPr>
        <w:t>mulés les années précédentes</w:t>
      </w:r>
      <w:r w:rsidR="008147FA">
        <w:rPr>
          <w:rFonts w:asciiTheme="minorHAnsi" w:hAnsiTheme="minorHAnsi" w:cstheme="minorHAnsi"/>
          <w:sz w:val="22"/>
          <w:szCs w:val="22"/>
        </w:rPr>
        <w:t>.</w:t>
      </w:r>
      <w:r w:rsidR="00454052">
        <w:rPr>
          <w:rFonts w:asciiTheme="minorHAnsi" w:hAnsiTheme="minorHAnsi" w:cstheme="minorHAnsi"/>
          <w:sz w:val="22"/>
          <w:szCs w:val="22"/>
        </w:rPr>
        <w:t xml:space="preserve"> </w:t>
      </w:r>
      <w:proofErr w:type="spellStart"/>
      <w:r w:rsidR="008147FA">
        <w:rPr>
          <w:rFonts w:asciiTheme="minorHAnsi" w:hAnsiTheme="minorHAnsi" w:cstheme="minorHAnsi"/>
          <w:sz w:val="22"/>
          <w:szCs w:val="22"/>
        </w:rPr>
        <w:t>Tayerett</w:t>
      </w:r>
      <w:proofErr w:type="spellEnd"/>
      <w:r w:rsidR="008147FA">
        <w:rPr>
          <w:rFonts w:asciiTheme="minorHAnsi" w:hAnsiTheme="minorHAnsi" w:cstheme="minorHAnsi"/>
          <w:sz w:val="22"/>
          <w:szCs w:val="22"/>
        </w:rPr>
        <w:t xml:space="preserve"> (36,04%) et </w:t>
      </w:r>
      <w:proofErr w:type="spellStart"/>
      <w:r>
        <w:rPr>
          <w:rFonts w:asciiTheme="minorHAnsi" w:hAnsiTheme="minorHAnsi" w:cstheme="minorHAnsi"/>
          <w:sz w:val="22"/>
          <w:szCs w:val="22"/>
        </w:rPr>
        <w:t>Tevragh</w:t>
      </w:r>
      <w:proofErr w:type="spellEnd"/>
      <w:r w:rsidR="00454052">
        <w:rPr>
          <w:rFonts w:asciiTheme="minorHAnsi" w:hAnsiTheme="minorHAnsi" w:cstheme="minorHAnsi"/>
          <w:sz w:val="22"/>
          <w:szCs w:val="22"/>
        </w:rPr>
        <w:t>-</w:t>
      </w:r>
      <w:proofErr w:type="spellStart"/>
      <w:r>
        <w:rPr>
          <w:rFonts w:asciiTheme="minorHAnsi" w:hAnsiTheme="minorHAnsi" w:cstheme="minorHAnsi"/>
          <w:sz w:val="22"/>
          <w:szCs w:val="22"/>
        </w:rPr>
        <w:t>Zeina</w:t>
      </w:r>
      <w:proofErr w:type="spellEnd"/>
      <w:r w:rsidR="008147FA">
        <w:rPr>
          <w:rFonts w:asciiTheme="minorHAnsi" w:hAnsiTheme="minorHAnsi" w:cstheme="minorHAnsi"/>
          <w:sz w:val="22"/>
          <w:szCs w:val="22"/>
        </w:rPr>
        <w:t xml:space="preserve"> (45,25%) </w:t>
      </w:r>
      <w:r w:rsidR="00454052">
        <w:rPr>
          <w:rFonts w:asciiTheme="minorHAnsi" w:hAnsiTheme="minorHAnsi" w:cstheme="minorHAnsi"/>
          <w:sz w:val="22"/>
          <w:szCs w:val="22"/>
        </w:rPr>
        <w:t xml:space="preserve">sont les communes qui tirent vers le bas le taux de la </w:t>
      </w:r>
      <w:r w:rsidR="001246CD">
        <w:rPr>
          <w:rFonts w:asciiTheme="minorHAnsi" w:hAnsiTheme="minorHAnsi" w:cstheme="minorHAnsi"/>
          <w:sz w:val="22"/>
          <w:szCs w:val="22"/>
        </w:rPr>
        <w:t>Wilaya</w:t>
      </w:r>
      <w:r w:rsidR="00454052">
        <w:rPr>
          <w:rFonts w:asciiTheme="minorHAnsi" w:hAnsiTheme="minorHAnsi" w:cstheme="minorHAnsi"/>
          <w:sz w:val="22"/>
          <w:szCs w:val="22"/>
        </w:rPr>
        <w:t xml:space="preserve">. Comme en 2011, </w:t>
      </w:r>
      <w:proofErr w:type="spellStart"/>
      <w:r w:rsidR="00454052">
        <w:rPr>
          <w:rFonts w:asciiTheme="minorHAnsi" w:hAnsiTheme="minorHAnsi" w:cstheme="minorHAnsi"/>
          <w:sz w:val="22"/>
          <w:szCs w:val="22"/>
        </w:rPr>
        <w:t>Tevragh</w:t>
      </w:r>
      <w:proofErr w:type="spellEnd"/>
      <w:r w:rsidR="00454052">
        <w:rPr>
          <w:rFonts w:asciiTheme="minorHAnsi" w:hAnsiTheme="minorHAnsi" w:cstheme="minorHAnsi"/>
          <w:sz w:val="22"/>
          <w:szCs w:val="22"/>
        </w:rPr>
        <w:t>-</w:t>
      </w:r>
      <w:proofErr w:type="spellStart"/>
      <w:r w:rsidR="00454052">
        <w:rPr>
          <w:rFonts w:asciiTheme="minorHAnsi" w:hAnsiTheme="minorHAnsi" w:cstheme="minorHAnsi"/>
          <w:sz w:val="22"/>
          <w:szCs w:val="22"/>
        </w:rPr>
        <w:t>Zeina</w:t>
      </w:r>
      <w:proofErr w:type="spellEnd"/>
      <w:r w:rsidR="00454052">
        <w:rPr>
          <w:rFonts w:asciiTheme="minorHAnsi" w:hAnsiTheme="minorHAnsi" w:cstheme="minorHAnsi"/>
          <w:sz w:val="22"/>
          <w:szCs w:val="22"/>
        </w:rPr>
        <w:t xml:space="preserve"> a engagé peu d’opérations puisque le taux d’absorption était pour cette dernière de seulement de </w:t>
      </w:r>
      <w:r w:rsidR="00F36C32">
        <w:rPr>
          <w:rFonts w:asciiTheme="minorHAnsi" w:hAnsiTheme="minorHAnsi" w:cstheme="minorHAnsi"/>
          <w:sz w:val="22"/>
          <w:szCs w:val="22"/>
        </w:rPr>
        <w:t xml:space="preserve">18,20%. Ksar a en revanche </w:t>
      </w:r>
      <w:r w:rsidR="00454052">
        <w:rPr>
          <w:rFonts w:asciiTheme="minorHAnsi" w:hAnsiTheme="minorHAnsi" w:cstheme="minorHAnsi"/>
          <w:sz w:val="22"/>
          <w:szCs w:val="22"/>
        </w:rPr>
        <w:t>engagé plus d’opérations en 2012, passant de 42,95% à 83,07%, soit</w:t>
      </w:r>
      <w:r w:rsidR="004841F1">
        <w:rPr>
          <w:rFonts w:asciiTheme="minorHAnsi" w:hAnsiTheme="minorHAnsi" w:cstheme="minorHAnsi"/>
          <w:sz w:val="22"/>
          <w:szCs w:val="22"/>
        </w:rPr>
        <w:t xml:space="preserve"> un taux légèrement supérieur à la moyenne de la </w:t>
      </w:r>
      <w:r w:rsidR="001246CD">
        <w:rPr>
          <w:rFonts w:asciiTheme="minorHAnsi" w:hAnsiTheme="minorHAnsi" w:cstheme="minorHAnsi"/>
          <w:sz w:val="22"/>
          <w:szCs w:val="22"/>
        </w:rPr>
        <w:t>Wilaya</w:t>
      </w:r>
      <w:r w:rsidR="004841F1">
        <w:rPr>
          <w:rFonts w:asciiTheme="minorHAnsi" w:hAnsiTheme="minorHAnsi" w:cstheme="minorHAnsi"/>
          <w:sz w:val="22"/>
          <w:szCs w:val="22"/>
        </w:rPr>
        <w:t xml:space="preserve">. Il est plus difficile de se prononcer pour Riyad (seulement 63,57%) en l’absence de données pour l’exercice précédent. En </w:t>
      </w:r>
      <w:r w:rsidR="00C0606F">
        <w:rPr>
          <w:rFonts w:asciiTheme="minorHAnsi" w:hAnsiTheme="minorHAnsi" w:cstheme="minorHAnsi"/>
          <w:sz w:val="22"/>
          <w:szCs w:val="22"/>
        </w:rPr>
        <w:t>somme, des taux contrasté</w:t>
      </w:r>
      <w:r w:rsidR="004841F1">
        <w:rPr>
          <w:rFonts w:asciiTheme="minorHAnsi" w:hAnsiTheme="minorHAnsi" w:cstheme="minorHAnsi"/>
          <w:sz w:val="22"/>
          <w:szCs w:val="22"/>
        </w:rPr>
        <w:t xml:space="preserve">s, mais qui semblent être le fruit </w:t>
      </w:r>
      <w:r w:rsidR="00C0606F">
        <w:rPr>
          <w:rFonts w:asciiTheme="minorHAnsi" w:hAnsiTheme="minorHAnsi" w:cstheme="minorHAnsi"/>
          <w:sz w:val="22"/>
          <w:szCs w:val="22"/>
        </w:rPr>
        <w:t>de stratégies mûrement réfléchies</w:t>
      </w:r>
      <w:r w:rsidR="003D57C7">
        <w:rPr>
          <w:rFonts w:asciiTheme="minorHAnsi" w:hAnsiTheme="minorHAnsi" w:cstheme="minorHAnsi"/>
          <w:sz w:val="22"/>
          <w:szCs w:val="22"/>
        </w:rPr>
        <w:t xml:space="preserve"> et non par défaut</w:t>
      </w:r>
      <w:r w:rsidR="00C0606F">
        <w:rPr>
          <w:rFonts w:asciiTheme="minorHAnsi" w:hAnsiTheme="minorHAnsi" w:cstheme="minorHAnsi"/>
          <w:sz w:val="22"/>
          <w:szCs w:val="22"/>
        </w:rPr>
        <w:t xml:space="preserve">, compte tenu </w:t>
      </w:r>
      <w:r w:rsidR="003D57C7">
        <w:rPr>
          <w:rFonts w:asciiTheme="minorHAnsi" w:hAnsiTheme="minorHAnsi" w:cstheme="minorHAnsi"/>
          <w:sz w:val="22"/>
          <w:szCs w:val="22"/>
        </w:rPr>
        <w:t>des atouts, des</w:t>
      </w:r>
      <w:r w:rsidR="00C0606F">
        <w:rPr>
          <w:rFonts w:asciiTheme="minorHAnsi" w:hAnsiTheme="minorHAnsi" w:cstheme="minorHAnsi"/>
          <w:sz w:val="22"/>
          <w:szCs w:val="22"/>
        </w:rPr>
        <w:t xml:space="preserve"> ressources humaines et techniques dont disposent les communes de la capitale mauritanienne.</w:t>
      </w:r>
    </w:p>
    <w:p w:rsidR="00A27296" w:rsidRDefault="00A27296" w:rsidP="00A27296">
      <w:pPr>
        <w:jc w:val="both"/>
        <w:rPr>
          <w:rFonts w:asciiTheme="minorHAnsi" w:hAnsiTheme="minorHAnsi" w:cstheme="minorHAnsi"/>
          <w:sz w:val="22"/>
          <w:szCs w:val="22"/>
        </w:rPr>
      </w:pPr>
    </w:p>
    <w:p w:rsidR="00A27296" w:rsidRDefault="00B800AD" w:rsidP="00A27296">
      <w:pPr>
        <w:jc w:val="both"/>
        <w:rPr>
          <w:rFonts w:asciiTheme="minorHAnsi" w:hAnsiTheme="minorHAnsi" w:cstheme="minorHAnsi"/>
          <w:sz w:val="22"/>
          <w:szCs w:val="22"/>
        </w:rPr>
      </w:pPr>
      <w:r w:rsidRPr="00B800AD">
        <w:rPr>
          <w:noProof/>
          <w:szCs w:val="22"/>
        </w:rPr>
        <w:drawing>
          <wp:inline distT="0" distB="0" distL="0" distR="0">
            <wp:extent cx="6645910" cy="2514600"/>
            <wp:effectExtent l="19050" t="0" r="2540" b="0"/>
            <wp:docPr id="221"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1" cstate="print"/>
                    <a:srcRect/>
                    <a:stretch>
                      <a:fillRect/>
                    </a:stretch>
                  </pic:blipFill>
                  <pic:spPr bwMode="auto">
                    <a:xfrm>
                      <a:off x="0" y="0"/>
                      <a:ext cx="6645910" cy="2514600"/>
                    </a:xfrm>
                    <a:prstGeom prst="rect">
                      <a:avLst/>
                    </a:prstGeom>
                    <a:noFill/>
                    <a:ln w="9525">
                      <a:noFill/>
                      <a:miter lim="800000"/>
                      <a:headEnd/>
                      <a:tailEnd/>
                    </a:ln>
                  </pic:spPr>
                </pic:pic>
              </a:graphicData>
            </a:graphic>
          </wp:inline>
        </w:drawing>
      </w:r>
    </w:p>
    <w:p w:rsidR="00A27296" w:rsidRPr="00A9657A" w:rsidRDefault="00A27296" w:rsidP="00A27296">
      <w:pPr>
        <w:jc w:val="both"/>
        <w:rPr>
          <w:rFonts w:asciiTheme="minorHAnsi" w:hAnsiTheme="minorHAnsi" w:cstheme="minorHAnsi"/>
          <w:sz w:val="22"/>
          <w:szCs w:val="22"/>
        </w:rPr>
      </w:pPr>
    </w:p>
    <w:p w:rsidR="00A27296" w:rsidRDefault="003D57C7" w:rsidP="00A27296">
      <w:pPr>
        <w:jc w:val="both"/>
        <w:rPr>
          <w:rFonts w:asciiTheme="minorHAnsi" w:hAnsiTheme="minorHAnsi" w:cstheme="minorHAnsi"/>
          <w:sz w:val="22"/>
          <w:szCs w:val="22"/>
        </w:rPr>
      </w:pPr>
      <w:r>
        <w:rPr>
          <w:rFonts w:asciiTheme="minorHAnsi" w:hAnsiTheme="minorHAnsi" w:cstheme="minorHAnsi"/>
          <w:sz w:val="22"/>
          <w:szCs w:val="22"/>
        </w:rPr>
        <w:t>Ces engagements financiers 2012</w:t>
      </w:r>
      <w:r w:rsidR="00A27296" w:rsidRPr="00A9657A">
        <w:rPr>
          <w:rFonts w:asciiTheme="minorHAnsi" w:hAnsiTheme="minorHAnsi" w:cstheme="minorHAnsi"/>
          <w:sz w:val="22"/>
          <w:szCs w:val="22"/>
        </w:rPr>
        <w:t xml:space="preserve"> correspondent à </w:t>
      </w:r>
      <w:r>
        <w:rPr>
          <w:rFonts w:asciiTheme="minorHAnsi" w:hAnsiTheme="minorHAnsi" w:cstheme="minorHAnsi"/>
          <w:b/>
          <w:sz w:val="22"/>
          <w:szCs w:val="22"/>
        </w:rPr>
        <w:t>179</w:t>
      </w:r>
      <w:r w:rsidR="00A27296" w:rsidRPr="00A9657A">
        <w:rPr>
          <w:rFonts w:asciiTheme="minorHAnsi" w:hAnsiTheme="minorHAnsi" w:cstheme="minorHAnsi"/>
          <w:b/>
          <w:sz w:val="22"/>
          <w:szCs w:val="22"/>
        </w:rPr>
        <w:t xml:space="preserve"> projets</w:t>
      </w:r>
      <w:r>
        <w:rPr>
          <w:rFonts w:asciiTheme="minorHAnsi" w:hAnsiTheme="minorHAnsi" w:cstheme="minorHAnsi"/>
          <w:sz w:val="22"/>
          <w:szCs w:val="22"/>
        </w:rPr>
        <w:t xml:space="preserve"> (178 en 2011)</w:t>
      </w:r>
      <w:r w:rsidR="00A27296" w:rsidRPr="00A9657A">
        <w:rPr>
          <w:rFonts w:asciiTheme="minorHAnsi" w:hAnsiTheme="minorHAnsi" w:cstheme="minorHAnsi"/>
          <w:sz w:val="22"/>
          <w:szCs w:val="22"/>
        </w:rPr>
        <w:t xml:space="preserve">. </w:t>
      </w:r>
      <w:r>
        <w:rPr>
          <w:rFonts w:asciiTheme="minorHAnsi" w:hAnsiTheme="minorHAnsi" w:cstheme="minorHAnsi"/>
          <w:sz w:val="22"/>
          <w:szCs w:val="22"/>
        </w:rPr>
        <w:t xml:space="preserve">Compte tenu de l’abondement des crédits FRD en 2013 et de la quasi-stagnation du nombre de projets, </w:t>
      </w:r>
      <w:r>
        <w:rPr>
          <w:rFonts w:asciiTheme="minorHAnsi" w:hAnsiTheme="minorHAnsi" w:cstheme="minorHAnsi"/>
          <w:b/>
          <w:sz w:val="22"/>
          <w:szCs w:val="22"/>
        </w:rPr>
        <w:t>l</w:t>
      </w:r>
      <w:r w:rsidR="00A27296" w:rsidRPr="00A9657A">
        <w:rPr>
          <w:rFonts w:asciiTheme="minorHAnsi" w:hAnsiTheme="minorHAnsi" w:cstheme="minorHAnsi"/>
          <w:b/>
          <w:sz w:val="22"/>
          <w:szCs w:val="22"/>
        </w:rPr>
        <w:t>e montant moyen de l’investissement par projet</w:t>
      </w:r>
      <w:r>
        <w:rPr>
          <w:rFonts w:asciiTheme="minorHAnsi" w:hAnsiTheme="minorHAnsi" w:cstheme="minorHAnsi"/>
          <w:sz w:val="22"/>
          <w:szCs w:val="22"/>
        </w:rPr>
        <w:t xml:space="preserve"> passe de 2 095 050 MRO à 2 290 600 MRO (+9,33%), à un niveau très largement supérieur à la moyenne nationale</w:t>
      </w:r>
      <w:r w:rsidR="00A27296" w:rsidRPr="00A9657A">
        <w:rPr>
          <w:rFonts w:asciiTheme="minorHAnsi" w:hAnsiTheme="minorHAnsi" w:cstheme="minorHAnsi"/>
          <w:sz w:val="22"/>
          <w:szCs w:val="22"/>
        </w:rPr>
        <w:t>.</w:t>
      </w:r>
    </w:p>
    <w:p w:rsidR="00A27296" w:rsidRPr="00A9657A" w:rsidRDefault="00A27296" w:rsidP="00A27296">
      <w:pPr>
        <w:jc w:val="both"/>
        <w:rPr>
          <w:rFonts w:asciiTheme="minorHAnsi" w:hAnsiTheme="minorHAnsi" w:cstheme="minorHAnsi"/>
          <w:sz w:val="22"/>
          <w:szCs w:val="22"/>
        </w:rPr>
      </w:pPr>
      <w:r w:rsidRPr="00A9657A">
        <w:rPr>
          <w:rFonts w:asciiTheme="minorHAnsi" w:hAnsiTheme="minorHAnsi" w:cstheme="minorHAnsi"/>
          <w:sz w:val="22"/>
          <w:szCs w:val="22"/>
        </w:rPr>
        <w:t xml:space="preserve">Les communes de la </w:t>
      </w:r>
      <w:r w:rsidR="001246CD">
        <w:rPr>
          <w:rFonts w:asciiTheme="minorHAnsi" w:hAnsiTheme="minorHAnsi" w:cstheme="minorHAnsi"/>
          <w:sz w:val="22"/>
          <w:szCs w:val="22"/>
        </w:rPr>
        <w:t>Wilaya</w:t>
      </w:r>
      <w:r w:rsidRPr="00A9657A">
        <w:rPr>
          <w:rFonts w:asciiTheme="minorHAnsi" w:hAnsiTheme="minorHAnsi" w:cstheme="minorHAnsi"/>
          <w:sz w:val="22"/>
          <w:szCs w:val="22"/>
        </w:rPr>
        <w:t xml:space="preserve"> de Nouakchott privilégien</w:t>
      </w:r>
      <w:r w:rsidR="003D57C7">
        <w:rPr>
          <w:rFonts w:asciiTheme="minorHAnsi" w:hAnsiTheme="minorHAnsi" w:cstheme="minorHAnsi"/>
          <w:sz w:val="22"/>
          <w:szCs w:val="22"/>
        </w:rPr>
        <w:t>t donc, comme pour l’exercice précédent</w:t>
      </w:r>
      <w:r w:rsidRPr="00A9657A">
        <w:rPr>
          <w:rFonts w:asciiTheme="minorHAnsi" w:hAnsiTheme="minorHAnsi" w:cstheme="minorHAnsi"/>
          <w:sz w:val="22"/>
          <w:szCs w:val="22"/>
        </w:rPr>
        <w:t>, l’ampleur et la qualité des projets plutôt que la multiplication de ceux-ci</w:t>
      </w:r>
      <w:r w:rsidR="003D57C7">
        <w:rPr>
          <w:rFonts w:asciiTheme="minorHAnsi" w:hAnsiTheme="minorHAnsi" w:cstheme="minorHAnsi"/>
          <w:sz w:val="22"/>
          <w:szCs w:val="22"/>
        </w:rPr>
        <w:t>,</w:t>
      </w:r>
      <w:r w:rsidRPr="00A9657A">
        <w:rPr>
          <w:rFonts w:asciiTheme="minorHAnsi" w:hAnsiTheme="minorHAnsi" w:cstheme="minorHAnsi"/>
          <w:sz w:val="22"/>
          <w:szCs w:val="22"/>
        </w:rPr>
        <w:t xml:space="preserve"> évitant ainsi une trop grande parcellisation de l’investissement.</w:t>
      </w:r>
    </w:p>
    <w:p w:rsidR="00A27296" w:rsidRDefault="00A27296" w:rsidP="00A27296">
      <w:pPr>
        <w:jc w:val="both"/>
        <w:rPr>
          <w:rFonts w:asciiTheme="minorHAnsi" w:hAnsiTheme="minorHAnsi" w:cstheme="minorHAnsi"/>
          <w:sz w:val="22"/>
          <w:szCs w:val="22"/>
        </w:rPr>
      </w:pPr>
      <w:r w:rsidRPr="00A9657A">
        <w:rPr>
          <w:rFonts w:asciiTheme="minorHAnsi" w:hAnsiTheme="minorHAnsi" w:cstheme="minorHAnsi"/>
          <w:sz w:val="22"/>
          <w:szCs w:val="22"/>
        </w:rPr>
        <w:t xml:space="preserve">Ceci est évidement assez lié aux montants plutôt importants en valeur absolue des crédits FRD dont disposent les communes de la </w:t>
      </w:r>
      <w:r w:rsidR="001246CD">
        <w:rPr>
          <w:rFonts w:asciiTheme="minorHAnsi" w:hAnsiTheme="minorHAnsi" w:cstheme="minorHAnsi"/>
          <w:sz w:val="22"/>
          <w:szCs w:val="22"/>
        </w:rPr>
        <w:t>Wilaya</w:t>
      </w:r>
      <w:r w:rsidRPr="00A9657A">
        <w:rPr>
          <w:rFonts w:asciiTheme="minorHAnsi" w:hAnsiTheme="minorHAnsi" w:cstheme="minorHAnsi"/>
          <w:sz w:val="22"/>
          <w:szCs w:val="22"/>
        </w:rPr>
        <w:t>.</w:t>
      </w:r>
    </w:p>
    <w:p w:rsidR="00A27296" w:rsidRPr="00A9657A" w:rsidRDefault="00A27296" w:rsidP="00A27296">
      <w:pPr>
        <w:jc w:val="both"/>
        <w:rPr>
          <w:rFonts w:asciiTheme="minorHAnsi" w:hAnsiTheme="minorHAnsi" w:cstheme="minorHAnsi"/>
          <w:sz w:val="22"/>
          <w:szCs w:val="22"/>
        </w:rPr>
      </w:pPr>
    </w:p>
    <w:p w:rsidR="00A27296" w:rsidRDefault="00A27296" w:rsidP="00417130">
      <w:pPr>
        <w:jc w:val="both"/>
        <w:rPr>
          <w:rFonts w:asciiTheme="minorHAnsi" w:hAnsiTheme="minorHAnsi" w:cstheme="minorHAnsi"/>
          <w:sz w:val="22"/>
          <w:szCs w:val="22"/>
        </w:rPr>
      </w:pPr>
      <w:r w:rsidRPr="00A9657A">
        <w:rPr>
          <w:rFonts w:asciiTheme="minorHAnsi" w:hAnsiTheme="minorHAnsi" w:cstheme="minorHAnsi"/>
          <w:b/>
          <w:sz w:val="22"/>
          <w:szCs w:val="22"/>
        </w:rPr>
        <w:t>En termes de priorités d’investissement</w:t>
      </w:r>
      <w:r w:rsidRPr="00A9657A">
        <w:rPr>
          <w:rFonts w:asciiTheme="minorHAnsi" w:hAnsiTheme="minorHAnsi" w:cstheme="minorHAnsi"/>
          <w:sz w:val="22"/>
          <w:szCs w:val="22"/>
        </w:rPr>
        <w:t xml:space="preserve">, la </w:t>
      </w:r>
      <w:r w:rsidR="001246CD">
        <w:rPr>
          <w:rFonts w:asciiTheme="minorHAnsi" w:hAnsiTheme="minorHAnsi" w:cstheme="minorHAnsi"/>
          <w:sz w:val="22"/>
          <w:szCs w:val="22"/>
        </w:rPr>
        <w:t>Wilaya</w:t>
      </w:r>
      <w:r w:rsidRPr="00A9657A">
        <w:rPr>
          <w:rFonts w:asciiTheme="minorHAnsi" w:hAnsiTheme="minorHAnsi" w:cstheme="minorHAnsi"/>
          <w:sz w:val="22"/>
          <w:szCs w:val="22"/>
        </w:rPr>
        <w:t xml:space="preserve"> de Nouakchott</w:t>
      </w:r>
      <w:r w:rsidR="00417130">
        <w:rPr>
          <w:rFonts w:asciiTheme="minorHAnsi" w:hAnsiTheme="minorHAnsi" w:cstheme="minorHAnsi"/>
          <w:sz w:val="22"/>
          <w:szCs w:val="22"/>
        </w:rPr>
        <w:t>, en raison de son poids, a permis au secteur des bâtiments communaux de ravir la première place au niveau national en matière d’engagements.</w:t>
      </w:r>
    </w:p>
    <w:p w:rsidR="00417130" w:rsidRDefault="00417130" w:rsidP="00417130">
      <w:pPr>
        <w:jc w:val="both"/>
        <w:rPr>
          <w:rFonts w:asciiTheme="minorHAnsi" w:hAnsiTheme="minorHAnsi" w:cstheme="minorHAnsi"/>
          <w:sz w:val="22"/>
          <w:szCs w:val="22"/>
        </w:rPr>
      </w:pPr>
      <w:r>
        <w:rPr>
          <w:rFonts w:asciiTheme="minorHAnsi" w:hAnsiTheme="minorHAnsi" w:cstheme="minorHAnsi"/>
          <w:sz w:val="22"/>
          <w:szCs w:val="22"/>
        </w:rPr>
        <w:t>C’est donc tout naturellement ce secteur qui, avec 37,91% des engagements, arrive en première position. Soit 155 432 133 MRO répartis en 40 projets.</w:t>
      </w:r>
    </w:p>
    <w:p w:rsidR="00417130" w:rsidRDefault="00417130" w:rsidP="00417130">
      <w:pPr>
        <w:jc w:val="both"/>
        <w:rPr>
          <w:rFonts w:asciiTheme="minorHAnsi" w:hAnsiTheme="minorHAnsi" w:cstheme="minorHAnsi"/>
        </w:rPr>
      </w:pPr>
    </w:p>
    <w:p w:rsidR="00A27296" w:rsidRDefault="00E012D7" w:rsidP="00A27296">
      <w:pPr>
        <w:jc w:val="both"/>
        <w:rPr>
          <w:rFonts w:asciiTheme="minorHAnsi" w:hAnsiTheme="minorHAnsi" w:cstheme="minorHAnsi"/>
        </w:rPr>
      </w:pPr>
      <w:r w:rsidRPr="00E012D7">
        <w:rPr>
          <w:noProof/>
        </w:rPr>
        <w:drawing>
          <wp:inline distT="0" distB="0" distL="0" distR="0">
            <wp:extent cx="6324600" cy="2771775"/>
            <wp:effectExtent l="19050" t="0" r="0" b="0"/>
            <wp:docPr id="343"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2" cstate="print"/>
                    <a:stretch>
                      <a:fillRect/>
                    </a:stretch>
                  </pic:blipFill>
                  <pic:spPr>
                    <a:xfrm>
                      <a:off x="0" y="0"/>
                      <a:ext cx="6323810" cy="2771429"/>
                    </a:xfrm>
                    <a:prstGeom prst="rect">
                      <a:avLst/>
                    </a:prstGeom>
                  </pic:spPr>
                </pic:pic>
              </a:graphicData>
            </a:graphic>
          </wp:inline>
        </w:drawing>
      </w:r>
    </w:p>
    <w:p w:rsidR="00A27296" w:rsidRDefault="00A27296" w:rsidP="00A27296">
      <w:pPr>
        <w:jc w:val="both"/>
        <w:rPr>
          <w:rFonts w:asciiTheme="minorHAnsi" w:hAnsiTheme="minorHAnsi" w:cstheme="minorHAnsi"/>
        </w:rPr>
      </w:pPr>
    </w:p>
    <w:p w:rsidR="00A27296" w:rsidRDefault="00417130" w:rsidP="00A27296">
      <w:pPr>
        <w:jc w:val="both"/>
        <w:rPr>
          <w:rFonts w:asciiTheme="minorHAnsi" w:hAnsiTheme="minorHAnsi" w:cstheme="minorHAnsi"/>
        </w:rPr>
      </w:pPr>
      <w:r>
        <w:rPr>
          <w:rFonts w:asciiTheme="minorHAnsi" w:hAnsiTheme="minorHAnsi" w:cstheme="minorHAnsi"/>
        </w:rPr>
        <w:t>Ensuite vient en deuxième position l’assainissement avec 12,42% des engagements pour 50 932 779 MRO (13 projets).</w:t>
      </w:r>
    </w:p>
    <w:p w:rsidR="00417130" w:rsidRDefault="00417130" w:rsidP="00A27296">
      <w:pPr>
        <w:jc w:val="both"/>
        <w:rPr>
          <w:rFonts w:asciiTheme="minorHAnsi" w:hAnsiTheme="minorHAnsi" w:cstheme="minorHAnsi"/>
        </w:rPr>
      </w:pPr>
      <w:r>
        <w:rPr>
          <w:rFonts w:asciiTheme="minorHAnsi" w:hAnsiTheme="minorHAnsi" w:cstheme="minorHAnsi"/>
        </w:rPr>
        <w:t>En troisième position, le secteur de l’éducation à hauteur de 11,64% des engagements, soit 37 projets pour un montant total de 47 744 613 MRO.</w:t>
      </w:r>
    </w:p>
    <w:p w:rsidR="00417130" w:rsidRDefault="00417130" w:rsidP="00A27296">
      <w:pPr>
        <w:jc w:val="both"/>
        <w:rPr>
          <w:rFonts w:asciiTheme="minorHAnsi" w:hAnsiTheme="minorHAnsi" w:cstheme="minorHAnsi"/>
        </w:rPr>
      </w:pPr>
    </w:p>
    <w:p w:rsidR="00417130" w:rsidRDefault="00417130" w:rsidP="00A27296">
      <w:pPr>
        <w:jc w:val="both"/>
        <w:rPr>
          <w:rFonts w:asciiTheme="minorHAnsi" w:hAnsiTheme="minorHAnsi" w:cstheme="minorHAnsi"/>
        </w:rPr>
      </w:pPr>
    </w:p>
    <w:p w:rsidR="00A27296" w:rsidRPr="00C0598E" w:rsidRDefault="00A27296" w:rsidP="00C0598E">
      <w:pPr>
        <w:jc w:val="both"/>
        <w:rPr>
          <w:rFonts w:asciiTheme="minorHAnsi" w:hAnsiTheme="minorHAnsi" w:cstheme="minorHAnsi"/>
          <w:b/>
          <w:sz w:val="22"/>
          <w:szCs w:val="22"/>
          <w:u w:val="single"/>
        </w:rPr>
      </w:pPr>
      <w:r w:rsidRPr="00C0598E">
        <w:rPr>
          <w:rFonts w:asciiTheme="minorHAnsi" w:hAnsiTheme="minorHAnsi" w:cstheme="minorHAnsi"/>
          <w:b/>
          <w:sz w:val="22"/>
          <w:szCs w:val="22"/>
          <w:u w:val="single"/>
        </w:rPr>
        <w:t xml:space="preserve">Analyse des données par </w:t>
      </w:r>
      <w:proofErr w:type="spellStart"/>
      <w:r w:rsidR="001246CD">
        <w:rPr>
          <w:rFonts w:asciiTheme="minorHAnsi" w:hAnsiTheme="minorHAnsi" w:cstheme="minorHAnsi"/>
          <w:b/>
          <w:sz w:val="22"/>
          <w:szCs w:val="22"/>
          <w:u w:val="single"/>
        </w:rPr>
        <w:t>Moughataa</w:t>
      </w:r>
      <w:proofErr w:type="spellEnd"/>
    </w:p>
    <w:p w:rsidR="00A27296" w:rsidRDefault="00A27296" w:rsidP="00A27296">
      <w:pPr>
        <w:pStyle w:val="Paragraphedeliste"/>
        <w:jc w:val="both"/>
        <w:rPr>
          <w:rFonts w:asciiTheme="minorHAnsi" w:hAnsiTheme="minorHAnsi" w:cstheme="minorHAnsi"/>
          <w:b/>
        </w:rPr>
      </w:pPr>
    </w:p>
    <w:p w:rsidR="00C0598E" w:rsidRDefault="00C0598E" w:rsidP="00A27296">
      <w:pPr>
        <w:pStyle w:val="Paragraphedeliste"/>
        <w:jc w:val="both"/>
        <w:rPr>
          <w:rFonts w:asciiTheme="minorHAnsi" w:hAnsiTheme="minorHAnsi" w:cstheme="minorHAnsi"/>
          <w:b/>
        </w:rPr>
      </w:pPr>
    </w:p>
    <w:p w:rsidR="00A27296" w:rsidRPr="00E76C96" w:rsidRDefault="001246CD" w:rsidP="00A27296">
      <w:pPr>
        <w:jc w:val="center"/>
        <w:rPr>
          <w:rFonts w:asciiTheme="minorHAnsi" w:hAnsiTheme="minorHAnsi" w:cstheme="minorHAnsi"/>
          <w:sz w:val="22"/>
          <w:szCs w:val="22"/>
          <w:u w:val="single"/>
        </w:rPr>
      </w:pPr>
      <w:proofErr w:type="spellStart"/>
      <w:r>
        <w:rPr>
          <w:rFonts w:asciiTheme="minorHAnsi" w:hAnsiTheme="minorHAnsi" w:cstheme="minorHAnsi"/>
          <w:b/>
          <w:sz w:val="22"/>
          <w:szCs w:val="22"/>
          <w:u w:val="single"/>
        </w:rPr>
        <w:t>Moughataa</w:t>
      </w:r>
      <w:proofErr w:type="spellEnd"/>
      <w:r w:rsidR="00A27296" w:rsidRPr="00E76C96">
        <w:rPr>
          <w:rFonts w:asciiTheme="minorHAnsi" w:hAnsiTheme="minorHAnsi" w:cstheme="minorHAnsi"/>
          <w:b/>
          <w:sz w:val="22"/>
          <w:szCs w:val="22"/>
          <w:u w:val="single"/>
        </w:rPr>
        <w:t xml:space="preserve"> de </w:t>
      </w:r>
      <w:proofErr w:type="spellStart"/>
      <w:r w:rsidR="00A27296" w:rsidRPr="00E76C96">
        <w:rPr>
          <w:rFonts w:asciiTheme="minorHAnsi" w:hAnsiTheme="minorHAnsi" w:cstheme="minorHAnsi"/>
          <w:b/>
          <w:sz w:val="22"/>
          <w:szCs w:val="22"/>
          <w:u w:val="single"/>
        </w:rPr>
        <w:t>Toujounine</w:t>
      </w:r>
      <w:proofErr w:type="spellEnd"/>
    </w:p>
    <w:p w:rsidR="00A27296" w:rsidRPr="00E76C96" w:rsidRDefault="00A27296" w:rsidP="00A27296">
      <w:pPr>
        <w:jc w:val="both"/>
        <w:rPr>
          <w:rFonts w:asciiTheme="minorHAnsi" w:hAnsiTheme="minorHAnsi" w:cstheme="minorHAnsi"/>
          <w:sz w:val="22"/>
          <w:szCs w:val="22"/>
        </w:rPr>
      </w:pPr>
    </w:p>
    <w:p w:rsidR="00A27296" w:rsidRPr="00E76C96" w:rsidRDefault="00A27296" w:rsidP="00A27296">
      <w:pPr>
        <w:jc w:val="both"/>
        <w:rPr>
          <w:rFonts w:asciiTheme="minorHAnsi" w:hAnsiTheme="minorHAnsi" w:cstheme="minorHAnsi"/>
          <w:sz w:val="22"/>
          <w:szCs w:val="22"/>
        </w:rPr>
      </w:pPr>
      <w:r w:rsidRPr="00E76C96">
        <w:rPr>
          <w:rFonts w:asciiTheme="minorHAnsi" w:hAnsiTheme="minorHAnsi" w:cstheme="minorHAnsi"/>
          <w:sz w:val="22"/>
          <w:szCs w:val="22"/>
        </w:rPr>
        <w:t xml:space="preserve">La commune de la </w:t>
      </w:r>
      <w:proofErr w:type="spellStart"/>
      <w:r w:rsidR="001246CD">
        <w:rPr>
          <w:rFonts w:asciiTheme="minorHAnsi" w:hAnsiTheme="minorHAnsi" w:cstheme="minorHAnsi"/>
          <w:sz w:val="22"/>
          <w:szCs w:val="22"/>
        </w:rPr>
        <w:t>Moughataa</w:t>
      </w:r>
      <w:proofErr w:type="spellEnd"/>
      <w:r w:rsidRPr="00E76C96">
        <w:rPr>
          <w:rFonts w:asciiTheme="minorHAnsi" w:hAnsiTheme="minorHAnsi" w:cstheme="minorHAnsi"/>
          <w:sz w:val="22"/>
          <w:szCs w:val="22"/>
        </w:rPr>
        <w:t xml:space="preserve"> de </w:t>
      </w:r>
      <w:proofErr w:type="spellStart"/>
      <w:r w:rsidRPr="00E76C96">
        <w:rPr>
          <w:rFonts w:asciiTheme="minorHAnsi" w:hAnsiTheme="minorHAnsi" w:cstheme="minorHAnsi"/>
          <w:sz w:val="22"/>
          <w:szCs w:val="22"/>
        </w:rPr>
        <w:t>Touj</w:t>
      </w:r>
      <w:r w:rsidR="00C0598E">
        <w:rPr>
          <w:rFonts w:asciiTheme="minorHAnsi" w:hAnsiTheme="minorHAnsi" w:cstheme="minorHAnsi"/>
          <w:sz w:val="22"/>
          <w:szCs w:val="22"/>
        </w:rPr>
        <w:t>ounine</w:t>
      </w:r>
      <w:proofErr w:type="spellEnd"/>
      <w:r w:rsidR="00C0598E">
        <w:rPr>
          <w:rFonts w:asciiTheme="minorHAnsi" w:hAnsiTheme="minorHAnsi" w:cstheme="minorHAnsi"/>
          <w:sz w:val="22"/>
          <w:szCs w:val="22"/>
        </w:rPr>
        <w:t xml:space="preserve"> a bénéficié d’un FRD 2012</w:t>
      </w:r>
      <w:r w:rsidR="00DA50F4">
        <w:rPr>
          <w:rFonts w:asciiTheme="minorHAnsi" w:hAnsiTheme="minorHAnsi" w:cstheme="minorHAnsi"/>
          <w:sz w:val="22"/>
          <w:szCs w:val="22"/>
        </w:rPr>
        <w:t xml:space="preserve"> pour l’équipement de 46 899 500 MRO (+18,97% par rapport à 2011). Elle a engagé 34 987 986</w:t>
      </w:r>
      <w:r w:rsidRPr="00E76C96">
        <w:rPr>
          <w:rFonts w:asciiTheme="minorHAnsi" w:hAnsiTheme="minorHAnsi" w:cstheme="minorHAnsi"/>
          <w:sz w:val="22"/>
          <w:szCs w:val="22"/>
        </w:rPr>
        <w:t xml:space="preserve"> MRO pour la réalisation de </w:t>
      </w:r>
      <w:r w:rsidR="00DA50F4">
        <w:rPr>
          <w:rFonts w:asciiTheme="minorHAnsi" w:hAnsiTheme="minorHAnsi" w:cstheme="minorHAnsi"/>
          <w:b/>
          <w:sz w:val="22"/>
          <w:szCs w:val="22"/>
        </w:rPr>
        <w:t>7</w:t>
      </w:r>
      <w:r w:rsidRPr="00E76C96">
        <w:rPr>
          <w:rFonts w:asciiTheme="minorHAnsi" w:hAnsiTheme="minorHAnsi" w:cstheme="minorHAnsi"/>
          <w:b/>
          <w:sz w:val="22"/>
          <w:szCs w:val="22"/>
        </w:rPr>
        <w:t xml:space="preserve"> projets</w:t>
      </w:r>
      <w:r w:rsidRPr="00E76C96">
        <w:rPr>
          <w:rFonts w:asciiTheme="minorHAnsi" w:hAnsiTheme="minorHAnsi" w:cstheme="minorHAnsi"/>
          <w:sz w:val="22"/>
          <w:szCs w:val="22"/>
        </w:rPr>
        <w:t xml:space="preserve">, soit un </w:t>
      </w:r>
      <w:r w:rsidR="00DA50F4">
        <w:rPr>
          <w:rFonts w:asciiTheme="minorHAnsi" w:hAnsiTheme="minorHAnsi" w:cstheme="minorHAnsi"/>
          <w:b/>
          <w:sz w:val="22"/>
          <w:szCs w:val="22"/>
        </w:rPr>
        <w:t>taux d’absorption de 74,60</w:t>
      </w:r>
      <w:r w:rsidRPr="00E76C96">
        <w:rPr>
          <w:rFonts w:asciiTheme="minorHAnsi" w:hAnsiTheme="minorHAnsi" w:cstheme="minorHAnsi"/>
          <w:b/>
          <w:sz w:val="22"/>
          <w:szCs w:val="22"/>
        </w:rPr>
        <w:t>%.</w:t>
      </w:r>
      <w:r w:rsidR="00D77E63">
        <w:rPr>
          <w:rFonts w:asciiTheme="minorHAnsi" w:hAnsiTheme="minorHAnsi" w:cstheme="minorHAnsi"/>
          <w:b/>
          <w:sz w:val="22"/>
          <w:szCs w:val="22"/>
        </w:rPr>
        <w:t xml:space="preserve"> </w:t>
      </w:r>
    </w:p>
    <w:p w:rsidR="00A27296" w:rsidRDefault="00A27296" w:rsidP="00A27296">
      <w:pPr>
        <w:jc w:val="both"/>
        <w:rPr>
          <w:rFonts w:asciiTheme="minorHAnsi" w:hAnsiTheme="minorHAnsi" w:cstheme="minorHAnsi"/>
        </w:rPr>
      </w:pPr>
    </w:p>
    <w:p w:rsidR="00A27296" w:rsidRDefault="00AE5675" w:rsidP="00A27296">
      <w:pPr>
        <w:jc w:val="both"/>
        <w:rPr>
          <w:rFonts w:asciiTheme="minorHAnsi" w:hAnsiTheme="minorHAnsi" w:cstheme="minorHAnsi"/>
        </w:rPr>
      </w:pPr>
      <w:r w:rsidRPr="00AE5675">
        <w:rPr>
          <w:noProof/>
        </w:rPr>
        <w:drawing>
          <wp:inline distT="0" distB="0" distL="0" distR="0">
            <wp:extent cx="3362325" cy="3390900"/>
            <wp:effectExtent l="19050" t="0" r="9525" b="0"/>
            <wp:docPr id="344"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3" cstate="print"/>
                    <a:stretch>
                      <a:fillRect/>
                    </a:stretch>
                  </pic:blipFill>
                  <pic:spPr>
                    <a:xfrm>
                      <a:off x="0" y="0"/>
                      <a:ext cx="3361905" cy="3390476"/>
                    </a:xfrm>
                    <a:prstGeom prst="rect">
                      <a:avLst/>
                    </a:prstGeom>
                  </pic:spPr>
                </pic:pic>
              </a:graphicData>
            </a:graphic>
          </wp:inline>
        </w:drawing>
      </w:r>
      <w:r w:rsidR="0098006C" w:rsidRPr="0098006C">
        <w:rPr>
          <w:rFonts w:asciiTheme="minorHAnsi" w:hAnsiTheme="minorHAnsi" w:cstheme="minorHAnsi"/>
          <w:noProof/>
        </w:rPr>
        <w:drawing>
          <wp:inline distT="0" distB="0" distL="0" distR="0">
            <wp:extent cx="3209925" cy="3390900"/>
            <wp:effectExtent l="19050" t="0" r="9525" b="0"/>
            <wp:docPr id="491"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4" cstate="print"/>
                    <a:stretch>
                      <a:fillRect/>
                    </a:stretch>
                  </pic:blipFill>
                  <pic:spPr>
                    <a:xfrm>
                      <a:off x="0" y="0"/>
                      <a:ext cx="3209925" cy="3390900"/>
                    </a:xfrm>
                    <a:prstGeom prst="rect">
                      <a:avLst/>
                    </a:prstGeom>
                  </pic:spPr>
                </pic:pic>
              </a:graphicData>
            </a:graphic>
          </wp:inline>
        </w:drawing>
      </w:r>
    </w:p>
    <w:p w:rsidR="00A27296" w:rsidRDefault="00BB03B2" w:rsidP="00A27296">
      <w:pPr>
        <w:jc w:val="both"/>
        <w:rPr>
          <w:rFonts w:asciiTheme="minorHAnsi" w:hAnsiTheme="minorHAnsi" w:cstheme="minorHAnsi"/>
        </w:rPr>
      </w:pPr>
      <w:r w:rsidRPr="00BB03B2">
        <w:rPr>
          <w:rFonts w:asciiTheme="minorHAnsi" w:hAnsiTheme="minorHAnsi" w:cstheme="minorHAnsi"/>
          <w:noProof/>
        </w:rPr>
        <w:drawing>
          <wp:inline distT="0" distB="0" distL="0" distR="0">
            <wp:extent cx="6715125" cy="2914650"/>
            <wp:effectExtent l="19050" t="0" r="9525" b="0"/>
            <wp:docPr id="496"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5" cstate="print"/>
                    <a:stretch>
                      <a:fillRect/>
                    </a:stretch>
                  </pic:blipFill>
                  <pic:spPr>
                    <a:xfrm>
                      <a:off x="0" y="0"/>
                      <a:ext cx="6714287" cy="2914286"/>
                    </a:xfrm>
                    <a:prstGeom prst="rect">
                      <a:avLst/>
                    </a:prstGeom>
                  </pic:spPr>
                </pic:pic>
              </a:graphicData>
            </a:graphic>
          </wp:inline>
        </w:drawing>
      </w:r>
    </w:p>
    <w:p w:rsidR="00A27296" w:rsidRDefault="00A27296" w:rsidP="00A27296">
      <w:pPr>
        <w:jc w:val="both"/>
        <w:rPr>
          <w:rFonts w:asciiTheme="minorHAnsi" w:hAnsiTheme="minorHAnsi" w:cstheme="minorHAnsi"/>
        </w:rPr>
      </w:pPr>
    </w:p>
    <w:p w:rsidR="00D77E63" w:rsidRPr="002E183C" w:rsidRDefault="00D77E63" w:rsidP="00D77E63">
      <w:pPr>
        <w:jc w:val="both"/>
        <w:rPr>
          <w:rFonts w:asciiTheme="minorHAnsi" w:hAnsiTheme="minorHAnsi" w:cstheme="minorHAnsi"/>
          <w:sz w:val="22"/>
          <w:szCs w:val="22"/>
        </w:rPr>
      </w:pPr>
      <w:r w:rsidRPr="00E76C96">
        <w:rPr>
          <w:rFonts w:asciiTheme="minorHAnsi" w:hAnsiTheme="minorHAnsi" w:cstheme="minorHAnsi"/>
          <w:sz w:val="22"/>
          <w:szCs w:val="22"/>
        </w:rPr>
        <w:t xml:space="preserve">Ce taux est inférieur à ceux relevés aux niveaux </w:t>
      </w:r>
      <w:r>
        <w:rPr>
          <w:rFonts w:asciiTheme="minorHAnsi" w:hAnsiTheme="minorHAnsi" w:cstheme="minorHAnsi"/>
          <w:sz w:val="22"/>
          <w:szCs w:val="22"/>
        </w:rPr>
        <w:t>régional (près de 8 points d’écart) et national (19 points d’écart)</w:t>
      </w:r>
      <w:r w:rsidRPr="00E76C96">
        <w:rPr>
          <w:rFonts w:asciiTheme="minorHAnsi" w:hAnsiTheme="minorHAnsi" w:cstheme="minorHAnsi"/>
          <w:sz w:val="22"/>
          <w:szCs w:val="22"/>
        </w:rPr>
        <w:t>. Il s</w:t>
      </w:r>
      <w:r>
        <w:rPr>
          <w:rFonts w:asciiTheme="minorHAnsi" w:hAnsiTheme="minorHAnsi" w:cstheme="minorHAnsi"/>
          <w:sz w:val="22"/>
          <w:szCs w:val="22"/>
        </w:rPr>
        <w:t>’agit donc d’un taux très moyen</w:t>
      </w:r>
      <w:r w:rsidRPr="00E76C96">
        <w:rPr>
          <w:rFonts w:asciiTheme="minorHAnsi" w:hAnsiTheme="minorHAnsi" w:cstheme="minorHAnsi"/>
          <w:sz w:val="22"/>
          <w:szCs w:val="22"/>
        </w:rPr>
        <w:t xml:space="preserve">, mais qui </w:t>
      </w:r>
      <w:r w:rsidR="00F36C32">
        <w:rPr>
          <w:rFonts w:asciiTheme="minorHAnsi" w:hAnsiTheme="minorHAnsi" w:cstheme="minorHAnsi"/>
          <w:sz w:val="22"/>
          <w:szCs w:val="22"/>
        </w:rPr>
        <w:t>comme</w:t>
      </w:r>
      <w:r>
        <w:rPr>
          <w:rFonts w:asciiTheme="minorHAnsi" w:hAnsiTheme="minorHAnsi" w:cstheme="minorHAnsi"/>
          <w:sz w:val="22"/>
          <w:szCs w:val="22"/>
        </w:rPr>
        <w:t xml:space="preserve"> l’année dernière </w:t>
      </w:r>
      <w:r w:rsidRPr="00E76C96">
        <w:rPr>
          <w:rFonts w:asciiTheme="minorHAnsi" w:hAnsiTheme="minorHAnsi" w:cstheme="minorHAnsi"/>
          <w:sz w:val="22"/>
          <w:szCs w:val="22"/>
        </w:rPr>
        <w:t>peut être la conséquence d’un c</w:t>
      </w:r>
      <w:r>
        <w:rPr>
          <w:rFonts w:asciiTheme="minorHAnsi" w:hAnsiTheme="minorHAnsi" w:cstheme="minorHAnsi"/>
          <w:sz w:val="22"/>
          <w:szCs w:val="22"/>
        </w:rPr>
        <w:t>hoix économique visant au cumul</w:t>
      </w:r>
      <w:r w:rsidRPr="00E76C96">
        <w:rPr>
          <w:rFonts w:asciiTheme="minorHAnsi" w:hAnsiTheme="minorHAnsi" w:cstheme="minorHAnsi"/>
          <w:sz w:val="22"/>
          <w:szCs w:val="22"/>
        </w:rPr>
        <w:t xml:space="preserve"> de reliquats pour réaliser un investissement de plus grande ampleur. Le montant moyen de l’investissement par projet peut le laisser penser.</w:t>
      </w:r>
    </w:p>
    <w:p w:rsidR="00A27296" w:rsidRPr="00E76C96" w:rsidRDefault="00A27296" w:rsidP="00A27296">
      <w:pPr>
        <w:jc w:val="both"/>
        <w:rPr>
          <w:rFonts w:asciiTheme="minorHAnsi" w:hAnsiTheme="minorHAnsi" w:cstheme="minorHAnsi"/>
          <w:sz w:val="22"/>
          <w:szCs w:val="22"/>
        </w:rPr>
      </w:pPr>
      <w:r w:rsidRPr="00E76C96">
        <w:rPr>
          <w:rFonts w:asciiTheme="minorHAnsi" w:hAnsiTheme="minorHAnsi" w:cstheme="minorHAnsi"/>
          <w:sz w:val="22"/>
          <w:szCs w:val="22"/>
        </w:rPr>
        <w:t>Le montant moyen par investissement</w:t>
      </w:r>
      <w:r w:rsidR="00D77E63">
        <w:rPr>
          <w:rFonts w:asciiTheme="minorHAnsi" w:hAnsiTheme="minorHAnsi" w:cstheme="minorHAnsi"/>
          <w:sz w:val="22"/>
          <w:szCs w:val="22"/>
        </w:rPr>
        <w:t>, bien qu’en légère baisse,</w:t>
      </w:r>
      <w:r w:rsidRPr="00E76C96">
        <w:rPr>
          <w:rFonts w:asciiTheme="minorHAnsi" w:hAnsiTheme="minorHAnsi" w:cstheme="minorHAnsi"/>
          <w:sz w:val="22"/>
          <w:szCs w:val="22"/>
        </w:rPr>
        <w:t xml:space="preserve"> </w:t>
      </w:r>
      <w:r w:rsidRPr="00E76C96">
        <w:rPr>
          <w:rFonts w:asciiTheme="minorHAnsi" w:hAnsiTheme="minorHAnsi" w:cstheme="minorHAnsi"/>
          <w:b/>
          <w:sz w:val="22"/>
          <w:szCs w:val="22"/>
        </w:rPr>
        <w:t xml:space="preserve">est </w:t>
      </w:r>
      <w:r>
        <w:rPr>
          <w:rFonts w:asciiTheme="minorHAnsi" w:hAnsiTheme="minorHAnsi" w:cstheme="minorHAnsi"/>
          <w:b/>
          <w:sz w:val="22"/>
          <w:szCs w:val="22"/>
        </w:rPr>
        <w:t xml:space="preserve">en effet </w:t>
      </w:r>
      <w:r w:rsidRPr="00E76C96">
        <w:rPr>
          <w:rFonts w:asciiTheme="minorHAnsi" w:hAnsiTheme="minorHAnsi" w:cstheme="minorHAnsi"/>
          <w:b/>
          <w:sz w:val="22"/>
          <w:szCs w:val="22"/>
        </w:rPr>
        <w:t>extrêmement élevé</w:t>
      </w:r>
      <w:r w:rsidRPr="00E76C96">
        <w:rPr>
          <w:rFonts w:asciiTheme="minorHAnsi" w:hAnsiTheme="minorHAnsi" w:cstheme="minorHAnsi"/>
          <w:sz w:val="22"/>
          <w:szCs w:val="22"/>
        </w:rPr>
        <w:t xml:space="preserve"> au regard de ce même taux relevé a</w:t>
      </w:r>
      <w:r w:rsidR="00D77E63">
        <w:rPr>
          <w:rFonts w:asciiTheme="minorHAnsi" w:hAnsiTheme="minorHAnsi" w:cstheme="minorHAnsi"/>
          <w:sz w:val="22"/>
          <w:szCs w:val="22"/>
        </w:rPr>
        <w:t>ux niveaux régional et national</w:t>
      </w:r>
      <w:r w:rsidRPr="00E76C96">
        <w:rPr>
          <w:rFonts w:asciiTheme="minorHAnsi" w:hAnsiTheme="minorHAnsi" w:cstheme="minorHAnsi"/>
          <w:sz w:val="22"/>
          <w:szCs w:val="22"/>
        </w:rPr>
        <w:t xml:space="preserve">. </w:t>
      </w:r>
      <w:r w:rsidR="00D77E63">
        <w:rPr>
          <w:rFonts w:asciiTheme="minorHAnsi" w:hAnsiTheme="minorHAnsi" w:cstheme="minorHAnsi"/>
          <w:sz w:val="22"/>
          <w:szCs w:val="22"/>
        </w:rPr>
        <w:t xml:space="preserve">Il passe donc de 5 671 839 MRO en 2011 à 4 998 284 MRO en 2012. </w:t>
      </w:r>
      <w:r w:rsidRPr="00E76C96">
        <w:rPr>
          <w:rFonts w:asciiTheme="minorHAnsi" w:hAnsiTheme="minorHAnsi" w:cstheme="minorHAnsi"/>
          <w:sz w:val="22"/>
          <w:szCs w:val="22"/>
        </w:rPr>
        <w:t>On évite donc ici la parcellisation de l’investissement, phénomène récurrent dans bon nombre de communes.</w:t>
      </w:r>
    </w:p>
    <w:p w:rsidR="00A27296" w:rsidRDefault="00A27296" w:rsidP="00A27296">
      <w:pPr>
        <w:jc w:val="both"/>
        <w:rPr>
          <w:rFonts w:asciiTheme="minorHAnsi" w:hAnsiTheme="minorHAnsi" w:cstheme="minorHAnsi"/>
        </w:rPr>
      </w:pPr>
    </w:p>
    <w:p w:rsidR="00D77E63" w:rsidRDefault="00D77E63" w:rsidP="00D77E63">
      <w:pPr>
        <w:jc w:val="both"/>
        <w:rPr>
          <w:rFonts w:asciiTheme="minorHAnsi" w:hAnsiTheme="minorHAnsi" w:cstheme="minorHAnsi"/>
          <w:sz w:val="22"/>
          <w:szCs w:val="22"/>
        </w:rPr>
      </w:pPr>
      <w:r>
        <w:rPr>
          <w:rFonts w:asciiTheme="minorHAnsi" w:hAnsiTheme="minorHAnsi" w:cstheme="minorHAnsi"/>
          <w:sz w:val="22"/>
          <w:szCs w:val="22"/>
        </w:rPr>
        <w:t xml:space="preserve">En termes de priorités d’investissement, le secteur des bâtiments communaux vient en première position avec 50,20% des engagements, pour </w:t>
      </w:r>
      <w:r w:rsidR="00F970F1">
        <w:rPr>
          <w:rFonts w:asciiTheme="minorHAnsi" w:hAnsiTheme="minorHAnsi" w:cstheme="minorHAnsi"/>
          <w:sz w:val="22"/>
          <w:szCs w:val="22"/>
        </w:rPr>
        <w:t>un unique projet à 17 565 395</w:t>
      </w:r>
      <w:r>
        <w:rPr>
          <w:rFonts w:asciiTheme="minorHAnsi" w:hAnsiTheme="minorHAnsi" w:cstheme="minorHAnsi"/>
          <w:sz w:val="22"/>
          <w:szCs w:val="22"/>
        </w:rPr>
        <w:t xml:space="preserve"> MRO.</w:t>
      </w:r>
    </w:p>
    <w:p w:rsidR="00D77E63" w:rsidRPr="0093300F" w:rsidRDefault="00D77E63" w:rsidP="00D77E63">
      <w:pPr>
        <w:jc w:val="both"/>
        <w:rPr>
          <w:rFonts w:asciiTheme="minorHAnsi" w:hAnsiTheme="minorHAnsi" w:cstheme="minorHAnsi"/>
          <w:sz w:val="22"/>
          <w:szCs w:val="22"/>
        </w:rPr>
      </w:pPr>
      <w:r>
        <w:rPr>
          <w:rFonts w:asciiTheme="minorHAnsi" w:hAnsiTheme="minorHAnsi" w:cstheme="minorHAnsi"/>
          <w:sz w:val="22"/>
          <w:szCs w:val="22"/>
        </w:rPr>
        <w:t>Ensuite, viennent en deu</w:t>
      </w:r>
      <w:r w:rsidR="00F970F1">
        <w:rPr>
          <w:rFonts w:asciiTheme="minorHAnsi" w:hAnsiTheme="minorHAnsi" w:cstheme="minorHAnsi"/>
          <w:sz w:val="22"/>
          <w:szCs w:val="22"/>
        </w:rPr>
        <w:t>xième position les travaux d’entretien et de maintenance avec 19,71</w:t>
      </w:r>
      <w:r>
        <w:rPr>
          <w:rFonts w:asciiTheme="minorHAnsi" w:hAnsiTheme="minorHAnsi" w:cstheme="minorHAnsi"/>
          <w:sz w:val="22"/>
          <w:szCs w:val="22"/>
        </w:rPr>
        <w:t>% des engagem</w:t>
      </w:r>
      <w:r w:rsidR="00F970F1">
        <w:rPr>
          <w:rFonts w:asciiTheme="minorHAnsi" w:hAnsiTheme="minorHAnsi" w:cstheme="minorHAnsi"/>
          <w:sz w:val="22"/>
          <w:szCs w:val="22"/>
        </w:rPr>
        <w:t>ents, soit 6 895 375 MRO pour 1 projet</w:t>
      </w:r>
      <w:r>
        <w:rPr>
          <w:rFonts w:asciiTheme="minorHAnsi" w:hAnsiTheme="minorHAnsi" w:cstheme="minorHAnsi"/>
          <w:sz w:val="22"/>
          <w:szCs w:val="22"/>
        </w:rPr>
        <w:t>.</w:t>
      </w:r>
    </w:p>
    <w:p w:rsidR="00D77E63" w:rsidRDefault="00D77E63" w:rsidP="00D77E63">
      <w:pPr>
        <w:jc w:val="both"/>
        <w:rPr>
          <w:rFonts w:asciiTheme="minorHAnsi" w:hAnsiTheme="minorHAnsi" w:cstheme="minorHAnsi"/>
          <w:sz w:val="22"/>
          <w:szCs w:val="22"/>
        </w:rPr>
      </w:pPr>
      <w:r>
        <w:rPr>
          <w:rFonts w:asciiTheme="minorHAnsi" w:hAnsiTheme="minorHAnsi" w:cstheme="minorHAnsi"/>
          <w:sz w:val="22"/>
          <w:szCs w:val="22"/>
        </w:rPr>
        <w:t>En troisième pos</w:t>
      </w:r>
      <w:r w:rsidR="00F970F1">
        <w:rPr>
          <w:rFonts w:asciiTheme="minorHAnsi" w:hAnsiTheme="minorHAnsi" w:cstheme="minorHAnsi"/>
          <w:sz w:val="22"/>
          <w:szCs w:val="22"/>
        </w:rPr>
        <w:t>ition, les transports avec 14,99</w:t>
      </w:r>
      <w:r>
        <w:rPr>
          <w:rFonts w:asciiTheme="minorHAnsi" w:hAnsiTheme="minorHAnsi" w:cstheme="minorHAnsi"/>
          <w:sz w:val="22"/>
          <w:szCs w:val="22"/>
        </w:rPr>
        <w:t>% des engage</w:t>
      </w:r>
      <w:r w:rsidR="00F970F1">
        <w:rPr>
          <w:rFonts w:asciiTheme="minorHAnsi" w:hAnsiTheme="minorHAnsi" w:cstheme="minorHAnsi"/>
          <w:sz w:val="22"/>
          <w:szCs w:val="22"/>
        </w:rPr>
        <w:t>ments, soit 5 244 000 MRO pour 1 projet</w:t>
      </w:r>
      <w:r>
        <w:rPr>
          <w:rFonts w:asciiTheme="minorHAnsi" w:hAnsiTheme="minorHAnsi" w:cstheme="minorHAnsi"/>
          <w:sz w:val="22"/>
          <w:szCs w:val="22"/>
        </w:rPr>
        <w:t>.</w:t>
      </w:r>
    </w:p>
    <w:p w:rsidR="00A27296" w:rsidRDefault="00A27296" w:rsidP="00A27296">
      <w:pPr>
        <w:jc w:val="both"/>
        <w:rPr>
          <w:rFonts w:asciiTheme="minorHAnsi" w:hAnsiTheme="minorHAnsi" w:cstheme="minorHAnsi"/>
        </w:rPr>
      </w:pPr>
    </w:p>
    <w:p w:rsidR="00F970F1" w:rsidRDefault="00F970F1" w:rsidP="00A27296">
      <w:pPr>
        <w:jc w:val="both"/>
        <w:rPr>
          <w:rFonts w:asciiTheme="minorHAnsi" w:hAnsiTheme="minorHAnsi" w:cstheme="minorHAnsi"/>
        </w:rPr>
      </w:pPr>
    </w:p>
    <w:p w:rsidR="00A27296" w:rsidRPr="00E76C96" w:rsidRDefault="001246CD" w:rsidP="00A27296">
      <w:pPr>
        <w:jc w:val="center"/>
        <w:rPr>
          <w:rFonts w:asciiTheme="minorHAnsi" w:hAnsiTheme="minorHAnsi" w:cstheme="minorHAnsi"/>
          <w:sz w:val="22"/>
          <w:szCs w:val="22"/>
          <w:u w:val="single"/>
        </w:rPr>
      </w:pPr>
      <w:proofErr w:type="spellStart"/>
      <w:r>
        <w:rPr>
          <w:rFonts w:asciiTheme="minorHAnsi" w:hAnsiTheme="minorHAnsi" w:cstheme="minorHAnsi"/>
          <w:b/>
          <w:sz w:val="22"/>
          <w:szCs w:val="22"/>
          <w:u w:val="single"/>
        </w:rPr>
        <w:t>Moughataa</w:t>
      </w:r>
      <w:proofErr w:type="spellEnd"/>
      <w:r w:rsidR="00A27296" w:rsidRPr="00E76C96">
        <w:rPr>
          <w:rFonts w:asciiTheme="minorHAnsi" w:hAnsiTheme="minorHAnsi" w:cstheme="minorHAnsi"/>
          <w:b/>
          <w:sz w:val="22"/>
          <w:szCs w:val="22"/>
          <w:u w:val="single"/>
        </w:rPr>
        <w:t xml:space="preserve"> de </w:t>
      </w:r>
      <w:proofErr w:type="spellStart"/>
      <w:r w:rsidR="00A27296" w:rsidRPr="00E76C96">
        <w:rPr>
          <w:rFonts w:asciiTheme="minorHAnsi" w:hAnsiTheme="minorHAnsi" w:cstheme="minorHAnsi"/>
          <w:b/>
          <w:sz w:val="22"/>
          <w:szCs w:val="22"/>
          <w:u w:val="single"/>
        </w:rPr>
        <w:t>Teyaret</w:t>
      </w:r>
      <w:proofErr w:type="spellEnd"/>
    </w:p>
    <w:p w:rsidR="00A27296" w:rsidRPr="00E76C96" w:rsidRDefault="00A27296" w:rsidP="00A27296">
      <w:pPr>
        <w:jc w:val="both"/>
        <w:rPr>
          <w:rFonts w:asciiTheme="minorHAnsi" w:hAnsiTheme="minorHAnsi" w:cstheme="minorHAnsi"/>
          <w:sz w:val="22"/>
          <w:szCs w:val="22"/>
        </w:rPr>
      </w:pPr>
    </w:p>
    <w:p w:rsidR="00A27296" w:rsidRPr="00F76E36" w:rsidRDefault="00A27296" w:rsidP="00A27296">
      <w:pPr>
        <w:jc w:val="both"/>
        <w:rPr>
          <w:rFonts w:asciiTheme="minorHAnsi" w:hAnsiTheme="minorHAnsi" w:cstheme="minorHAnsi"/>
          <w:sz w:val="22"/>
          <w:szCs w:val="22"/>
        </w:rPr>
      </w:pPr>
      <w:r w:rsidRPr="00E76C96">
        <w:rPr>
          <w:rFonts w:asciiTheme="minorHAnsi" w:hAnsiTheme="minorHAnsi" w:cstheme="minorHAnsi"/>
          <w:sz w:val="22"/>
          <w:szCs w:val="22"/>
        </w:rPr>
        <w:t xml:space="preserve">La commune de la </w:t>
      </w:r>
      <w:proofErr w:type="spellStart"/>
      <w:r w:rsidR="001246CD">
        <w:rPr>
          <w:rFonts w:asciiTheme="minorHAnsi" w:hAnsiTheme="minorHAnsi" w:cstheme="minorHAnsi"/>
          <w:sz w:val="22"/>
          <w:szCs w:val="22"/>
        </w:rPr>
        <w:t>Moughataa</w:t>
      </w:r>
      <w:proofErr w:type="spellEnd"/>
      <w:r w:rsidRPr="00E76C96">
        <w:rPr>
          <w:rFonts w:asciiTheme="minorHAnsi" w:hAnsiTheme="minorHAnsi" w:cstheme="minorHAnsi"/>
          <w:sz w:val="22"/>
          <w:szCs w:val="22"/>
        </w:rPr>
        <w:t xml:space="preserve"> de </w:t>
      </w:r>
      <w:proofErr w:type="spellStart"/>
      <w:r w:rsidRPr="00E76C96">
        <w:rPr>
          <w:rFonts w:asciiTheme="minorHAnsi" w:hAnsiTheme="minorHAnsi" w:cstheme="minorHAnsi"/>
          <w:sz w:val="22"/>
          <w:szCs w:val="22"/>
        </w:rPr>
        <w:t>Teyar</w:t>
      </w:r>
      <w:r>
        <w:rPr>
          <w:rFonts w:asciiTheme="minorHAnsi" w:hAnsiTheme="minorHAnsi" w:cstheme="minorHAnsi"/>
          <w:sz w:val="22"/>
          <w:szCs w:val="22"/>
        </w:rPr>
        <w:t>et</w:t>
      </w:r>
      <w:proofErr w:type="spellEnd"/>
      <w:r w:rsidR="00F970F1">
        <w:rPr>
          <w:rFonts w:asciiTheme="minorHAnsi" w:hAnsiTheme="minorHAnsi" w:cstheme="minorHAnsi"/>
          <w:sz w:val="22"/>
          <w:szCs w:val="22"/>
        </w:rPr>
        <w:t xml:space="preserve"> a bénéficié d’un FRD 2012 pour l’équipement de 38 272 076 MRO (+19,51% par rapport à 2011). Elle a engagé 13 793 496</w:t>
      </w:r>
      <w:r w:rsidRPr="00E76C96">
        <w:rPr>
          <w:rFonts w:asciiTheme="minorHAnsi" w:hAnsiTheme="minorHAnsi" w:cstheme="minorHAnsi"/>
          <w:sz w:val="22"/>
          <w:szCs w:val="22"/>
        </w:rPr>
        <w:t xml:space="preserve"> MRO pour la réalisation de </w:t>
      </w:r>
      <w:r w:rsidR="00F970F1">
        <w:rPr>
          <w:rFonts w:asciiTheme="minorHAnsi" w:hAnsiTheme="minorHAnsi" w:cstheme="minorHAnsi"/>
          <w:b/>
          <w:sz w:val="22"/>
          <w:szCs w:val="22"/>
        </w:rPr>
        <w:t>28</w:t>
      </w:r>
      <w:r w:rsidRPr="00E76C96">
        <w:rPr>
          <w:rFonts w:asciiTheme="minorHAnsi" w:hAnsiTheme="minorHAnsi" w:cstheme="minorHAnsi"/>
          <w:b/>
          <w:sz w:val="22"/>
          <w:szCs w:val="22"/>
        </w:rPr>
        <w:t xml:space="preserve"> projets</w:t>
      </w:r>
      <w:r w:rsidR="00F76E36">
        <w:rPr>
          <w:rFonts w:asciiTheme="minorHAnsi" w:hAnsiTheme="minorHAnsi" w:cstheme="minorHAnsi"/>
          <w:b/>
          <w:sz w:val="22"/>
          <w:szCs w:val="22"/>
        </w:rPr>
        <w:t xml:space="preserve"> </w:t>
      </w:r>
      <w:r w:rsidR="00F76E36" w:rsidRPr="00F76E36">
        <w:rPr>
          <w:rFonts w:asciiTheme="minorHAnsi" w:hAnsiTheme="minorHAnsi" w:cstheme="minorHAnsi"/>
          <w:sz w:val="22"/>
          <w:szCs w:val="22"/>
        </w:rPr>
        <w:t>(26 en 2011)</w:t>
      </w:r>
      <w:r w:rsidRPr="00F76E36">
        <w:rPr>
          <w:rFonts w:asciiTheme="minorHAnsi" w:hAnsiTheme="minorHAnsi" w:cstheme="minorHAnsi"/>
          <w:sz w:val="22"/>
          <w:szCs w:val="22"/>
        </w:rPr>
        <w:t>,</w:t>
      </w:r>
      <w:r w:rsidRPr="00E76C96">
        <w:rPr>
          <w:rFonts w:asciiTheme="minorHAnsi" w:hAnsiTheme="minorHAnsi" w:cstheme="minorHAnsi"/>
          <w:sz w:val="22"/>
          <w:szCs w:val="22"/>
        </w:rPr>
        <w:t xml:space="preserve"> soit un </w:t>
      </w:r>
      <w:r w:rsidR="00F970F1">
        <w:rPr>
          <w:rFonts w:asciiTheme="minorHAnsi" w:hAnsiTheme="minorHAnsi" w:cstheme="minorHAnsi"/>
          <w:b/>
          <w:sz w:val="22"/>
          <w:szCs w:val="22"/>
        </w:rPr>
        <w:t>taux d’absorption de 36,04</w:t>
      </w:r>
      <w:r w:rsidRPr="00E76C96">
        <w:rPr>
          <w:rFonts w:asciiTheme="minorHAnsi" w:hAnsiTheme="minorHAnsi" w:cstheme="minorHAnsi"/>
          <w:b/>
          <w:sz w:val="22"/>
          <w:szCs w:val="22"/>
        </w:rPr>
        <w:t xml:space="preserve"> %.</w:t>
      </w:r>
      <w:r w:rsidR="00F970F1">
        <w:rPr>
          <w:rFonts w:asciiTheme="minorHAnsi" w:hAnsiTheme="minorHAnsi" w:cstheme="minorHAnsi"/>
          <w:b/>
          <w:sz w:val="22"/>
          <w:szCs w:val="22"/>
        </w:rPr>
        <w:t xml:space="preserve"> </w:t>
      </w:r>
      <w:r w:rsidR="00F970F1" w:rsidRPr="00F970F1">
        <w:rPr>
          <w:rFonts w:asciiTheme="minorHAnsi" w:hAnsiTheme="minorHAnsi" w:cstheme="minorHAnsi"/>
          <w:sz w:val="22"/>
          <w:szCs w:val="22"/>
        </w:rPr>
        <w:t>Il s’agit du ta</w:t>
      </w:r>
      <w:r w:rsidR="00F970F1">
        <w:rPr>
          <w:rFonts w:asciiTheme="minorHAnsi" w:hAnsiTheme="minorHAnsi" w:cstheme="minorHAnsi"/>
          <w:sz w:val="22"/>
          <w:szCs w:val="22"/>
        </w:rPr>
        <w:t>ux le plus bas constaté en 2012, en forte diminution par rapport à 2010 et 2011 (102,07 % et 95,25%) : comme indiqué plus haut, des taux contrastés résultant certainement de stratégies mûrement réfléchie</w:t>
      </w:r>
      <w:r w:rsidR="000B1976">
        <w:rPr>
          <w:rFonts w:asciiTheme="minorHAnsi" w:hAnsiTheme="minorHAnsi" w:cstheme="minorHAnsi"/>
          <w:sz w:val="22"/>
          <w:szCs w:val="22"/>
        </w:rPr>
        <w:t>s</w:t>
      </w:r>
      <w:r w:rsidR="00F970F1">
        <w:rPr>
          <w:rFonts w:asciiTheme="minorHAnsi" w:hAnsiTheme="minorHAnsi" w:cstheme="minorHAnsi"/>
          <w:sz w:val="22"/>
          <w:szCs w:val="22"/>
        </w:rPr>
        <w:t>.</w:t>
      </w:r>
    </w:p>
    <w:p w:rsidR="00A27296" w:rsidRDefault="00AE5675" w:rsidP="00A27296">
      <w:pPr>
        <w:jc w:val="both"/>
        <w:rPr>
          <w:rFonts w:asciiTheme="minorHAnsi" w:hAnsiTheme="minorHAnsi" w:cstheme="minorHAnsi"/>
        </w:rPr>
      </w:pPr>
      <w:r w:rsidRPr="00AE5675">
        <w:rPr>
          <w:noProof/>
        </w:rPr>
        <w:drawing>
          <wp:inline distT="0" distB="0" distL="0" distR="0">
            <wp:extent cx="3552825" cy="3476625"/>
            <wp:effectExtent l="19050" t="0" r="9525" b="0"/>
            <wp:docPr id="346"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6" cstate="print"/>
                    <a:stretch>
                      <a:fillRect/>
                    </a:stretch>
                  </pic:blipFill>
                  <pic:spPr>
                    <a:xfrm>
                      <a:off x="0" y="0"/>
                      <a:ext cx="3552381" cy="3476190"/>
                    </a:xfrm>
                    <a:prstGeom prst="rect">
                      <a:avLst/>
                    </a:prstGeom>
                  </pic:spPr>
                </pic:pic>
              </a:graphicData>
            </a:graphic>
          </wp:inline>
        </w:drawing>
      </w:r>
      <w:r w:rsidR="0098006C" w:rsidRPr="0098006C">
        <w:rPr>
          <w:rFonts w:asciiTheme="minorHAnsi" w:hAnsiTheme="minorHAnsi" w:cstheme="minorHAnsi"/>
          <w:noProof/>
        </w:rPr>
        <w:drawing>
          <wp:inline distT="0" distB="0" distL="0" distR="0">
            <wp:extent cx="2962275" cy="3476625"/>
            <wp:effectExtent l="19050" t="0" r="9525" b="0"/>
            <wp:docPr id="490"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7" cstate="print"/>
                    <a:stretch>
                      <a:fillRect/>
                    </a:stretch>
                  </pic:blipFill>
                  <pic:spPr>
                    <a:xfrm>
                      <a:off x="0" y="0"/>
                      <a:ext cx="2962275" cy="3476625"/>
                    </a:xfrm>
                    <a:prstGeom prst="rect">
                      <a:avLst/>
                    </a:prstGeom>
                  </pic:spPr>
                </pic:pic>
              </a:graphicData>
            </a:graphic>
          </wp:inline>
        </w:drawing>
      </w:r>
    </w:p>
    <w:p w:rsidR="00A27296" w:rsidRDefault="00F56FCA" w:rsidP="00A27296">
      <w:pPr>
        <w:jc w:val="both"/>
        <w:rPr>
          <w:rFonts w:asciiTheme="minorHAnsi" w:hAnsiTheme="minorHAnsi" w:cstheme="minorHAnsi"/>
          <w:b/>
        </w:rPr>
      </w:pPr>
      <w:r w:rsidRPr="00F56FCA">
        <w:rPr>
          <w:rFonts w:asciiTheme="minorHAnsi" w:hAnsiTheme="minorHAnsi" w:cstheme="minorHAnsi"/>
          <w:b/>
          <w:noProof/>
        </w:rPr>
        <w:drawing>
          <wp:inline distT="0" distB="0" distL="0" distR="0">
            <wp:extent cx="6543675" cy="2381250"/>
            <wp:effectExtent l="19050" t="0" r="9525" b="0"/>
            <wp:docPr id="497"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8" cstate="print"/>
                    <a:stretch>
                      <a:fillRect/>
                    </a:stretch>
                  </pic:blipFill>
                  <pic:spPr>
                    <a:xfrm>
                      <a:off x="0" y="0"/>
                      <a:ext cx="6542859" cy="2380953"/>
                    </a:xfrm>
                    <a:prstGeom prst="rect">
                      <a:avLst/>
                    </a:prstGeom>
                  </pic:spPr>
                </pic:pic>
              </a:graphicData>
            </a:graphic>
          </wp:inline>
        </w:drawing>
      </w:r>
    </w:p>
    <w:p w:rsidR="00A27296" w:rsidRDefault="00A27296" w:rsidP="00A27296">
      <w:pPr>
        <w:jc w:val="both"/>
        <w:rPr>
          <w:rFonts w:asciiTheme="minorHAnsi" w:hAnsiTheme="minorHAnsi" w:cstheme="minorHAnsi"/>
          <w:b/>
        </w:rPr>
      </w:pPr>
    </w:p>
    <w:p w:rsidR="00F76E36" w:rsidRDefault="00F76E36" w:rsidP="00F76E36">
      <w:pPr>
        <w:jc w:val="both"/>
        <w:rPr>
          <w:rFonts w:asciiTheme="minorHAnsi" w:hAnsiTheme="minorHAnsi" w:cstheme="minorHAnsi"/>
          <w:sz w:val="22"/>
          <w:szCs w:val="22"/>
        </w:rPr>
      </w:pPr>
      <w:r>
        <w:rPr>
          <w:rFonts w:asciiTheme="minorHAnsi" w:hAnsiTheme="minorHAnsi" w:cstheme="minorHAnsi"/>
          <w:sz w:val="22"/>
          <w:szCs w:val="22"/>
        </w:rPr>
        <w:t>Par conséquent, l</w:t>
      </w:r>
      <w:r w:rsidRPr="0093300F">
        <w:rPr>
          <w:rFonts w:asciiTheme="minorHAnsi" w:hAnsiTheme="minorHAnsi" w:cstheme="minorHAnsi"/>
          <w:sz w:val="22"/>
          <w:szCs w:val="22"/>
        </w:rPr>
        <w:t>e</w:t>
      </w:r>
      <w:r>
        <w:rPr>
          <w:rFonts w:asciiTheme="minorHAnsi" w:hAnsiTheme="minorHAnsi" w:cstheme="minorHAnsi"/>
          <w:sz w:val="22"/>
          <w:szCs w:val="22"/>
        </w:rPr>
        <w:t xml:space="preserve"> montant moyen par projet d’investissement chute, passant de 1 173 261 MRO en 2011 à 492 625 MRO en 2012, un des plus faibles montants constatés pour l’exercice 2012. La parcellisation de l’investiss</w:t>
      </w:r>
      <w:r w:rsidR="002164E3">
        <w:rPr>
          <w:rFonts w:asciiTheme="minorHAnsi" w:hAnsiTheme="minorHAnsi" w:cstheme="minorHAnsi"/>
          <w:sz w:val="22"/>
          <w:szCs w:val="22"/>
        </w:rPr>
        <w:t>ement atteint ainsi des sommets, pour une commune de la capitale mauritanienne.</w:t>
      </w:r>
    </w:p>
    <w:p w:rsidR="00F76E36" w:rsidRDefault="00F76E36" w:rsidP="00F76E36">
      <w:pPr>
        <w:jc w:val="both"/>
        <w:rPr>
          <w:rFonts w:asciiTheme="minorHAnsi" w:hAnsiTheme="minorHAnsi" w:cstheme="minorHAnsi"/>
          <w:sz w:val="22"/>
          <w:szCs w:val="22"/>
        </w:rPr>
      </w:pPr>
      <w:r>
        <w:rPr>
          <w:rFonts w:asciiTheme="minorHAnsi" w:hAnsiTheme="minorHAnsi" w:cstheme="minorHAnsi"/>
          <w:sz w:val="22"/>
          <w:szCs w:val="22"/>
        </w:rPr>
        <w:t>En termes de priorités d’investissement, les travaux afférents aux bâtiments communaux arrivent en première position avec 56,10% des engagements, pour 8 projets se répartissant 7 737 859 MRO.</w:t>
      </w:r>
    </w:p>
    <w:p w:rsidR="00F76E36" w:rsidRPr="0093300F" w:rsidRDefault="00F76E36" w:rsidP="00F76E36">
      <w:pPr>
        <w:jc w:val="both"/>
        <w:rPr>
          <w:rFonts w:asciiTheme="minorHAnsi" w:hAnsiTheme="minorHAnsi" w:cstheme="minorHAnsi"/>
          <w:sz w:val="22"/>
          <w:szCs w:val="22"/>
        </w:rPr>
      </w:pPr>
      <w:r>
        <w:rPr>
          <w:rFonts w:asciiTheme="minorHAnsi" w:hAnsiTheme="minorHAnsi" w:cstheme="minorHAnsi"/>
          <w:sz w:val="22"/>
          <w:szCs w:val="22"/>
        </w:rPr>
        <w:t xml:space="preserve">Ensuite, vient en deuxième position l’équipement de la mairie avec 39,83% des engagements, soit 5 494 187 MRO pour 17 projets. </w:t>
      </w:r>
    </w:p>
    <w:p w:rsidR="00F76E36" w:rsidRDefault="00F76E36" w:rsidP="00F76E36">
      <w:pPr>
        <w:jc w:val="both"/>
        <w:rPr>
          <w:rFonts w:asciiTheme="minorHAnsi" w:hAnsiTheme="minorHAnsi" w:cstheme="minorHAnsi"/>
          <w:sz w:val="22"/>
          <w:szCs w:val="22"/>
        </w:rPr>
      </w:pPr>
      <w:r>
        <w:rPr>
          <w:rFonts w:asciiTheme="minorHAnsi" w:hAnsiTheme="minorHAnsi" w:cstheme="minorHAnsi"/>
          <w:sz w:val="22"/>
          <w:szCs w:val="22"/>
        </w:rPr>
        <w:t>En troisième pos</w:t>
      </w:r>
      <w:r w:rsidR="000A2958">
        <w:rPr>
          <w:rFonts w:asciiTheme="minorHAnsi" w:hAnsiTheme="minorHAnsi" w:cstheme="minorHAnsi"/>
          <w:sz w:val="22"/>
          <w:szCs w:val="22"/>
        </w:rPr>
        <w:t>ition, l’entretien et la maintenance avec 4,7</w:t>
      </w:r>
      <w:r>
        <w:rPr>
          <w:rFonts w:asciiTheme="minorHAnsi" w:hAnsiTheme="minorHAnsi" w:cstheme="minorHAnsi"/>
          <w:sz w:val="22"/>
          <w:szCs w:val="22"/>
        </w:rPr>
        <w:t>0%</w:t>
      </w:r>
      <w:r w:rsidR="000A2958">
        <w:rPr>
          <w:rFonts w:asciiTheme="minorHAnsi" w:hAnsiTheme="minorHAnsi" w:cstheme="minorHAnsi"/>
          <w:sz w:val="22"/>
          <w:szCs w:val="22"/>
        </w:rPr>
        <w:t xml:space="preserve"> des engagements, soit 561 450</w:t>
      </w:r>
      <w:r>
        <w:rPr>
          <w:rFonts w:asciiTheme="minorHAnsi" w:hAnsiTheme="minorHAnsi" w:cstheme="minorHAnsi"/>
          <w:sz w:val="22"/>
          <w:szCs w:val="22"/>
        </w:rPr>
        <w:t xml:space="preserve"> MRO pour 3 projets.</w:t>
      </w:r>
    </w:p>
    <w:p w:rsidR="00A27296" w:rsidRDefault="00A27296" w:rsidP="00A27296">
      <w:pPr>
        <w:jc w:val="both"/>
        <w:rPr>
          <w:rFonts w:asciiTheme="minorHAnsi" w:hAnsiTheme="minorHAnsi" w:cstheme="minorHAnsi"/>
          <w:sz w:val="22"/>
          <w:szCs w:val="22"/>
        </w:rPr>
      </w:pPr>
    </w:p>
    <w:p w:rsidR="000A2958" w:rsidRPr="00E76C96" w:rsidRDefault="000A2958" w:rsidP="00A27296">
      <w:pPr>
        <w:jc w:val="both"/>
        <w:rPr>
          <w:rFonts w:asciiTheme="minorHAnsi" w:hAnsiTheme="minorHAnsi" w:cstheme="minorHAnsi"/>
          <w:sz w:val="22"/>
          <w:szCs w:val="22"/>
        </w:rPr>
      </w:pPr>
    </w:p>
    <w:p w:rsidR="00A27296" w:rsidRPr="00E76C96" w:rsidRDefault="001246CD" w:rsidP="00A27296">
      <w:pPr>
        <w:jc w:val="center"/>
        <w:rPr>
          <w:rFonts w:asciiTheme="minorHAnsi" w:hAnsiTheme="minorHAnsi" w:cstheme="minorHAnsi"/>
          <w:sz w:val="22"/>
          <w:szCs w:val="22"/>
          <w:u w:val="single"/>
        </w:rPr>
      </w:pPr>
      <w:proofErr w:type="spellStart"/>
      <w:r>
        <w:rPr>
          <w:rFonts w:asciiTheme="minorHAnsi" w:hAnsiTheme="minorHAnsi" w:cstheme="minorHAnsi"/>
          <w:b/>
          <w:sz w:val="22"/>
          <w:szCs w:val="22"/>
          <w:u w:val="single"/>
        </w:rPr>
        <w:t>Moughataa</w:t>
      </w:r>
      <w:proofErr w:type="spellEnd"/>
      <w:r w:rsidR="00F00AAD">
        <w:rPr>
          <w:rFonts w:asciiTheme="minorHAnsi" w:hAnsiTheme="minorHAnsi" w:cstheme="minorHAnsi"/>
          <w:b/>
          <w:sz w:val="22"/>
          <w:szCs w:val="22"/>
          <w:u w:val="single"/>
        </w:rPr>
        <w:t xml:space="preserve"> de </w:t>
      </w:r>
      <w:proofErr w:type="spellStart"/>
      <w:r w:rsidR="00F00AAD">
        <w:rPr>
          <w:rFonts w:asciiTheme="minorHAnsi" w:hAnsiTheme="minorHAnsi" w:cstheme="minorHAnsi"/>
          <w:b/>
          <w:sz w:val="22"/>
          <w:szCs w:val="22"/>
          <w:u w:val="single"/>
        </w:rPr>
        <w:t>Tevragh</w:t>
      </w:r>
      <w:proofErr w:type="spellEnd"/>
      <w:r w:rsidR="00F00AAD">
        <w:rPr>
          <w:rFonts w:asciiTheme="minorHAnsi" w:hAnsiTheme="minorHAnsi" w:cstheme="minorHAnsi"/>
          <w:b/>
          <w:sz w:val="22"/>
          <w:szCs w:val="22"/>
          <w:u w:val="single"/>
        </w:rPr>
        <w:t>-</w:t>
      </w:r>
      <w:proofErr w:type="spellStart"/>
      <w:r w:rsidR="00A27296" w:rsidRPr="00E76C96">
        <w:rPr>
          <w:rFonts w:asciiTheme="minorHAnsi" w:hAnsiTheme="minorHAnsi" w:cstheme="minorHAnsi"/>
          <w:b/>
          <w:sz w:val="22"/>
          <w:szCs w:val="22"/>
          <w:u w:val="single"/>
        </w:rPr>
        <w:t>Zeina</w:t>
      </w:r>
      <w:proofErr w:type="spellEnd"/>
    </w:p>
    <w:p w:rsidR="00A27296" w:rsidRPr="00E76C96" w:rsidRDefault="00A27296" w:rsidP="00A27296">
      <w:pPr>
        <w:jc w:val="both"/>
        <w:rPr>
          <w:rFonts w:asciiTheme="minorHAnsi" w:hAnsiTheme="minorHAnsi" w:cstheme="minorHAnsi"/>
          <w:sz w:val="22"/>
          <w:szCs w:val="22"/>
        </w:rPr>
      </w:pPr>
    </w:p>
    <w:p w:rsidR="00F00AAD" w:rsidRPr="00E76C96" w:rsidRDefault="00A27296" w:rsidP="00F00AAD">
      <w:pPr>
        <w:jc w:val="both"/>
        <w:rPr>
          <w:rFonts w:asciiTheme="minorHAnsi" w:hAnsiTheme="minorHAnsi" w:cstheme="minorHAnsi"/>
          <w:sz w:val="22"/>
          <w:szCs w:val="22"/>
        </w:rPr>
      </w:pPr>
      <w:r w:rsidRPr="00E76C96">
        <w:rPr>
          <w:rFonts w:asciiTheme="minorHAnsi" w:hAnsiTheme="minorHAnsi" w:cstheme="minorHAnsi"/>
          <w:sz w:val="22"/>
          <w:szCs w:val="22"/>
        </w:rPr>
        <w:t>La com</w:t>
      </w:r>
      <w:r w:rsidR="00F00AAD">
        <w:rPr>
          <w:rFonts w:asciiTheme="minorHAnsi" w:hAnsiTheme="minorHAnsi" w:cstheme="minorHAnsi"/>
          <w:sz w:val="22"/>
          <w:szCs w:val="22"/>
        </w:rPr>
        <w:t xml:space="preserve">mune de la </w:t>
      </w:r>
      <w:proofErr w:type="spellStart"/>
      <w:r w:rsidR="001246CD">
        <w:rPr>
          <w:rFonts w:asciiTheme="minorHAnsi" w:hAnsiTheme="minorHAnsi" w:cstheme="minorHAnsi"/>
          <w:sz w:val="22"/>
          <w:szCs w:val="22"/>
        </w:rPr>
        <w:t>Moughataa</w:t>
      </w:r>
      <w:proofErr w:type="spellEnd"/>
      <w:r w:rsidR="00F00AAD">
        <w:rPr>
          <w:rFonts w:asciiTheme="minorHAnsi" w:hAnsiTheme="minorHAnsi" w:cstheme="minorHAnsi"/>
          <w:sz w:val="22"/>
          <w:szCs w:val="22"/>
        </w:rPr>
        <w:t xml:space="preserve"> de </w:t>
      </w:r>
      <w:proofErr w:type="spellStart"/>
      <w:r w:rsidR="00F00AAD">
        <w:rPr>
          <w:rFonts w:asciiTheme="minorHAnsi" w:hAnsiTheme="minorHAnsi" w:cstheme="minorHAnsi"/>
          <w:sz w:val="22"/>
          <w:szCs w:val="22"/>
        </w:rPr>
        <w:t>Tevragh</w:t>
      </w:r>
      <w:proofErr w:type="spellEnd"/>
      <w:r w:rsidR="00F00AAD">
        <w:rPr>
          <w:rFonts w:asciiTheme="minorHAnsi" w:hAnsiTheme="minorHAnsi" w:cstheme="minorHAnsi"/>
          <w:sz w:val="22"/>
          <w:szCs w:val="22"/>
        </w:rPr>
        <w:t>-</w:t>
      </w:r>
      <w:proofErr w:type="spellStart"/>
      <w:r w:rsidR="00F00AAD">
        <w:rPr>
          <w:rFonts w:asciiTheme="minorHAnsi" w:hAnsiTheme="minorHAnsi" w:cstheme="minorHAnsi"/>
          <w:sz w:val="22"/>
          <w:szCs w:val="22"/>
        </w:rPr>
        <w:t>Zeina</w:t>
      </w:r>
      <w:proofErr w:type="spellEnd"/>
      <w:r w:rsidR="00F00AAD">
        <w:rPr>
          <w:rFonts w:asciiTheme="minorHAnsi" w:hAnsiTheme="minorHAnsi" w:cstheme="minorHAnsi"/>
          <w:sz w:val="22"/>
          <w:szCs w:val="22"/>
        </w:rPr>
        <w:t xml:space="preserve"> a bénéficié d’un FRD 2012 pour l’équipement de 37 516 938 MRO (+19,56% par rapport à 2011). </w:t>
      </w:r>
      <w:r w:rsidRPr="00E76C96">
        <w:rPr>
          <w:rFonts w:asciiTheme="minorHAnsi" w:hAnsiTheme="minorHAnsi" w:cstheme="minorHAnsi"/>
          <w:sz w:val="22"/>
          <w:szCs w:val="22"/>
        </w:rPr>
        <w:t>Elle a e</w:t>
      </w:r>
      <w:r w:rsidR="00F00AAD">
        <w:rPr>
          <w:rFonts w:asciiTheme="minorHAnsi" w:hAnsiTheme="minorHAnsi" w:cstheme="minorHAnsi"/>
          <w:sz w:val="22"/>
          <w:szCs w:val="22"/>
        </w:rPr>
        <w:t>ngagé 16 975 174</w:t>
      </w:r>
      <w:r w:rsidRPr="00E76C96">
        <w:rPr>
          <w:rFonts w:asciiTheme="minorHAnsi" w:hAnsiTheme="minorHAnsi" w:cstheme="minorHAnsi"/>
          <w:sz w:val="22"/>
          <w:szCs w:val="22"/>
        </w:rPr>
        <w:t xml:space="preserve"> MRO pour la réalisation de </w:t>
      </w:r>
      <w:r w:rsidR="00F00AAD">
        <w:rPr>
          <w:rFonts w:asciiTheme="minorHAnsi" w:hAnsiTheme="minorHAnsi" w:cstheme="minorHAnsi"/>
          <w:b/>
          <w:sz w:val="22"/>
          <w:szCs w:val="22"/>
        </w:rPr>
        <w:t>10</w:t>
      </w:r>
      <w:r w:rsidRPr="00E76C96">
        <w:rPr>
          <w:rFonts w:asciiTheme="minorHAnsi" w:hAnsiTheme="minorHAnsi" w:cstheme="minorHAnsi"/>
          <w:b/>
          <w:sz w:val="22"/>
          <w:szCs w:val="22"/>
        </w:rPr>
        <w:t xml:space="preserve"> projets</w:t>
      </w:r>
      <w:r w:rsidRPr="00E76C96">
        <w:rPr>
          <w:rFonts w:asciiTheme="minorHAnsi" w:hAnsiTheme="minorHAnsi" w:cstheme="minorHAnsi"/>
          <w:sz w:val="22"/>
          <w:szCs w:val="22"/>
        </w:rPr>
        <w:t xml:space="preserve">, soit un </w:t>
      </w:r>
      <w:r w:rsidR="00F00AAD">
        <w:rPr>
          <w:rFonts w:asciiTheme="minorHAnsi" w:hAnsiTheme="minorHAnsi" w:cstheme="minorHAnsi"/>
          <w:b/>
          <w:sz w:val="22"/>
          <w:szCs w:val="22"/>
        </w:rPr>
        <w:t>taux d’absorption de 45,25</w:t>
      </w:r>
      <w:r w:rsidRPr="00E76C96">
        <w:rPr>
          <w:rFonts w:asciiTheme="minorHAnsi" w:hAnsiTheme="minorHAnsi" w:cstheme="minorHAnsi"/>
          <w:b/>
          <w:sz w:val="22"/>
          <w:szCs w:val="22"/>
        </w:rPr>
        <w:t>%.</w:t>
      </w:r>
      <w:r w:rsidR="00F00AAD">
        <w:rPr>
          <w:rFonts w:asciiTheme="minorHAnsi" w:hAnsiTheme="minorHAnsi" w:cstheme="minorHAnsi"/>
          <w:b/>
          <w:sz w:val="22"/>
          <w:szCs w:val="22"/>
        </w:rPr>
        <w:t xml:space="preserve"> </w:t>
      </w:r>
      <w:r w:rsidR="00F00AAD" w:rsidRPr="00E76C96">
        <w:rPr>
          <w:rFonts w:asciiTheme="minorHAnsi" w:hAnsiTheme="minorHAnsi" w:cstheme="minorHAnsi"/>
          <w:sz w:val="22"/>
          <w:szCs w:val="22"/>
        </w:rPr>
        <w:t>Le</w:t>
      </w:r>
      <w:r w:rsidR="00F00AAD">
        <w:rPr>
          <w:rFonts w:asciiTheme="minorHAnsi" w:hAnsiTheme="minorHAnsi" w:cstheme="minorHAnsi"/>
          <w:sz w:val="22"/>
          <w:szCs w:val="22"/>
        </w:rPr>
        <w:t xml:space="preserve"> taux d’absorption pour </w:t>
      </w:r>
      <w:proofErr w:type="spellStart"/>
      <w:r w:rsidR="00F00AAD">
        <w:rPr>
          <w:rFonts w:asciiTheme="minorHAnsi" w:hAnsiTheme="minorHAnsi" w:cstheme="minorHAnsi"/>
          <w:sz w:val="22"/>
          <w:szCs w:val="22"/>
        </w:rPr>
        <w:t>Tevragh</w:t>
      </w:r>
      <w:proofErr w:type="spellEnd"/>
      <w:r w:rsidR="00F00AAD">
        <w:rPr>
          <w:rFonts w:asciiTheme="minorHAnsi" w:hAnsiTheme="minorHAnsi" w:cstheme="minorHAnsi"/>
          <w:sz w:val="22"/>
          <w:szCs w:val="22"/>
        </w:rPr>
        <w:t>-</w:t>
      </w:r>
      <w:proofErr w:type="spellStart"/>
      <w:r w:rsidR="00F00AAD" w:rsidRPr="00E76C96">
        <w:rPr>
          <w:rFonts w:asciiTheme="minorHAnsi" w:hAnsiTheme="minorHAnsi" w:cstheme="minorHAnsi"/>
          <w:sz w:val="22"/>
          <w:szCs w:val="22"/>
        </w:rPr>
        <w:t>Zeina</w:t>
      </w:r>
      <w:proofErr w:type="spellEnd"/>
      <w:r w:rsidR="00F00AAD" w:rsidRPr="00E76C96">
        <w:rPr>
          <w:rFonts w:asciiTheme="minorHAnsi" w:hAnsiTheme="minorHAnsi" w:cstheme="minorHAnsi"/>
          <w:sz w:val="22"/>
          <w:szCs w:val="22"/>
        </w:rPr>
        <w:t xml:space="preserve"> </w:t>
      </w:r>
      <w:r w:rsidR="00F00AAD">
        <w:rPr>
          <w:rFonts w:asciiTheme="minorHAnsi" w:hAnsiTheme="minorHAnsi" w:cstheme="minorHAnsi"/>
          <w:sz w:val="22"/>
          <w:szCs w:val="22"/>
        </w:rPr>
        <w:t xml:space="preserve">connaît une amélioration par rapport à 2011 (seulement 18,20%) mais reste préoccupant. </w:t>
      </w:r>
      <w:r w:rsidR="00F00AAD" w:rsidRPr="00E76C96">
        <w:rPr>
          <w:rFonts w:asciiTheme="minorHAnsi" w:hAnsiTheme="minorHAnsi" w:cstheme="minorHAnsi"/>
          <w:sz w:val="22"/>
          <w:szCs w:val="22"/>
        </w:rPr>
        <w:t xml:space="preserve">2009 et 2010 </w:t>
      </w:r>
      <w:r w:rsidR="00B85244">
        <w:rPr>
          <w:rFonts w:asciiTheme="minorHAnsi" w:hAnsiTheme="minorHAnsi" w:cstheme="minorHAnsi"/>
          <w:sz w:val="22"/>
          <w:szCs w:val="22"/>
        </w:rPr>
        <w:t>étaient caractérisées par des taux satisfaisants (97,87% en 2009 et 97,77% en 2010). Une discussion avec les services</w:t>
      </w:r>
      <w:r w:rsidR="000B1976">
        <w:rPr>
          <w:rFonts w:asciiTheme="minorHAnsi" w:hAnsiTheme="minorHAnsi" w:cstheme="minorHAnsi"/>
          <w:sz w:val="22"/>
          <w:szCs w:val="22"/>
        </w:rPr>
        <w:t xml:space="preserve"> municipaux permettrait ainsi de nous </w:t>
      </w:r>
      <w:r w:rsidR="00B85244">
        <w:rPr>
          <w:rFonts w:asciiTheme="minorHAnsi" w:hAnsiTheme="minorHAnsi" w:cstheme="minorHAnsi"/>
          <w:sz w:val="22"/>
          <w:szCs w:val="22"/>
        </w:rPr>
        <w:t xml:space="preserve">éclairer sur </w:t>
      </w:r>
      <w:r w:rsidR="002164E3">
        <w:rPr>
          <w:rFonts w:asciiTheme="minorHAnsi" w:hAnsiTheme="minorHAnsi" w:cstheme="minorHAnsi"/>
          <w:sz w:val="22"/>
          <w:szCs w:val="22"/>
        </w:rPr>
        <w:t>les stratégies adoptées par la C</w:t>
      </w:r>
      <w:r w:rsidR="00B85244">
        <w:rPr>
          <w:rFonts w:asciiTheme="minorHAnsi" w:hAnsiTheme="minorHAnsi" w:cstheme="minorHAnsi"/>
          <w:sz w:val="22"/>
          <w:szCs w:val="22"/>
        </w:rPr>
        <w:t>ommune en matière d’investissement.</w:t>
      </w:r>
    </w:p>
    <w:p w:rsidR="00A27296" w:rsidRDefault="00A27296" w:rsidP="00A27296">
      <w:pPr>
        <w:jc w:val="both"/>
        <w:rPr>
          <w:rFonts w:asciiTheme="minorHAnsi" w:hAnsiTheme="minorHAnsi" w:cstheme="minorHAnsi"/>
        </w:rPr>
      </w:pPr>
    </w:p>
    <w:p w:rsidR="00A27296" w:rsidRDefault="00DD131F" w:rsidP="00A27296">
      <w:pPr>
        <w:jc w:val="both"/>
        <w:rPr>
          <w:rFonts w:asciiTheme="minorHAnsi" w:hAnsiTheme="minorHAnsi" w:cstheme="minorHAnsi"/>
        </w:rPr>
      </w:pPr>
      <w:r w:rsidRPr="00DD131F">
        <w:rPr>
          <w:noProof/>
        </w:rPr>
        <w:drawing>
          <wp:inline distT="0" distB="0" distL="0" distR="0">
            <wp:extent cx="3467100" cy="3409950"/>
            <wp:effectExtent l="19050" t="0" r="0" b="0"/>
            <wp:docPr id="350"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9" cstate="print"/>
                    <a:stretch>
                      <a:fillRect/>
                    </a:stretch>
                  </pic:blipFill>
                  <pic:spPr>
                    <a:xfrm>
                      <a:off x="0" y="0"/>
                      <a:ext cx="3466667" cy="3409524"/>
                    </a:xfrm>
                    <a:prstGeom prst="rect">
                      <a:avLst/>
                    </a:prstGeom>
                  </pic:spPr>
                </pic:pic>
              </a:graphicData>
            </a:graphic>
          </wp:inline>
        </w:drawing>
      </w:r>
      <w:r w:rsidR="0098006C" w:rsidRPr="0098006C">
        <w:rPr>
          <w:rFonts w:asciiTheme="minorHAnsi" w:hAnsiTheme="minorHAnsi" w:cstheme="minorHAnsi"/>
          <w:noProof/>
        </w:rPr>
        <w:drawing>
          <wp:inline distT="0" distB="0" distL="0" distR="0">
            <wp:extent cx="3067050" cy="3409950"/>
            <wp:effectExtent l="19050" t="0" r="0" b="0"/>
            <wp:docPr id="489"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0" cstate="print"/>
                    <a:stretch>
                      <a:fillRect/>
                    </a:stretch>
                  </pic:blipFill>
                  <pic:spPr>
                    <a:xfrm>
                      <a:off x="0" y="0"/>
                      <a:ext cx="3066667" cy="3409524"/>
                    </a:xfrm>
                    <a:prstGeom prst="rect">
                      <a:avLst/>
                    </a:prstGeom>
                  </pic:spPr>
                </pic:pic>
              </a:graphicData>
            </a:graphic>
          </wp:inline>
        </w:drawing>
      </w:r>
    </w:p>
    <w:p w:rsidR="00A27296" w:rsidRDefault="00F56FCA" w:rsidP="00A27296">
      <w:pPr>
        <w:jc w:val="both"/>
        <w:rPr>
          <w:rFonts w:asciiTheme="minorHAnsi" w:hAnsiTheme="minorHAnsi" w:cstheme="minorHAnsi"/>
          <w:b/>
        </w:rPr>
      </w:pPr>
      <w:r w:rsidRPr="00F56FCA">
        <w:rPr>
          <w:rFonts w:asciiTheme="minorHAnsi" w:hAnsiTheme="minorHAnsi" w:cstheme="minorHAnsi"/>
          <w:b/>
          <w:noProof/>
        </w:rPr>
        <w:drawing>
          <wp:inline distT="0" distB="0" distL="0" distR="0">
            <wp:extent cx="6553200" cy="2495550"/>
            <wp:effectExtent l="19050" t="0" r="0" b="0"/>
            <wp:docPr id="498"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1" cstate="print"/>
                    <a:stretch>
                      <a:fillRect/>
                    </a:stretch>
                  </pic:blipFill>
                  <pic:spPr>
                    <a:xfrm>
                      <a:off x="0" y="0"/>
                      <a:ext cx="6552383" cy="2495239"/>
                    </a:xfrm>
                    <a:prstGeom prst="rect">
                      <a:avLst/>
                    </a:prstGeom>
                  </pic:spPr>
                </pic:pic>
              </a:graphicData>
            </a:graphic>
          </wp:inline>
        </w:drawing>
      </w:r>
    </w:p>
    <w:p w:rsidR="000A2958" w:rsidRDefault="000A2958" w:rsidP="00A27296">
      <w:pPr>
        <w:jc w:val="both"/>
        <w:rPr>
          <w:rFonts w:asciiTheme="minorHAnsi" w:hAnsiTheme="minorHAnsi" w:cstheme="minorHAnsi"/>
          <w:sz w:val="22"/>
          <w:szCs w:val="22"/>
        </w:rPr>
      </w:pPr>
    </w:p>
    <w:p w:rsidR="00303786" w:rsidRDefault="00A27296" w:rsidP="00A27296">
      <w:pPr>
        <w:jc w:val="both"/>
        <w:rPr>
          <w:rFonts w:asciiTheme="minorHAnsi" w:hAnsiTheme="minorHAnsi" w:cstheme="minorHAnsi"/>
          <w:sz w:val="22"/>
          <w:szCs w:val="22"/>
        </w:rPr>
      </w:pPr>
      <w:r w:rsidRPr="00E76C96">
        <w:rPr>
          <w:rFonts w:asciiTheme="minorHAnsi" w:hAnsiTheme="minorHAnsi" w:cstheme="minorHAnsi"/>
          <w:sz w:val="22"/>
          <w:szCs w:val="22"/>
        </w:rPr>
        <w:t>Le montant m</w:t>
      </w:r>
      <w:r w:rsidR="00B85244">
        <w:rPr>
          <w:rFonts w:asciiTheme="minorHAnsi" w:hAnsiTheme="minorHAnsi" w:cstheme="minorHAnsi"/>
          <w:sz w:val="22"/>
          <w:szCs w:val="22"/>
        </w:rPr>
        <w:t>oyen par investissement est en revanche en augmentation (+48,66%) passant de 1 141 869 MRO en 2011 à 1 697 517 MRO en 2012, malgré l’augmentation du nombre de projets (5 en 2011 et 10 en 2012)</w:t>
      </w:r>
      <w:r w:rsidR="00303786">
        <w:rPr>
          <w:rFonts w:asciiTheme="minorHAnsi" w:hAnsiTheme="minorHAnsi" w:cstheme="minorHAnsi"/>
          <w:sz w:val="22"/>
          <w:szCs w:val="22"/>
        </w:rPr>
        <w:t>.</w:t>
      </w:r>
    </w:p>
    <w:p w:rsidR="00303786" w:rsidRDefault="00303786" w:rsidP="00A27296">
      <w:pPr>
        <w:jc w:val="both"/>
        <w:rPr>
          <w:rFonts w:asciiTheme="minorHAnsi" w:hAnsiTheme="minorHAnsi" w:cstheme="minorHAnsi"/>
          <w:sz w:val="22"/>
          <w:szCs w:val="22"/>
        </w:rPr>
      </w:pPr>
      <w:r>
        <w:rPr>
          <w:rFonts w:asciiTheme="minorHAnsi" w:hAnsiTheme="minorHAnsi" w:cstheme="minorHAnsi"/>
          <w:sz w:val="22"/>
          <w:szCs w:val="22"/>
        </w:rPr>
        <w:t>Ces chiffres semblent encourageants. En y regardant de plus près en termes de priorités d’investissement, l’impact sur les populations en matière d’atteinte des objectifs de développement semble assez limité.</w:t>
      </w:r>
    </w:p>
    <w:p w:rsidR="00303786" w:rsidRDefault="00303786" w:rsidP="00A27296">
      <w:pPr>
        <w:jc w:val="both"/>
        <w:rPr>
          <w:rFonts w:asciiTheme="minorHAnsi" w:hAnsiTheme="minorHAnsi" w:cstheme="minorHAnsi"/>
          <w:sz w:val="22"/>
          <w:szCs w:val="22"/>
        </w:rPr>
      </w:pPr>
      <w:r>
        <w:rPr>
          <w:rFonts w:asciiTheme="minorHAnsi" w:hAnsiTheme="minorHAnsi" w:cstheme="minorHAnsi"/>
          <w:sz w:val="22"/>
          <w:szCs w:val="22"/>
        </w:rPr>
        <w:t>En effet arrivent en première position les diverses opérations d’équipement de la mairie à hauteur de 40,69% des engagements</w:t>
      </w:r>
      <w:r w:rsidR="00D6385E">
        <w:rPr>
          <w:rFonts w:asciiTheme="minorHAnsi" w:hAnsiTheme="minorHAnsi" w:cstheme="minorHAnsi"/>
          <w:sz w:val="22"/>
          <w:szCs w:val="22"/>
        </w:rPr>
        <w:t>,</w:t>
      </w:r>
      <w:r>
        <w:rPr>
          <w:rFonts w:asciiTheme="minorHAnsi" w:hAnsiTheme="minorHAnsi" w:cstheme="minorHAnsi"/>
          <w:sz w:val="22"/>
          <w:szCs w:val="22"/>
        </w:rPr>
        <w:t xml:space="preserve"> pour 6 907 260 MRO répartis sur 5 projets.</w:t>
      </w:r>
    </w:p>
    <w:p w:rsidR="00F56FCA" w:rsidRDefault="00303786" w:rsidP="00A27296">
      <w:pPr>
        <w:jc w:val="both"/>
        <w:rPr>
          <w:rFonts w:asciiTheme="minorHAnsi" w:hAnsiTheme="minorHAnsi" w:cstheme="minorHAnsi"/>
          <w:sz w:val="22"/>
          <w:szCs w:val="22"/>
        </w:rPr>
      </w:pPr>
      <w:r>
        <w:rPr>
          <w:rFonts w:asciiTheme="minorHAnsi" w:hAnsiTheme="minorHAnsi" w:cstheme="minorHAnsi"/>
          <w:sz w:val="22"/>
          <w:szCs w:val="22"/>
        </w:rPr>
        <w:t>Puis en deuxième position les dépenses afférentes à l’entretien et la maintenance. En l’occurrence, les 23,98% des engagements ont permis de financer à hauteur de 4 069 989 MRO les « grosses réparations de véhicules ».</w:t>
      </w:r>
    </w:p>
    <w:p w:rsidR="00303786" w:rsidRPr="00E76C96" w:rsidRDefault="00303786" w:rsidP="00A27296">
      <w:pPr>
        <w:jc w:val="both"/>
        <w:rPr>
          <w:rFonts w:asciiTheme="minorHAnsi" w:hAnsiTheme="minorHAnsi" w:cstheme="minorHAnsi"/>
          <w:sz w:val="22"/>
          <w:szCs w:val="22"/>
        </w:rPr>
      </w:pPr>
      <w:r>
        <w:rPr>
          <w:rFonts w:asciiTheme="minorHAnsi" w:hAnsiTheme="minorHAnsi" w:cstheme="minorHAnsi"/>
          <w:sz w:val="22"/>
          <w:szCs w:val="22"/>
        </w:rPr>
        <w:t>En troisième position, soit à hauteur de 17,60% des engagements, un projet à hauteur de 2 987 124 MRO est consacré aux bâtiments communaux.</w:t>
      </w:r>
    </w:p>
    <w:p w:rsidR="001706FF" w:rsidRDefault="001706FF" w:rsidP="00A27296">
      <w:pPr>
        <w:jc w:val="center"/>
        <w:rPr>
          <w:rFonts w:asciiTheme="minorHAnsi" w:hAnsiTheme="minorHAnsi" w:cstheme="minorHAnsi"/>
          <w:b/>
          <w:sz w:val="22"/>
          <w:szCs w:val="22"/>
          <w:u w:val="single"/>
        </w:rPr>
      </w:pPr>
    </w:p>
    <w:p w:rsidR="000A2958" w:rsidRDefault="000A2958" w:rsidP="00A27296">
      <w:pPr>
        <w:jc w:val="center"/>
        <w:rPr>
          <w:rFonts w:asciiTheme="minorHAnsi" w:hAnsiTheme="minorHAnsi" w:cstheme="minorHAnsi"/>
          <w:b/>
          <w:sz w:val="22"/>
          <w:szCs w:val="22"/>
          <w:u w:val="single"/>
        </w:rPr>
      </w:pPr>
    </w:p>
    <w:p w:rsidR="00A27296" w:rsidRPr="00E76C96" w:rsidRDefault="001246CD" w:rsidP="00A27296">
      <w:pPr>
        <w:jc w:val="center"/>
        <w:rPr>
          <w:rFonts w:asciiTheme="minorHAnsi" w:hAnsiTheme="minorHAnsi" w:cstheme="minorHAnsi"/>
          <w:sz w:val="22"/>
          <w:szCs w:val="22"/>
          <w:u w:val="single"/>
        </w:rPr>
      </w:pPr>
      <w:proofErr w:type="spellStart"/>
      <w:r>
        <w:rPr>
          <w:rFonts w:asciiTheme="minorHAnsi" w:hAnsiTheme="minorHAnsi" w:cstheme="minorHAnsi"/>
          <w:b/>
          <w:sz w:val="22"/>
          <w:szCs w:val="22"/>
          <w:u w:val="single"/>
        </w:rPr>
        <w:t>Moughataa</w:t>
      </w:r>
      <w:proofErr w:type="spellEnd"/>
      <w:r w:rsidR="00A27296" w:rsidRPr="00E76C96">
        <w:rPr>
          <w:rFonts w:asciiTheme="minorHAnsi" w:hAnsiTheme="minorHAnsi" w:cstheme="minorHAnsi"/>
          <w:b/>
          <w:sz w:val="22"/>
          <w:szCs w:val="22"/>
          <w:u w:val="single"/>
        </w:rPr>
        <w:t xml:space="preserve"> de Sebkha</w:t>
      </w:r>
    </w:p>
    <w:p w:rsidR="00A27296" w:rsidRPr="00E76C96" w:rsidRDefault="00A27296" w:rsidP="00A27296">
      <w:pPr>
        <w:jc w:val="both"/>
        <w:rPr>
          <w:rFonts w:asciiTheme="minorHAnsi" w:hAnsiTheme="minorHAnsi" w:cstheme="minorHAnsi"/>
          <w:sz w:val="22"/>
          <w:szCs w:val="22"/>
        </w:rPr>
      </w:pPr>
    </w:p>
    <w:p w:rsidR="000A2958" w:rsidRDefault="00A27296" w:rsidP="00A27296">
      <w:pPr>
        <w:jc w:val="both"/>
        <w:rPr>
          <w:rFonts w:asciiTheme="minorHAnsi" w:hAnsiTheme="minorHAnsi" w:cstheme="minorHAnsi"/>
          <w:b/>
          <w:sz w:val="22"/>
          <w:szCs w:val="22"/>
        </w:rPr>
      </w:pPr>
      <w:r w:rsidRPr="00E76C96">
        <w:rPr>
          <w:rFonts w:asciiTheme="minorHAnsi" w:hAnsiTheme="minorHAnsi" w:cstheme="minorHAnsi"/>
          <w:sz w:val="22"/>
          <w:szCs w:val="22"/>
        </w:rPr>
        <w:t xml:space="preserve">La commune de la </w:t>
      </w:r>
      <w:proofErr w:type="spellStart"/>
      <w:r w:rsidR="001246CD">
        <w:rPr>
          <w:rFonts w:asciiTheme="minorHAnsi" w:hAnsiTheme="minorHAnsi" w:cstheme="minorHAnsi"/>
          <w:sz w:val="22"/>
          <w:szCs w:val="22"/>
        </w:rPr>
        <w:t>Moughataa</w:t>
      </w:r>
      <w:proofErr w:type="spellEnd"/>
      <w:r w:rsidRPr="00E76C96">
        <w:rPr>
          <w:rFonts w:asciiTheme="minorHAnsi" w:hAnsiTheme="minorHAnsi" w:cstheme="minorHAnsi"/>
          <w:sz w:val="22"/>
          <w:szCs w:val="22"/>
        </w:rPr>
        <w:t xml:space="preserve"> de </w:t>
      </w:r>
      <w:r w:rsidR="002B4048">
        <w:rPr>
          <w:rFonts w:asciiTheme="minorHAnsi" w:hAnsiTheme="minorHAnsi" w:cstheme="minorHAnsi"/>
          <w:sz w:val="22"/>
          <w:szCs w:val="22"/>
        </w:rPr>
        <w:t>Sebkha a bénéficié d’un FRD 2012 pour l’équipement de 57 397 934 MRO (+18,54% par rapport à 2011). Elle a engagé 48 073 762</w:t>
      </w:r>
      <w:r w:rsidRPr="00E76C96">
        <w:rPr>
          <w:rFonts w:asciiTheme="minorHAnsi" w:hAnsiTheme="minorHAnsi" w:cstheme="minorHAnsi"/>
          <w:sz w:val="22"/>
          <w:szCs w:val="22"/>
        </w:rPr>
        <w:t xml:space="preserve"> MRO pour la réalisation de </w:t>
      </w:r>
      <w:r w:rsidR="002B4048">
        <w:rPr>
          <w:rFonts w:asciiTheme="minorHAnsi" w:hAnsiTheme="minorHAnsi" w:cstheme="minorHAnsi"/>
          <w:b/>
          <w:sz w:val="22"/>
          <w:szCs w:val="22"/>
        </w:rPr>
        <w:t>14</w:t>
      </w:r>
      <w:r w:rsidRPr="00E76C96">
        <w:rPr>
          <w:rFonts w:asciiTheme="minorHAnsi" w:hAnsiTheme="minorHAnsi" w:cstheme="minorHAnsi"/>
          <w:b/>
          <w:sz w:val="22"/>
          <w:szCs w:val="22"/>
        </w:rPr>
        <w:t xml:space="preserve"> projets</w:t>
      </w:r>
      <w:r w:rsidRPr="00E76C96">
        <w:rPr>
          <w:rFonts w:asciiTheme="minorHAnsi" w:hAnsiTheme="minorHAnsi" w:cstheme="minorHAnsi"/>
          <w:sz w:val="22"/>
          <w:szCs w:val="22"/>
        </w:rPr>
        <w:t xml:space="preserve">, soit un </w:t>
      </w:r>
      <w:r w:rsidR="002B4048">
        <w:rPr>
          <w:rFonts w:asciiTheme="minorHAnsi" w:hAnsiTheme="minorHAnsi" w:cstheme="minorHAnsi"/>
          <w:b/>
          <w:sz w:val="22"/>
          <w:szCs w:val="22"/>
        </w:rPr>
        <w:t xml:space="preserve">taux </w:t>
      </w:r>
      <w:r w:rsidR="000A2958">
        <w:rPr>
          <w:rFonts w:asciiTheme="minorHAnsi" w:hAnsiTheme="minorHAnsi" w:cstheme="minorHAnsi"/>
          <w:b/>
          <w:sz w:val="22"/>
          <w:szCs w:val="22"/>
        </w:rPr>
        <w:t>d’absorption de 83,76</w:t>
      </w:r>
      <w:r w:rsidR="000A2958" w:rsidRPr="00E76C96">
        <w:rPr>
          <w:rFonts w:asciiTheme="minorHAnsi" w:hAnsiTheme="minorHAnsi" w:cstheme="minorHAnsi"/>
          <w:b/>
          <w:sz w:val="22"/>
          <w:szCs w:val="22"/>
        </w:rPr>
        <w:t>%.</w:t>
      </w:r>
    </w:p>
    <w:p w:rsidR="000A2958" w:rsidRDefault="000A2958" w:rsidP="00A27296">
      <w:pPr>
        <w:jc w:val="both"/>
        <w:rPr>
          <w:rFonts w:asciiTheme="minorHAnsi" w:hAnsiTheme="minorHAnsi" w:cstheme="minorHAnsi"/>
          <w:b/>
          <w:sz w:val="22"/>
          <w:szCs w:val="22"/>
        </w:rPr>
      </w:pPr>
    </w:p>
    <w:p w:rsidR="00A27296" w:rsidRDefault="00DD131F" w:rsidP="00A27296">
      <w:pPr>
        <w:jc w:val="both"/>
        <w:rPr>
          <w:rFonts w:asciiTheme="minorHAnsi" w:hAnsiTheme="minorHAnsi" w:cstheme="minorHAnsi"/>
        </w:rPr>
      </w:pPr>
      <w:r w:rsidRPr="00DD131F">
        <w:rPr>
          <w:noProof/>
        </w:rPr>
        <w:drawing>
          <wp:inline distT="0" distB="0" distL="0" distR="0">
            <wp:extent cx="3228975" cy="3295650"/>
            <wp:effectExtent l="19050" t="0" r="9525" b="0"/>
            <wp:docPr id="353"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2" cstate="print"/>
                    <a:stretch>
                      <a:fillRect/>
                    </a:stretch>
                  </pic:blipFill>
                  <pic:spPr>
                    <a:xfrm>
                      <a:off x="0" y="0"/>
                      <a:ext cx="3228975" cy="3295650"/>
                    </a:xfrm>
                    <a:prstGeom prst="rect">
                      <a:avLst/>
                    </a:prstGeom>
                  </pic:spPr>
                </pic:pic>
              </a:graphicData>
            </a:graphic>
          </wp:inline>
        </w:drawing>
      </w:r>
      <w:r w:rsidR="0098006C" w:rsidRPr="0098006C">
        <w:rPr>
          <w:rFonts w:asciiTheme="minorHAnsi" w:hAnsiTheme="minorHAnsi" w:cstheme="minorHAnsi"/>
          <w:noProof/>
        </w:rPr>
        <w:drawing>
          <wp:inline distT="0" distB="0" distL="0" distR="0">
            <wp:extent cx="3333750" cy="3295650"/>
            <wp:effectExtent l="19050" t="0" r="0" b="0"/>
            <wp:docPr id="488"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3" cstate="print"/>
                    <a:stretch>
                      <a:fillRect/>
                    </a:stretch>
                  </pic:blipFill>
                  <pic:spPr>
                    <a:xfrm>
                      <a:off x="0" y="0"/>
                      <a:ext cx="3333750" cy="3295650"/>
                    </a:xfrm>
                    <a:prstGeom prst="rect">
                      <a:avLst/>
                    </a:prstGeom>
                  </pic:spPr>
                </pic:pic>
              </a:graphicData>
            </a:graphic>
          </wp:inline>
        </w:drawing>
      </w:r>
    </w:p>
    <w:p w:rsidR="00A27296" w:rsidRDefault="00F56FCA" w:rsidP="00A27296">
      <w:pPr>
        <w:jc w:val="both"/>
        <w:rPr>
          <w:rFonts w:asciiTheme="minorHAnsi" w:hAnsiTheme="minorHAnsi" w:cstheme="minorHAnsi"/>
          <w:b/>
        </w:rPr>
      </w:pPr>
      <w:r w:rsidRPr="00F56FCA">
        <w:rPr>
          <w:rFonts w:asciiTheme="minorHAnsi" w:hAnsiTheme="minorHAnsi" w:cstheme="minorHAnsi"/>
          <w:b/>
          <w:noProof/>
        </w:rPr>
        <w:drawing>
          <wp:inline distT="0" distB="0" distL="0" distR="0">
            <wp:extent cx="6591300" cy="2867025"/>
            <wp:effectExtent l="19050" t="0" r="0" b="0"/>
            <wp:docPr id="499"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4" cstate="print"/>
                    <a:stretch>
                      <a:fillRect/>
                    </a:stretch>
                  </pic:blipFill>
                  <pic:spPr>
                    <a:xfrm>
                      <a:off x="0" y="0"/>
                      <a:ext cx="6590477" cy="2866667"/>
                    </a:xfrm>
                    <a:prstGeom prst="rect">
                      <a:avLst/>
                    </a:prstGeom>
                  </pic:spPr>
                </pic:pic>
              </a:graphicData>
            </a:graphic>
          </wp:inline>
        </w:drawing>
      </w:r>
    </w:p>
    <w:p w:rsidR="00A27296" w:rsidRDefault="00A27296" w:rsidP="00A27296">
      <w:pPr>
        <w:jc w:val="both"/>
        <w:rPr>
          <w:rFonts w:asciiTheme="minorHAnsi" w:hAnsiTheme="minorHAnsi" w:cstheme="minorHAnsi"/>
          <w:b/>
        </w:rPr>
      </w:pPr>
    </w:p>
    <w:p w:rsidR="000A2958" w:rsidRPr="000A2958" w:rsidRDefault="000A2958" w:rsidP="000A2958">
      <w:pPr>
        <w:jc w:val="both"/>
        <w:rPr>
          <w:rFonts w:asciiTheme="minorHAnsi" w:hAnsiTheme="minorHAnsi" w:cstheme="minorHAnsi"/>
          <w:b/>
        </w:rPr>
      </w:pPr>
      <w:r w:rsidRPr="002B4048">
        <w:rPr>
          <w:rFonts w:asciiTheme="minorHAnsi" w:hAnsiTheme="minorHAnsi" w:cstheme="minorHAnsi"/>
          <w:sz w:val="22"/>
          <w:szCs w:val="22"/>
        </w:rPr>
        <w:t>Le tau</w:t>
      </w:r>
      <w:r>
        <w:rPr>
          <w:rFonts w:asciiTheme="minorHAnsi" w:hAnsiTheme="minorHAnsi" w:cstheme="minorHAnsi"/>
          <w:sz w:val="22"/>
          <w:szCs w:val="22"/>
        </w:rPr>
        <w:t xml:space="preserve">x </w:t>
      </w:r>
      <w:r w:rsidRPr="00EB79BC">
        <w:rPr>
          <w:rFonts w:asciiTheme="minorHAnsi" w:hAnsiTheme="minorHAnsi" w:cstheme="minorHAnsi"/>
          <w:sz w:val="22"/>
          <w:szCs w:val="22"/>
        </w:rPr>
        <w:t>d’absor</w:t>
      </w:r>
      <w:r>
        <w:rPr>
          <w:rFonts w:asciiTheme="minorHAnsi" w:hAnsiTheme="minorHAnsi" w:cstheme="minorHAnsi"/>
          <w:sz w:val="22"/>
          <w:szCs w:val="22"/>
        </w:rPr>
        <w:t xml:space="preserve">ption pour Sebkha est légèrement supérieur à la moyenne de la </w:t>
      </w:r>
      <w:r w:rsidR="001246CD">
        <w:rPr>
          <w:rFonts w:asciiTheme="minorHAnsi" w:hAnsiTheme="minorHAnsi" w:cstheme="minorHAnsi"/>
          <w:sz w:val="22"/>
          <w:szCs w:val="22"/>
        </w:rPr>
        <w:t>Wilaya</w:t>
      </w:r>
      <w:r>
        <w:rPr>
          <w:rFonts w:asciiTheme="minorHAnsi" w:hAnsiTheme="minorHAnsi" w:cstheme="minorHAnsi"/>
          <w:sz w:val="22"/>
          <w:szCs w:val="22"/>
        </w:rPr>
        <w:t xml:space="preserve"> mais inférieur d</w:t>
      </w:r>
      <w:r w:rsidR="00D6385E">
        <w:rPr>
          <w:rFonts w:asciiTheme="minorHAnsi" w:hAnsiTheme="minorHAnsi" w:cstheme="minorHAnsi"/>
          <w:sz w:val="22"/>
          <w:szCs w:val="22"/>
        </w:rPr>
        <w:t xml:space="preserve">e près de 10 points </w:t>
      </w:r>
      <w:r>
        <w:rPr>
          <w:rFonts w:asciiTheme="minorHAnsi" w:hAnsiTheme="minorHAnsi" w:cstheme="minorHAnsi"/>
          <w:sz w:val="22"/>
          <w:szCs w:val="22"/>
        </w:rPr>
        <w:t>à la moyenne nationale. Il est en baisse par rapport aux deux exercices précédents qui connaissaient des taux satisfaisants aux alentours des 100%</w:t>
      </w:r>
      <w:r w:rsidRPr="00EB79BC">
        <w:rPr>
          <w:rFonts w:asciiTheme="minorHAnsi" w:hAnsiTheme="minorHAnsi" w:cstheme="minorHAnsi"/>
          <w:sz w:val="22"/>
          <w:szCs w:val="22"/>
        </w:rPr>
        <w:t xml:space="preserve">. </w:t>
      </w:r>
      <w:r>
        <w:rPr>
          <w:rFonts w:asciiTheme="minorHAnsi" w:hAnsiTheme="minorHAnsi" w:cstheme="minorHAnsi"/>
          <w:sz w:val="22"/>
          <w:szCs w:val="22"/>
        </w:rPr>
        <w:t xml:space="preserve">Il s’agit sans doute d’une stratégie d’accumulation de crédits et de lutte contre la parcellisation de l’investissement a priori très forte en 2011. Ainsi, la </w:t>
      </w:r>
      <w:r w:rsidR="00D6385E">
        <w:rPr>
          <w:rFonts w:asciiTheme="minorHAnsi" w:hAnsiTheme="minorHAnsi" w:cstheme="minorHAnsi"/>
          <w:sz w:val="22"/>
          <w:szCs w:val="22"/>
        </w:rPr>
        <w:t>forte réduction</w:t>
      </w:r>
      <w:r>
        <w:rPr>
          <w:rFonts w:asciiTheme="minorHAnsi" w:hAnsiTheme="minorHAnsi" w:cstheme="minorHAnsi"/>
          <w:sz w:val="22"/>
          <w:szCs w:val="22"/>
        </w:rPr>
        <w:t xml:space="preserve"> du nombre de projets, passant de 70 à 14, semble traduire ce changement de stratégie.</w:t>
      </w:r>
    </w:p>
    <w:p w:rsidR="000A2958" w:rsidRDefault="000A2958" w:rsidP="00A27296">
      <w:pPr>
        <w:jc w:val="both"/>
        <w:rPr>
          <w:rFonts w:asciiTheme="minorHAnsi" w:hAnsiTheme="minorHAnsi" w:cstheme="minorHAnsi"/>
          <w:b/>
        </w:rPr>
      </w:pPr>
    </w:p>
    <w:p w:rsidR="00C7690E" w:rsidRDefault="00C7690E" w:rsidP="00C7690E">
      <w:pPr>
        <w:jc w:val="both"/>
        <w:rPr>
          <w:rFonts w:asciiTheme="minorHAnsi" w:hAnsiTheme="minorHAnsi" w:cstheme="minorHAnsi"/>
          <w:sz w:val="22"/>
          <w:szCs w:val="22"/>
        </w:rPr>
      </w:pPr>
      <w:r>
        <w:rPr>
          <w:rFonts w:asciiTheme="minorHAnsi" w:hAnsiTheme="minorHAnsi" w:cstheme="minorHAnsi"/>
          <w:sz w:val="22"/>
          <w:szCs w:val="22"/>
        </w:rPr>
        <w:t>Par conséquent, l</w:t>
      </w:r>
      <w:r w:rsidRPr="0093300F">
        <w:rPr>
          <w:rFonts w:asciiTheme="minorHAnsi" w:hAnsiTheme="minorHAnsi" w:cstheme="minorHAnsi"/>
          <w:sz w:val="22"/>
          <w:szCs w:val="22"/>
        </w:rPr>
        <w:t>e</w:t>
      </w:r>
      <w:r>
        <w:rPr>
          <w:rFonts w:asciiTheme="minorHAnsi" w:hAnsiTheme="minorHAnsi" w:cstheme="minorHAnsi"/>
          <w:sz w:val="22"/>
          <w:szCs w:val="22"/>
        </w:rPr>
        <w:t xml:space="preserve"> montant moyen par projet d’investissement s’améliore très nettement, passant de 692 398 MRO en 2011 à 3 433 840 MRO en 2012. En comparaison des moyennes régionale et nationale, ce montant est tout à fait satisfaisant.</w:t>
      </w:r>
    </w:p>
    <w:p w:rsidR="00C7690E" w:rsidRDefault="00C7690E" w:rsidP="00C7690E">
      <w:pPr>
        <w:jc w:val="both"/>
        <w:rPr>
          <w:rFonts w:asciiTheme="minorHAnsi" w:hAnsiTheme="minorHAnsi" w:cstheme="minorHAnsi"/>
          <w:sz w:val="22"/>
          <w:szCs w:val="22"/>
        </w:rPr>
      </w:pPr>
      <w:r>
        <w:rPr>
          <w:rFonts w:asciiTheme="minorHAnsi" w:hAnsiTheme="minorHAnsi" w:cstheme="minorHAnsi"/>
          <w:sz w:val="22"/>
          <w:szCs w:val="22"/>
        </w:rPr>
        <w:t>En termes de priorités d’investissement, le secteur de l’assainissement vient en première position avec 43,59% des engagements, pour 6 projets se répartissant 20 955 594 MRO.</w:t>
      </w:r>
    </w:p>
    <w:p w:rsidR="00C7690E" w:rsidRPr="0093300F" w:rsidRDefault="00C7690E" w:rsidP="00C7690E">
      <w:pPr>
        <w:jc w:val="both"/>
        <w:rPr>
          <w:rFonts w:asciiTheme="minorHAnsi" w:hAnsiTheme="minorHAnsi" w:cstheme="minorHAnsi"/>
          <w:sz w:val="22"/>
          <w:szCs w:val="22"/>
        </w:rPr>
      </w:pPr>
      <w:r>
        <w:rPr>
          <w:rFonts w:asciiTheme="minorHAnsi" w:hAnsiTheme="minorHAnsi" w:cstheme="minorHAnsi"/>
          <w:sz w:val="22"/>
          <w:szCs w:val="22"/>
        </w:rPr>
        <w:t>Ensuite, vient en deuxième position le secteur des bâtiments communaux avec 30,25% des engagements, soit 14 543 740 MRO pour 3 projets.</w:t>
      </w:r>
    </w:p>
    <w:p w:rsidR="00C7690E" w:rsidRDefault="00C7690E" w:rsidP="00C7690E">
      <w:pPr>
        <w:jc w:val="both"/>
        <w:rPr>
          <w:rFonts w:asciiTheme="minorHAnsi" w:hAnsiTheme="minorHAnsi" w:cstheme="minorHAnsi"/>
          <w:sz w:val="22"/>
          <w:szCs w:val="22"/>
        </w:rPr>
      </w:pPr>
      <w:r>
        <w:rPr>
          <w:rFonts w:asciiTheme="minorHAnsi" w:hAnsiTheme="minorHAnsi" w:cstheme="minorHAnsi"/>
          <w:sz w:val="22"/>
          <w:szCs w:val="22"/>
        </w:rPr>
        <w:t>En troisième position, l’équipement de la mairie avec 14,00% des engagements, soit 6 731 928 MRO pour 3 projets.</w:t>
      </w:r>
    </w:p>
    <w:p w:rsidR="00A27296" w:rsidRDefault="00A27296" w:rsidP="00A27296">
      <w:pPr>
        <w:jc w:val="both"/>
        <w:rPr>
          <w:rFonts w:asciiTheme="minorHAnsi" w:hAnsiTheme="minorHAnsi" w:cstheme="minorHAnsi"/>
          <w:sz w:val="22"/>
          <w:szCs w:val="22"/>
        </w:rPr>
      </w:pPr>
    </w:p>
    <w:p w:rsidR="00FD22DF" w:rsidRDefault="00FD22DF" w:rsidP="00A27296">
      <w:pPr>
        <w:jc w:val="both"/>
        <w:rPr>
          <w:rFonts w:asciiTheme="minorHAnsi" w:hAnsiTheme="minorHAnsi" w:cstheme="minorHAnsi"/>
          <w:sz w:val="22"/>
          <w:szCs w:val="22"/>
        </w:rPr>
      </w:pPr>
    </w:p>
    <w:p w:rsidR="00FD22DF" w:rsidRPr="00EB79BC" w:rsidRDefault="001246CD" w:rsidP="00FD22DF">
      <w:pPr>
        <w:jc w:val="center"/>
        <w:rPr>
          <w:rFonts w:asciiTheme="minorHAnsi" w:hAnsiTheme="minorHAnsi" w:cstheme="minorHAnsi"/>
          <w:sz w:val="22"/>
          <w:szCs w:val="22"/>
          <w:u w:val="single"/>
        </w:rPr>
      </w:pPr>
      <w:proofErr w:type="spellStart"/>
      <w:r>
        <w:rPr>
          <w:rFonts w:asciiTheme="minorHAnsi" w:hAnsiTheme="minorHAnsi" w:cstheme="minorHAnsi"/>
          <w:b/>
          <w:sz w:val="22"/>
          <w:szCs w:val="22"/>
          <w:u w:val="single"/>
        </w:rPr>
        <w:t>Moughataa</w:t>
      </w:r>
      <w:proofErr w:type="spellEnd"/>
      <w:r w:rsidR="00FD22DF" w:rsidRPr="00EB79BC">
        <w:rPr>
          <w:rFonts w:asciiTheme="minorHAnsi" w:hAnsiTheme="minorHAnsi" w:cstheme="minorHAnsi"/>
          <w:b/>
          <w:sz w:val="22"/>
          <w:szCs w:val="22"/>
          <w:u w:val="single"/>
        </w:rPr>
        <w:t xml:space="preserve"> de Riyad</w:t>
      </w:r>
    </w:p>
    <w:p w:rsidR="00FD22DF" w:rsidRDefault="00FD22DF" w:rsidP="00FD22DF">
      <w:pPr>
        <w:jc w:val="both"/>
        <w:rPr>
          <w:rFonts w:asciiTheme="minorHAnsi" w:hAnsiTheme="minorHAnsi" w:cstheme="minorHAnsi"/>
          <w:sz w:val="22"/>
          <w:szCs w:val="22"/>
        </w:rPr>
      </w:pPr>
    </w:p>
    <w:p w:rsidR="00FD22DF" w:rsidRPr="00F36863" w:rsidRDefault="00FD22DF" w:rsidP="00FD22DF">
      <w:pPr>
        <w:jc w:val="both"/>
        <w:rPr>
          <w:rFonts w:asciiTheme="minorHAnsi" w:hAnsiTheme="minorHAnsi" w:cstheme="minorHAnsi"/>
        </w:rPr>
      </w:pPr>
      <w:r w:rsidRPr="00F36863">
        <w:rPr>
          <w:rFonts w:asciiTheme="minorHAnsi" w:hAnsiTheme="minorHAnsi" w:cstheme="minorHAnsi"/>
        </w:rPr>
        <w:t xml:space="preserve">La commune de la </w:t>
      </w:r>
      <w:proofErr w:type="spellStart"/>
      <w:r w:rsidR="001246CD" w:rsidRPr="00F36863">
        <w:rPr>
          <w:rFonts w:asciiTheme="minorHAnsi" w:hAnsiTheme="minorHAnsi" w:cstheme="minorHAnsi"/>
        </w:rPr>
        <w:t>Moughataa</w:t>
      </w:r>
      <w:proofErr w:type="spellEnd"/>
      <w:r w:rsidRPr="00F36863">
        <w:rPr>
          <w:rFonts w:asciiTheme="minorHAnsi" w:hAnsiTheme="minorHAnsi" w:cstheme="minorHAnsi"/>
        </w:rPr>
        <w:t xml:space="preserve"> de Riyad a bénéficié d’un FRD 2012 pour l’équipement de 39 966 182 MRO (+19,38% par rapport à 2011). Elle a engagé 48 073 762 MRO pour la réalisation de </w:t>
      </w:r>
      <w:r w:rsidRPr="00F36863">
        <w:rPr>
          <w:rFonts w:asciiTheme="minorHAnsi" w:hAnsiTheme="minorHAnsi" w:cstheme="minorHAnsi"/>
          <w:b/>
        </w:rPr>
        <w:t>42 projets</w:t>
      </w:r>
      <w:r w:rsidRPr="00F36863">
        <w:rPr>
          <w:rFonts w:asciiTheme="minorHAnsi" w:hAnsiTheme="minorHAnsi" w:cstheme="minorHAnsi"/>
        </w:rPr>
        <w:t xml:space="preserve">, soit un </w:t>
      </w:r>
      <w:r w:rsidRPr="00F36863">
        <w:rPr>
          <w:rFonts w:asciiTheme="minorHAnsi" w:hAnsiTheme="minorHAnsi" w:cstheme="minorHAnsi"/>
          <w:b/>
        </w:rPr>
        <w:t xml:space="preserve">taux d’absorption de 63,75%. </w:t>
      </w:r>
      <w:r w:rsidRPr="00F36863">
        <w:rPr>
          <w:rFonts w:asciiTheme="minorHAnsi" w:hAnsiTheme="minorHAnsi" w:cstheme="minorHAnsi"/>
        </w:rPr>
        <w:t xml:space="preserve">Le taux d’absorption </w:t>
      </w:r>
      <w:r w:rsidR="00D77E63" w:rsidRPr="00F36863">
        <w:rPr>
          <w:rFonts w:asciiTheme="minorHAnsi" w:hAnsiTheme="minorHAnsi" w:cstheme="minorHAnsi"/>
        </w:rPr>
        <w:t>est</w:t>
      </w:r>
      <w:r w:rsidRPr="00F36863">
        <w:rPr>
          <w:rFonts w:asciiTheme="minorHAnsi" w:hAnsiTheme="minorHAnsi" w:cstheme="minorHAnsi"/>
        </w:rPr>
        <w:t xml:space="preserve"> </w:t>
      </w:r>
      <w:r w:rsidR="00D77E63" w:rsidRPr="00F36863">
        <w:rPr>
          <w:rFonts w:asciiTheme="minorHAnsi" w:hAnsiTheme="minorHAnsi" w:cstheme="minorHAnsi"/>
        </w:rPr>
        <w:t xml:space="preserve">très </w:t>
      </w:r>
      <w:r w:rsidRPr="00F36863">
        <w:rPr>
          <w:rFonts w:asciiTheme="minorHAnsi" w:hAnsiTheme="minorHAnsi" w:cstheme="minorHAnsi"/>
        </w:rPr>
        <w:t xml:space="preserve">bas : inférieur de plus de 20 points à la moyenne de la </w:t>
      </w:r>
      <w:r w:rsidR="001246CD" w:rsidRPr="00F36863">
        <w:rPr>
          <w:rFonts w:asciiTheme="minorHAnsi" w:hAnsiTheme="minorHAnsi" w:cstheme="minorHAnsi"/>
        </w:rPr>
        <w:t>Wilaya</w:t>
      </w:r>
      <w:r w:rsidRPr="00F36863">
        <w:rPr>
          <w:rFonts w:asciiTheme="minorHAnsi" w:hAnsiTheme="minorHAnsi" w:cstheme="minorHAnsi"/>
        </w:rPr>
        <w:t xml:space="preserve"> et plus de 30 points par rapport à la moyenne nationale. </w:t>
      </w:r>
      <w:r w:rsidRPr="00F36863">
        <w:rPr>
          <w:rFonts w:asciiTheme="minorHAnsi" w:hAnsiTheme="minorHAnsi" w:cstheme="minorHAnsi"/>
          <w:b/>
          <w:i/>
        </w:rPr>
        <w:t>Riyad n’ayant pas produit de rapport en 2011</w:t>
      </w:r>
      <w:r w:rsidR="003C53D3" w:rsidRPr="00F36863">
        <w:rPr>
          <w:rFonts w:asciiTheme="minorHAnsi" w:hAnsiTheme="minorHAnsi" w:cstheme="minorHAnsi"/>
        </w:rPr>
        <w:t>, il est difficile de formuler une quelconque hypothèse sur les stratégies adoptées, d’autant plus que le nombre de projets déclarés au titre de l’exercice est très important</w:t>
      </w:r>
      <w:r w:rsidR="00A94AAB" w:rsidRPr="00F36863">
        <w:rPr>
          <w:rFonts w:asciiTheme="minorHAnsi" w:hAnsiTheme="minorHAnsi" w:cstheme="minorHAnsi"/>
        </w:rPr>
        <w:t xml:space="preserve"> et contradictoire avec les données du rapport</w:t>
      </w:r>
      <w:r w:rsidR="001706FF" w:rsidRPr="00F36863">
        <w:rPr>
          <w:rFonts w:asciiTheme="minorHAnsi" w:hAnsiTheme="minorHAnsi" w:cstheme="minorHAnsi"/>
        </w:rPr>
        <w:t xml:space="preserve"> </w:t>
      </w:r>
      <w:r w:rsidR="00A94AAB" w:rsidRPr="00F36863">
        <w:rPr>
          <w:rFonts w:asciiTheme="minorHAnsi" w:hAnsiTheme="minorHAnsi" w:cstheme="minorHAnsi"/>
        </w:rPr>
        <w:t>transm</w:t>
      </w:r>
      <w:r w:rsidR="00F36863">
        <w:rPr>
          <w:rFonts w:asciiTheme="minorHAnsi" w:hAnsiTheme="minorHAnsi" w:cstheme="minorHAnsi"/>
        </w:rPr>
        <w:t>is au titre de l’exercice 2012. Par exemple,</w:t>
      </w:r>
      <w:r w:rsidR="00A94AAB" w:rsidRPr="00F36863">
        <w:rPr>
          <w:rFonts w:asciiTheme="minorHAnsi" w:hAnsiTheme="minorHAnsi" w:cstheme="minorHAnsi"/>
        </w:rPr>
        <w:t xml:space="preserve"> 35 projets recensés dans le secteur d</w:t>
      </w:r>
      <w:r w:rsidR="005B3DD0" w:rsidRPr="00F36863">
        <w:rPr>
          <w:rFonts w:asciiTheme="minorHAnsi" w:hAnsiTheme="minorHAnsi" w:cstheme="minorHAnsi"/>
        </w:rPr>
        <w:t>e l’éducation alors que seules 4</w:t>
      </w:r>
      <w:r w:rsidR="00F36863">
        <w:rPr>
          <w:rFonts w:asciiTheme="minorHAnsi" w:hAnsiTheme="minorHAnsi" w:cstheme="minorHAnsi"/>
        </w:rPr>
        <w:t xml:space="preserve"> opérations ont été relev</w:t>
      </w:r>
      <w:r w:rsidR="00A94AAB" w:rsidRPr="00F36863">
        <w:rPr>
          <w:rFonts w:asciiTheme="minorHAnsi" w:hAnsiTheme="minorHAnsi" w:cstheme="minorHAnsi"/>
        </w:rPr>
        <w:t>ées :</w:t>
      </w:r>
    </w:p>
    <w:p w:rsidR="005B3DD0" w:rsidRPr="00F36863" w:rsidRDefault="005B3DD0" w:rsidP="002F04D1">
      <w:pPr>
        <w:pStyle w:val="Paragraphedeliste"/>
        <w:numPr>
          <w:ilvl w:val="0"/>
          <w:numId w:val="11"/>
        </w:numPr>
        <w:jc w:val="both"/>
        <w:rPr>
          <w:rFonts w:asciiTheme="minorHAnsi" w:hAnsiTheme="minorHAnsi" w:cstheme="minorHAnsi"/>
        </w:rPr>
      </w:pPr>
      <w:r w:rsidRPr="00F36863">
        <w:rPr>
          <w:rFonts w:asciiTheme="minorHAnsi" w:hAnsiTheme="minorHAnsi" w:cstheme="minorHAnsi"/>
        </w:rPr>
        <w:t>Réfection de l’école C</w:t>
      </w:r>
      <w:r w:rsidR="00F36863">
        <w:rPr>
          <w:rFonts w:asciiTheme="minorHAnsi" w:hAnsiTheme="minorHAnsi" w:cstheme="minorHAnsi"/>
        </w:rPr>
        <w:t xml:space="preserve">heikh El </w:t>
      </w:r>
      <w:proofErr w:type="spellStart"/>
      <w:r w:rsidR="00F36863">
        <w:rPr>
          <w:rFonts w:asciiTheme="minorHAnsi" w:hAnsiTheme="minorHAnsi" w:cstheme="minorHAnsi"/>
        </w:rPr>
        <w:t>Moctar</w:t>
      </w:r>
      <w:proofErr w:type="spellEnd"/>
      <w:r w:rsidR="00F36863">
        <w:rPr>
          <w:rFonts w:asciiTheme="minorHAnsi" w:hAnsiTheme="minorHAnsi" w:cstheme="minorHAnsi"/>
        </w:rPr>
        <w:t xml:space="preserve"> pour 5 987 850 M</w:t>
      </w:r>
      <w:r w:rsidRPr="00F36863">
        <w:rPr>
          <w:rFonts w:asciiTheme="minorHAnsi" w:hAnsiTheme="minorHAnsi" w:cstheme="minorHAnsi"/>
        </w:rPr>
        <w:t>RO.</w:t>
      </w:r>
    </w:p>
    <w:p w:rsidR="00A94AAB" w:rsidRPr="00F36863" w:rsidRDefault="00A94AAB" w:rsidP="002F04D1">
      <w:pPr>
        <w:pStyle w:val="Paragraphedeliste"/>
        <w:numPr>
          <w:ilvl w:val="0"/>
          <w:numId w:val="11"/>
        </w:numPr>
        <w:jc w:val="both"/>
        <w:rPr>
          <w:rFonts w:asciiTheme="minorHAnsi" w:hAnsiTheme="minorHAnsi" w:cstheme="minorHAnsi"/>
        </w:rPr>
      </w:pPr>
      <w:r w:rsidRPr="00F36863">
        <w:rPr>
          <w:rFonts w:asciiTheme="minorHAnsi" w:hAnsiTheme="minorHAnsi" w:cstheme="minorHAnsi"/>
        </w:rPr>
        <w:t>Réhabilitation de l’école Mohamed Mahmoud pour 5 130 000 MRO.</w:t>
      </w:r>
    </w:p>
    <w:p w:rsidR="00A94AAB" w:rsidRPr="00F36863" w:rsidRDefault="00A94AAB" w:rsidP="002F04D1">
      <w:pPr>
        <w:pStyle w:val="Paragraphedeliste"/>
        <w:numPr>
          <w:ilvl w:val="0"/>
          <w:numId w:val="11"/>
        </w:numPr>
        <w:jc w:val="both"/>
        <w:rPr>
          <w:rFonts w:asciiTheme="minorHAnsi" w:hAnsiTheme="minorHAnsi" w:cstheme="minorHAnsi"/>
        </w:rPr>
      </w:pPr>
      <w:r w:rsidRPr="00F36863">
        <w:rPr>
          <w:rFonts w:asciiTheme="minorHAnsi" w:hAnsiTheme="minorHAnsi" w:cstheme="minorHAnsi"/>
        </w:rPr>
        <w:t xml:space="preserve">Réfection de l’école MD </w:t>
      </w:r>
      <w:proofErr w:type="spellStart"/>
      <w:r w:rsidRPr="00F36863">
        <w:rPr>
          <w:rFonts w:asciiTheme="minorHAnsi" w:hAnsiTheme="minorHAnsi" w:cstheme="minorHAnsi"/>
        </w:rPr>
        <w:t>Yahya</w:t>
      </w:r>
      <w:proofErr w:type="spellEnd"/>
      <w:r w:rsidRPr="00F36863">
        <w:rPr>
          <w:rFonts w:asciiTheme="minorHAnsi" w:hAnsiTheme="minorHAnsi" w:cstheme="minorHAnsi"/>
        </w:rPr>
        <w:t xml:space="preserve"> El </w:t>
      </w:r>
      <w:proofErr w:type="spellStart"/>
      <w:r w:rsidRPr="00F36863">
        <w:rPr>
          <w:rFonts w:asciiTheme="minorHAnsi" w:hAnsiTheme="minorHAnsi" w:cstheme="minorHAnsi"/>
        </w:rPr>
        <w:t>Welai</w:t>
      </w:r>
      <w:proofErr w:type="spellEnd"/>
      <w:r w:rsidRPr="00F36863">
        <w:rPr>
          <w:rFonts w:asciiTheme="minorHAnsi" w:hAnsiTheme="minorHAnsi" w:cstheme="minorHAnsi"/>
        </w:rPr>
        <w:t xml:space="preserve"> pour 4 851 498 MRO.</w:t>
      </w:r>
    </w:p>
    <w:p w:rsidR="00A94AAB" w:rsidRPr="00F36863" w:rsidRDefault="001706FF" w:rsidP="002F04D1">
      <w:pPr>
        <w:pStyle w:val="Paragraphedeliste"/>
        <w:numPr>
          <w:ilvl w:val="0"/>
          <w:numId w:val="11"/>
        </w:numPr>
        <w:jc w:val="both"/>
        <w:rPr>
          <w:rFonts w:asciiTheme="minorHAnsi" w:hAnsiTheme="minorHAnsi" w:cstheme="minorHAnsi"/>
        </w:rPr>
      </w:pPr>
      <w:r w:rsidRPr="00F36863">
        <w:rPr>
          <w:rFonts w:asciiTheme="minorHAnsi" w:hAnsiTheme="minorHAnsi" w:cstheme="minorHAnsi"/>
        </w:rPr>
        <w:t xml:space="preserve">Réfection de l’école Abou </w:t>
      </w:r>
      <w:proofErr w:type="spellStart"/>
      <w:r w:rsidRPr="00F36863">
        <w:rPr>
          <w:rFonts w:asciiTheme="minorHAnsi" w:hAnsiTheme="minorHAnsi" w:cstheme="minorHAnsi"/>
        </w:rPr>
        <w:t>Eyoub</w:t>
      </w:r>
      <w:proofErr w:type="spellEnd"/>
      <w:r w:rsidRPr="00F36863">
        <w:rPr>
          <w:rFonts w:asciiTheme="minorHAnsi" w:hAnsiTheme="minorHAnsi" w:cstheme="minorHAnsi"/>
        </w:rPr>
        <w:t xml:space="preserve"> 1 pour 4 422</w:t>
      </w:r>
      <w:r w:rsidR="00F36863">
        <w:rPr>
          <w:rFonts w:asciiTheme="minorHAnsi" w:hAnsiTheme="minorHAnsi" w:cstheme="minorHAnsi"/>
        </w:rPr>
        <w:t> </w:t>
      </w:r>
      <w:r w:rsidRPr="00F36863">
        <w:rPr>
          <w:rFonts w:asciiTheme="minorHAnsi" w:hAnsiTheme="minorHAnsi" w:cstheme="minorHAnsi"/>
        </w:rPr>
        <w:t>972</w:t>
      </w:r>
      <w:r w:rsidR="00F36863">
        <w:rPr>
          <w:rFonts w:asciiTheme="minorHAnsi" w:hAnsiTheme="minorHAnsi" w:cstheme="minorHAnsi"/>
        </w:rPr>
        <w:t xml:space="preserve"> MRO</w:t>
      </w:r>
      <w:r w:rsidRPr="00F36863">
        <w:rPr>
          <w:rFonts w:asciiTheme="minorHAnsi" w:hAnsiTheme="minorHAnsi" w:cstheme="minorHAnsi"/>
        </w:rPr>
        <w:t>.</w:t>
      </w:r>
    </w:p>
    <w:p w:rsidR="005B3DD0" w:rsidRDefault="005B3DD0" w:rsidP="001706FF">
      <w:pPr>
        <w:jc w:val="both"/>
        <w:rPr>
          <w:rFonts w:asciiTheme="minorHAnsi" w:hAnsiTheme="minorHAnsi" w:cstheme="minorHAnsi"/>
        </w:rPr>
      </w:pPr>
    </w:p>
    <w:p w:rsidR="001706FF" w:rsidRPr="001706FF" w:rsidRDefault="00737BF7" w:rsidP="001706FF">
      <w:pPr>
        <w:jc w:val="both"/>
        <w:rPr>
          <w:rFonts w:asciiTheme="minorHAnsi" w:hAnsiTheme="minorHAnsi" w:cstheme="minorHAnsi"/>
        </w:rPr>
      </w:pPr>
      <w:r>
        <w:rPr>
          <w:rFonts w:asciiTheme="minorHAnsi" w:hAnsiTheme="minorHAnsi" w:cstheme="minorHAnsi"/>
        </w:rPr>
        <w:t xml:space="preserve">Si l’on s’en tient à ces derniers éléments, Riyad aurait donc renoncé à engager des actions en 2011 pour pouvoir entreprendre les </w:t>
      </w:r>
      <w:r w:rsidR="005B3DD0">
        <w:rPr>
          <w:rFonts w:asciiTheme="minorHAnsi" w:hAnsiTheme="minorHAnsi" w:cstheme="minorHAnsi"/>
        </w:rPr>
        <w:t xml:space="preserve">importantes </w:t>
      </w:r>
      <w:r>
        <w:rPr>
          <w:rFonts w:asciiTheme="minorHAnsi" w:hAnsiTheme="minorHAnsi" w:cstheme="minorHAnsi"/>
        </w:rPr>
        <w:t>opérations de rénovation de ses écoles</w:t>
      </w:r>
      <w:r w:rsidR="005B3DD0">
        <w:rPr>
          <w:rFonts w:asciiTheme="minorHAnsi" w:hAnsiTheme="minorHAnsi" w:cstheme="minorHAnsi"/>
        </w:rPr>
        <w:t xml:space="preserve"> en 2012</w:t>
      </w:r>
      <w:r>
        <w:rPr>
          <w:rFonts w:asciiTheme="minorHAnsi" w:hAnsiTheme="minorHAnsi" w:cstheme="minorHAnsi"/>
        </w:rPr>
        <w:t>.</w:t>
      </w:r>
    </w:p>
    <w:p w:rsidR="00FD22DF" w:rsidRDefault="00FD22DF" w:rsidP="00FD22DF">
      <w:pPr>
        <w:jc w:val="both"/>
        <w:rPr>
          <w:rFonts w:asciiTheme="minorHAnsi" w:hAnsiTheme="minorHAnsi" w:cstheme="minorHAnsi"/>
        </w:rPr>
      </w:pPr>
    </w:p>
    <w:p w:rsidR="00FD22DF" w:rsidRDefault="00FD22DF" w:rsidP="00FD22DF">
      <w:pPr>
        <w:jc w:val="both"/>
        <w:rPr>
          <w:rFonts w:asciiTheme="minorHAnsi" w:hAnsiTheme="minorHAnsi" w:cstheme="minorHAnsi"/>
        </w:rPr>
      </w:pPr>
      <w:r w:rsidRPr="005E4538">
        <w:rPr>
          <w:noProof/>
        </w:rPr>
        <w:drawing>
          <wp:inline distT="0" distB="0" distL="0" distR="0">
            <wp:extent cx="6296025" cy="2552700"/>
            <wp:effectExtent l="19050" t="0" r="9525" b="0"/>
            <wp:docPr id="39"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5" cstate="print"/>
                    <a:stretch>
                      <a:fillRect/>
                    </a:stretch>
                  </pic:blipFill>
                  <pic:spPr>
                    <a:xfrm>
                      <a:off x="0" y="0"/>
                      <a:ext cx="6295239" cy="2552381"/>
                    </a:xfrm>
                    <a:prstGeom prst="rect">
                      <a:avLst/>
                    </a:prstGeom>
                  </pic:spPr>
                </pic:pic>
              </a:graphicData>
            </a:graphic>
          </wp:inline>
        </w:drawing>
      </w:r>
    </w:p>
    <w:p w:rsidR="00FD22DF" w:rsidRDefault="00FD22DF" w:rsidP="00FD22DF">
      <w:pPr>
        <w:jc w:val="both"/>
        <w:rPr>
          <w:rFonts w:asciiTheme="minorHAnsi" w:hAnsiTheme="minorHAnsi" w:cstheme="minorHAnsi"/>
        </w:rPr>
      </w:pPr>
    </w:p>
    <w:p w:rsidR="00737BF7" w:rsidRDefault="00737BF7" w:rsidP="003C53D3">
      <w:pPr>
        <w:jc w:val="both"/>
        <w:rPr>
          <w:rFonts w:asciiTheme="minorHAnsi" w:hAnsiTheme="minorHAnsi" w:cstheme="minorHAnsi"/>
          <w:sz w:val="22"/>
          <w:szCs w:val="22"/>
        </w:rPr>
      </w:pPr>
      <w:r>
        <w:rPr>
          <w:rFonts w:asciiTheme="minorHAnsi" w:hAnsiTheme="minorHAnsi" w:cstheme="minorHAnsi"/>
          <w:sz w:val="22"/>
          <w:szCs w:val="22"/>
        </w:rPr>
        <w:t>Avec ce qui vient d’être dit, l</w:t>
      </w:r>
      <w:r w:rsidR="003C53D3" w:rsidRPr="0093300F">
        <w:rPr>
          <w:rFonts w:asciiTheme="minorHAnsi" w:hAnsiTheme="minorHAnsi" w:cstheme="minorHAnsi"/>
          <w:sz w:val="22"/>
          <w:szCs w:val="22"/>
        </w:rPr>
        <w:t>e</w:t>
      </w:r>
      <w:r w:rsidR="003C53D3">
        <w:rPr>
          <w:rFonts w:asciiTheme="minorHAnsi" w:hAnsiTheme="minorHAnsi" w:cstheme="minorHAnsi"/>
          <w:sz w:val="22"/>
          <w:szCs w:val="22"/>
        </w:rPr>
        <w:t xml:space="preserve"> </w:t>
      </w:r>
      <w:r>
        <w:rPr>
          <w:rFonts w:asciiTheme="minorHAnsi" w:hAnsiTheme="minorHAnsi" w:cstheme="minorHAnsi"/>
          <w:sz w:val="22"/>
          <w:szCs w:val="22"/>
        </w:rPr>
        <w:t xml:space="preserve">faible </w:t>
      </w:r>
      <w:r w:rsidR="003C53D3">
        <w:rPr>
          <w:rFonts w:asciiTheme="minorHAnsi" w:hAnsiTheme="minorHAnsi" w:cstheme="minorHAnsi"/>
          <w:sz w:val="22"/>
          <w:szCs w:val="22"/>
        </w:rPr>
        <w:t>montant moyen par projet</w:t>
      </w:r>
      <w:r>
        <w:rPr>
          <w:rFonts w:asciiTheme="minorHAnsi" w:hAnsiTheme="minorHAnsi" w:cstheme="minorHAnsi"/>
          <w:sz w:val="22"/>
          <w:szCs w:val="22"/>
        </w:rPr>
        <w:t xml:space="preserve"> (604 955 MRO en 2012)</w:t>
      </w:r>
      <w:r w:rsidR="003C53D3">
        <w:rPr>
          <w:rFonts w:asciiTheme="minorHAnsi" w:hAnsiTheme="minorHAnsi" w:cstheme="minorHAnsi"/>
          <w:sz w:val="22"/>
          <w:szCs w:val="22"/>
        </w:rPr>
        <w:t xml:space="preserve">, en raison de la </w:t>
      </w:r>
      <w:r>
        <w:rPr>
          <w:rFonts w:asciiTheme="minorHAnsi" w:hAnsiTheme="minorHAnsi" w:cstheme="minorHAnsi"/>
          <w:sz w:val="22"/>
          <w:szCs w:val="22"/>
        </w:rPr>
        <w:t xml:space="preserve">supposée </w:t>
      </w:r>
      <w:r w:rsidR="003C53D3">
        <w:rPr>
          <w:rFonts w:asciiTheme="minorHAnsi" w:hAnsiTheme="minorHAnsi" w:cstheme="minorHAnsi"/>
          <w:sz w:val="22"/>
          <w:szCs w:val="22"/>
        </w:rPr>
        <w:t xml:space="preserve">forte parcellisation de l’investissement, </w:t>
      </w:r>
      <w:r>
        <w:rPr>
          <w:rFonts w:asciiTheme="minorHAnsi" w:hAnsiTheme="minorHAnsi" w:cstheme="minorHAnsi"/>
          <w:sz w:val="22"/>
          <w:szCs w:val="22"/>
        </w:rPr>
        <w:t>doit donc être manié avec la plus grande prudence</w:t>
      </w:r>
      <w:r w:rsidR="003C53D3">
        <w:rPr>
          <w:rFonts w:asciiTheme="minorHAnsi" w:hAnsiTheme="minorHAnsi" w:cstheme="minorHAnsi"/>
          <w:sz w:val="22"/>
          <w:szCs w:val="22"/>
        </w:rPr>
        <w:t xml:space="preserve">. </w:t>
      </w:r>
    </w:p>
    <w:p w:rsidR="003C53D3" w:rsidRDefault="003C53D3" w:rsidP="003C53D3">
      <w:pPr>
        <w:jc w:val="both"/>
        <w:rPr>
          <w:rFonts w:asciiTheme="minorHAnsi" w:hAnsiTheme="minorHAnsi" w:cstheme="minorHAnsi"/>
          <w:sz w:val="22"/>
          <w:szCs w:val="22"/>
        </w:rPr>
      </w:pPr>
      <w:r>
        <w:rPr>
          <w:rFonts w:asciiTheme="minorHAnsi" w:hAnsiTheme="minorHAnsi" w:cstheme="minorHAnsi"/>
          <w:sz w:val="22"/>
          <w:szCs w:val="22"/>
        </w:rPr>
        <w:t xml:space="preserve">En termes de priorités d’investissement, le secteur de l’éducation vient </w:t>
      </w:r>
      <w:r w:rsidR="00737BF7">
        <w:rPr>
          <w:rFonts w:asciiTheme="minorHAnsi" w:hAnsiTheme="minorHAnsi" w:cstheme="minorHAnsi"/>
          <w:sz w:val="22"/>
          <w:szCs w:val="22"/>
        </w:rPr>
        <w:t xml:space="preserve">par conséquent </w:t>
      </w:r>
      <w:r>
        <w:rPr>
          <w:rFonts w:asciiTheme="minorHAnsi" w:hAnsiTheme="minorHAnsi" w:cstheme="minorHAnsi"/>
          <w:sz w:val="22"/>
          <w:szCs w:val="22"/>
        </w:rPr>
        <w:t>en</w:t>
      </w:r>
      <w:r w:rsidR="00737BF7">
        <w:rPr>
          <w:rFonts w:asciiTheme="minorHAnsi" w:hAnsiTheme="minorHAnsi" w:cstheme="minorHAnsi"/>
          <w:sz w:val="22"/>
          <w:szCs w:val="22"/>
        </w:rPr>
        <w:t xml:space="preserve"> </w:t>
      </w:r>
      <w:r w:rsidR="00F36863">
        <w:rPr>
          <w:rFonts w:asciiTheme="minorHAnsi" w:hAnsiTheme="minorHAnsi" w:cstheme="minorHAnsi"/>
          <w:sz w:val="22"/>
          <w:szCs w:val="22"/>
        </w:rPr>
        <w:t>toute</w:t>
      </w:r>
      <w:r w:rsidR="00737BF7">
        <w:rPr>
          <w:rFonts w:asciiTheme="minorHAnsi" w:hAnsiTheme="minorHAnsi" w:cstheme="minorHAnsi"/>
          <w:sz w:val="22"/>
          <w:szCs w:val="22"/>
        </w:rPr>
        <w:t xml:space="preserve"> première position avec 80,26% des engagements, pour a priori 35</w:t>
      </w:r>
      <w:r>
        <w:rPr>
          <w:rFonts w:asciiTheme="minorHAnsi" w:hAnsiTheme="minorHAnsi" w:cstheme="minorHAnsi"/>
          <w:sz w:val="22"/>
          <w:szCs w:val="22"/>
        </w:rPr>
        <w:t xml:space="preserve"> pr</w:t>
      </w:r>
      <w:r w:rsidR="00737BF7">
        <w:rPr>
          <w:rFonts w:asciiTheme="minorHAnsi" w:hAnsiTheme="minorHAnsi" w:cstheme="minorHAnsi"/>
          <w:sz w:val="22"/>
          <w:szCs w:val="22"/>
        </w:rPr>
        <w:t>ojets se répartissant 20 392 320</w:t>
      </w:r>
      <w:r>
        <w:rPr>
          <w:rFonts w:asciiTheme="minorHAnsi" w:hAnsiTheme="minorHAnsi" w:cstheme="minorHAnsi"/>
          <w:sz w:val="22"/>
          <w:szCs w:val="22"/>
        </w:rPr>
        <w:t xml:space="preserve"> MRO.</w:t>
      </w:r>
    </w:p>
    <w:p w:rsidR="003C53D3" w:rsidRPr="0093300F" w:rsidRDefault="003C53D3" w:rsidP="003C53D3">
      <w:pPr>
        <w:jc w:val="both"/>
        <w:rPr>
          <w:rFonts w:asciiTheme="minorHAnsi" w:hAnsiTheme="minorHAnsi" w:cstheme="minorHAnsi"/>
          <w:sz w:val="22"/>
          <w:szCs w:val="22"/>
        </w:rPr>
      </w:pPr>
      <w:r>
        <w:rPr>
          <w:rFonts w:asciiTheme="minorHAnsi" w:hAnsiTheme="minorHAnsi" w:cstheme="minorHAnsi"/>
          <w:sz w:val="22"/>
          <w:szCs w:val="22"/>
        </w:rPr>
        <w:t>Ensuite, vien</w:t>
      </w:r>
      <w:r w:rsidR="00737BF7">
        <w:rPr>
          <w:rFonts w:asciiTheme="minorHAnsi" w:hAnsiTheme="minorHAnsi" w:cstheme="minorHAnsi"/>
          <w:sz w:val="22"/>
          <w:szCs w:val="22"/>
        </w:rPr>
        <w:t>nen</w:t>
      </w:r>
      <w:r>
        <w:rPr>
          <w:rFonts w:asciiTheme="minorHAnsi" w:hAnsiTheme="minorHAnsi" w:cstheme="minorHAnsi"/>
          <w:sz w:val="22"/>
          <w:szCs w:val="22"/>
        </w:rPr>
        <w:t>t en deuxième position l</w:t>
      </w:r>
      <w:r w:rsidR="00737BF7">
        <w:rPr>
          <w:rFonts w:asciiTheme="minorHAnsi" w:hAnsiTheme="minorHAnsi" w:cstheme="minorHAnsi"/>
          <w:sz w:val="22"/>
          <w:szCs w:val="22"/>
        </w:rPr>
        <w:t>es travaux d’entretien et de maintenance avec 11,48</w:t>
      </w:r>
      <w:r>
        <w:rPr>
          <w:rFonts w:asciiTheme="minorHAnsi" w:hAnsiTheme="minorHAnsi" w:cstheme="minorHAnsi"/>
          <w:sz w:val="22"/>
          <w:szCs w:val="22"/>
        </w:rPr>
        <w:t>% des engagement</w:t>
      </w:r>
      <w:r w:rsidR="00737BF7">
        <w:rPr>
          <w:rFonts w:asciiTheme="minorHAnsi" w:hAnsiTheme="minorHAnsi" w:cstheme="minorHAnsi"/>
          <w:sz w:val="22"/>
          <w:szCs w:val="22"/>
        </w:rPr>
        <w:t>s, soit 2 915 892</w:t>
      </w:r>
      <w:r>
        <w:rPr>
          <w:rFonts w:asciiTheme="minorHAnsi" w:hAnsiTheme="minorHAnsi" w:cstheme="minorHAnsi"/>
          <w:sz w:val="22"/>
          <w:szCs w:val="22"/>
        </w:rPr>
        <w:t xml:space="preserve"> MRO pour 3 projets.</w:t>
      </w:r>
    </w:p>
    <w:p w:rsidR="003C53D3" w:rsidRDefault="003C53D3" w:rsidP="003C53D3">
      <w:pPr>
        <w:jc w:val="both"/>
        <w:rPr>
          <w:rFonts w:asciiTheme="minorHAnsi" w:hAnsiTheme="minorHAnsi" w:cstheme="minorHAnsi"/>
          <w:sz w:val="22"/>
          <w:szCs w:val="22"/>
        </w:rPr>
      </w:pPr>
      <w:r>
        <w:rPr>
          <w:rFonts w:asciiTheme="minorHAnsi" w:hAnsiTheme="minorHAnsi" w:cstheme="minorHAnsi"/>
          <w:sz w:val="22"/>
          <w:szCs w:val="22"/>
        </w:rPr>
        <w:t>En troisième pos</w:t>
      </w:r>
      <w:r w:rsidR="00737BF7">
        <w:rPr>
          <w:rFonts w:asciiTheme="minorHAnsi" w:hAnsiTheme="minorHAnsi" w:cstheme="minorHAnsi"/>
          <w:sz w:val="22"/>
          <w:szCs w:val="22"/>
        </w:rPr>
        <w:t xml:space="preserve">ition, le </w:t>
      </w:r>
      <w:proofErr w:type="spellStart"/>
      <w:r w:rsidR="00737BF7">
        <w:rPr>
          <w:rFonts w:asciiTheme="minorHAnsi" w:hAnsiTheme="minorHAnsi" w:cstheme="minorHAnsi"/>
          <w:sz w:val="22"/>
          <w:szCs w:val="22"/>
        </w:rPr>
        <w:t>socio-culturel</w:t>
      </w:r>
      <w:proofErr w:type="spellEnd"/>
      <w:r w:rsidR="00737BF7">
        <w:rPr>
          <w:rFonts w:asciiTheme="minorHAnsi" w:hAnsiTheme="minorHAnsi" w:cstheme="minorHAnsi"/>
          <w:sz w:val="22"/>
          <w:szCs w:val="22"/>
        </w:rPr>
        <w:t xml:space="preserve"> avec 7,50</w:t>
      </w:r>
      <w:r>
        <w:rPr>
          <w:rFonts w:asciiTheme="minorHAnsi" w:hAnsiTheme="minorHAnsi" w:cstheme="minorHAnsi"/>
          <w:sz w:val="22"/>
          <w:szCs w:val="22"/>
        </w:rPr>
        <w:t>%</w:t>
      </w:r>
      <w:r w:rsidR="00AC4D5B">
        <w:rPr>
          <w:rFonts w:asciiTheme="minorHAnsi" w:hAnsiTheme="minorHAnsi" w:cstheme="minorHAnsi"/>
          <w:sz w:val="22"/>
          <w:szCs w:val="22"/>
        </w:rPr>
        <w:t xml:space="preserve"> des engagements, soit 1 904 940</w:t>
      </w:r>
      <w:r>
        <w:rPr>
          <w:rFonts w:asciiTheme="minorHAnsi" w:hAnsiTheme="minorHAnsi" w:cstheme="minorHAnsi"/>
          <w:sz w:val="22"/>
          <w:szCs w:val="22"/>
        </w:rPr>
        <w:t xml:space="preserve"> MRO pour 3 projets.</w:t>
      </w:r>
    </w:p>
    <w:p w:rsidR="00FD22DF" w:rsidRDefault="00FD22DF" w:rsidP="00A27296">
      <w:pPr>
        <w:jc w:val="both"/>
        <w:rPr>
          <w:rFonts w:asciiTheme="minorHAnsi" w:hAnsiTheme="minorHAnsi" w:cstheme="minorHAnsi"/>
          <w:sz w:val="22"/>
          <w:szCs w:val="22"/>
        </w:rPr>
      </w:pPr>
    </w:p>
    <w:p w:rsidR="00FD22DF" w:rsidRPr="00EB79BC" w:rsidRDefault="00FD22DF" w:rsidP="00A27296">
      <w:pPr>
        <w:jc w:val="both"/>
        <w:rPr>
          <w:rFonts w:asciiTheme="minorHAnsi" w:hAnsiTheme="minorHAnsi" w:cstheme="minorHAnsi"/>
          <w:sz w:val="22"/>
          <w:szCs w:val="22"/>
        </w:rPr>
      </w:pPr>
    </w:p>
    <w:p w:rsidR="00A27296" w:rsidRPr="00EB79BC" w:rsidRDefault="001246CD" w:rsidP="00A27296">
      <w:pPr>
        <w:jc w:val="center"/>
        <w:rPr>
          <w:rFonts w:asciiTheme="minorHAnsi" w:hAnsiTheme="minorHAnsi" w:cstheme="minorHAnsi"/>
          <w:sz w:val="22"/>
          <w:szCs w:val="22"/>
          <w:u w:val="single"/>
        </w:rPr>
      </w:pPr>
      <w:proofErr w:type="spellStart"/>
      <w:r>
        <w:rPr>
          <w:rFonts w:asciiTheme="minorHAnsi" w:hAnsiTheme="minorHAnsi" w:cstheme="minorHAnsi"/>
          <w:b/>
          <w:sz w:val="22"/>
          <w:szCs w:val="22"/>
          <w:u w:val="single"/>
        </w:rPr>
        <w:t>Moughataa</w:t>
      </w:r>
      <w:proofErr w:type="spellEnd"/>
      <w:r w:rsidR="00A27296" w:rsidRPr="00EB79BC">
        <w:rPr>
          <w:rFonts w:asciiTheme="minorHAnsi" w:hAnsiTheme="minorHAnsi" w:cstheme="minorHAnsi"/>
          <w:b/>
          <w:sz w:val="22"/>
          <w:szCs w:val="22"/>
          <w:u w:val="single"/>
        </w:rPr>
        <w:t xml:space="preserve"> du Ksar</w:t>
      </w:r>
    </w:p>
    <w:p w:rsidR="00A27296" w:rsidRPr="00EB79BC" w:rsidRDefault="00A27296" w:rsidP="00A27296">
      <w:pPr>
        <w:jc w:val="both"/>
        <w:rPr>
          <w:rFonts w:asciiTheme="minorHAnsi" w:hAnsiTheme="minorHAnsi" w:cstheme="minorHAnsi"/>
          <w:sz w:val="22"/>
          <w:szCs w:val="22"/>
        </w:rPr>
      </w:pPr>
    </w:p>
    <w:p w:rsidR="00A27296" w:rsidRPr="004E18B7" w:rsidRDefault="00A27296" w:rsidP="00A27296">
      <w:pPr>
        <w:jc w:val="both"/>
        <w:rPr>
          <w:rFonts w:asciiTheme="minorHAnsi" w:hAnsiTheme="minorHAnsi" w:cstheme="minorHAnsi"/>
          <w:sz w:val="22"/>
          <w:szCs w:val="22"/>
        </w:rPr>
      </w:pPr>
      <w:r w:rsidRPr="00EB79BC">
        <w:rPr>
          <w:rFonts w:asciiTheme="minorHAnsi" w:hAnsiTheme="minorHAnsi" w:cstheme="minorHAnsi"/>
          <w:sz w:val="22"/>
          <w:szCs w:val="22"/>
        </w:rPr>
        <w:t xml:space="preserve">La commune de la </w:t>
      </w:r>
      <w:proofErr w:type="spellStart"/>
      <w:r w:rsidR="001246CD">
        <w:rPr>
          <w:rFonts w:asciiTheme="minorHAnsi" w:hAnsiTheme="minorHAnsi" w:cstheme="minorHAnsi"/>
          <w:sz w:val="22"/>
          <w:szCs w:val="22"/>
        </w:rPr>
        <w:t>Moughataa</w:t>
      </w:r>
      <w:proofErr w:type="spellEnd"/>
      <w:r w:rsidRPr="00EB79BC">
        <w:rPr>
          <w:rFonts w:asciiTheme="minorHAnsi" w:hAnsiTheme="minorHAnsi" w:cstheme="minorHAnsi"/>
          <w:sz w:val="22"/>
          <w:szCs w:val="22"/>
        </w:rPr>
        <w:t xml:space="preserve"> d</w:t>
      </w:r>
      <w:r w:rsidR="00C7690E">
        <w:rPr>
          <w:rFonts w:asciiTheme="minorHAnsi" w:hAnsiTheme="minorHAnsi" w:cstheme="minorHAnsi"/>
          <w:sz w:val="22"/>
          <w:szCs w:val="22"/>
        </w:rPr>
        <w:t xml:space="preserve">u Ksar a bénéficié d’un FRD 2012 pour l’équipement de 36 285 545 MRO (+19,67% par rapport à 2011). </w:t>
      </w:r>
      <w:r w:rsidRPr="00EB79BC">
        <w:rPr>
          <w:rFonts w:asciiTheme="minorHAnsi" w:hAnsiTheme="minorHAnsi" w:cstheme="minorHAnsi"/>
          <w:sz w:val="22"/>
          <w:szCs w:val="22"/>
        </w:rPr>
        <w:t xml:space="preserve">Elle a </w:t>
      </w:r>
      <w:r w:rsidR="004E18B7">
        <w:rPr>
          <w:rFonts w:asciiTheme="minorHAnsi" w:hAnsiTheme="minorHAnsi" w:cstheme="minorHAnsi"/>
          <w:sz w:val="22"/>
          <w:szCs w:val="22"/>
        </w:rPr>
        <w:t>engagé 30 141 378</w:t>
      </w:r>
      <w:r w:rsidRPr="00EB79BC">
        <w:rPr>
          <w:rFonts w:asciiTheme="minorHAnsi" w:hAnsiTheme="minorHAnsi" w:cstheme="minorHAnsi"/>
          <w:sz w:val="22"/>
          <w:szCs w:val="22"/>
        </w:rPr>
        <w:t xml:space="preserve"> MRO pour la réalisation de </w:t>
      </w:r>
      <w:r w:rsidR="004E18B7">
        <w:rPr>
          <w:rFonts w:asciiTheme="minorHAnsi" w:hAnsiTheme="minorHAnsi" w:cstheme="minorHAnsi"/>
          <w:b/>
          <w:sz w:val="22"/>
          <w:szCs w:val="22"/>
        </w:rPr>
        <w:t>23</w:t>
      </w:r>
      <w:r w:rsidRPr="00EB79BC">
        <w:rPr>
          <w:rFonts w:asciiTheme="minorHAnsi" w:hAnsiTheme="minorHAnsi" w:cstheme="minorHAnsi"/>
          <w:b/>
          <w:sz w:val="22"/>
          <w:szCs w:val="22"/>
        </w:rPr>
        <w:t xml:space="preserve"> projets</w:t>
      </w:r>
      <w:r w:rsidRPr="00EB79BC">
        <w:rPr>
          <w:rFonts w:asciiTheme="minorHAnsi" w:hAnsiTheme="minorHAnsi" w:cstheme="minorHAnsi"/>
          <w:sz w:val="22"/>
          <w:szCs w:val="22"/>
        </w:rPr>
        <w:t xml:space="preserve">, soit un </w:t>
      </w:r>
      <w:r w:rsidR="004E18B7">
        <w:rPr>
          <w:rFonts w:asciiTheme="minorHAnsi" w:hAnsiTheme="minorHAnsi" w:cstheme="minorHAnsi"/>
          <w:b/>
          <w:sz w:val="22"/>
          <w:szCs w:val="22"/>
        </w:rPr>
        <w:t>taux d’absorption de 83,07</w:t>
      </w:r>
      <w:r w:rsidRPr="00EB79BC">
        <w:rPr>
          <w:rFonts w:asciiTheme="minorHAnsi" w:hAnsiTheme="minorHAnsi" w:cstheme="minorHAnsi"/>
          <w:b/>
          <w:sz w:val="22"/>
          <w:szCs w:val="22"/>
        </w:rPr>
        <w:t>%.</w:t>
      </w:r>
      <w:r w:rsidR="004E18B7">
        <w:rPr>
          <w:rFonts w:asciiTheme="minorHAnsi" w:hAnsiTheme="minorHAnsi" w:cstheme="minorHAnsi"/>
          <w:b/>
          <w:sz w:val="22"/>
          <w:szCs w:val="22"/>
        </w:rPr>
        <w:t xml:space="preserve"> </w:t>
      </w:r>
      <w:r w:rsidR="004E18B7" w:rsidRPr="004E18B7">
        <w:rPr>
          <w:rFonts w:asciiTheme="minorHAnsi" w:hAnsiTheme="minorHAnsi" w:cstheme="minorHAnsi"/>
          <w:sz w:val="22"/>
          <w:szCs w:val="22"/>
        </w:rPr>
        <w:t xml:space="preserve">Ce taux </w:t>
      </w:r>
      <w:r w:rsidR="004E18B7">
        <w:rPr>
          <w:rFonts w:asciiTheme="minorHAnsi" w:hAnsiTheme="minorHAnsi" w:cstheme="minorHAnsi"/>
          <w:sz w:val="22"/>
          <w:szCs w:val="22"/>
        </w:rPr>
        <w:t xml:space="preserve">faible est en ligne avec le niveau moyen constaté au niveau de la </w:t>
      </w:r>
      <w:r w:rsidR="001246CD">
        <w:rPr>
          <w:rFonts w:asciiTheme="minorHAnsi" w:hAnsiTheme="minorHAnsi" w:cstheme="minorHAnsi"/>
          <w:sz w:val="22"/>
          <w:szCs w:val="22"/>
        </w:rPr>
        <w:t>Wilaya</w:t>
      </w:r>
      <w:r w:rsidR="004E18B7">
        <w:rPr>
          <w:rFonts w:asciiTheme="minorHAnsi" w:hAnsiTheme="minorHAnsi" w:cstheme="minorHAnsi"/>
          <w:sz w:val="22"/>
          <w:szCs w:val="22"/>
        </w:rPr>
        <w:t xml:space="preserve"> de Nouakchott mais en-deçà de plus de 10 points par rapport à la moyenne nationale.</w:t>
      </w:r>
    </w:p>
    <w:p w:rsidR="00A27296" w:rsidRDefault="00A27296" w:rsidP="00A27296">
      <w:pPr>
        <w:jc w:val="both"/>
        <w:rPr>
          <w:rFonts w:asciiTheme="minorHAnsi" w:hAnsiTheme="minorHAnsi" w:cstheme="minorHAnsi"/>
        </w:rPr>
      </w:pPr>
    </w:p>
    <w:p w:rsidR="00A27296" w:rsidRDefault="00A91948" w:rsidP="00A27296">
      <w:pPr>
        <w:jc w:val="both"/>
        <w:rPr>
          <w:rFonts w:asciiTheme="minorHAnsi" w:hAnsiTheme="minorHAnsi" w:cstheme="minorHAnsi"/>
        </w:rPr>
      </w:pPr>
      <w:r w:rsidRPr="00A91948">
        <w:rPr>
          <w:noProof/>
        </w:rPr>
        <w:drawing>
          <wp:inline distT="0" distB="0" distL="0" distR="0">
            <wp:extent cx="2990850" cy="3819525"/>
            <wp:effectExtent l="19050" t="0" r="0" b="0"/>
            <wp:docPr id="356"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6" cstate="print"/>
                    <a:stretch>
                      <a:fillRect/>
                    </a:stretch>
                  </pic:blipFill>
                  <pic:spPr>
                    <a:xfrm>
                      <a:off x="0" y="0"/>
                      <a:ext cx="2990476" cy="3819047"/>
                    </a:xfrm>
                    <a:prstGeom prst="rect">
                      <a:avLst/>
                    </a:prstGeom>
                  </pic:spPr>
                </pic:pic>
              </a:graphicData>
            </a:graphic>
          </wp:inline>
        </w:drawing>
      </w:r>
      <w:r w:rsidR="0098006C" w:rsidRPr="0098006C">
        <w:rPr>
          <w:rFonts w:asciiTheme="minorHAnsi" w:hAnsiTheme="minorHAnsi" w:cstheme="minorHAnsi"/>
          <w:noProof/>
        </w:rPr>
        <w:drawing>
          <wp:inline distT="0" distB="0" distL="0" distR="0">
            <wp:extent cx="3171825" cy="3819525"/>
            <wp:effectExtent l="19050" t="0" r="9525" b="0"/>
            <wp:docPr id="486"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7" cstate="print"/>
                    <a:stretch>
                      <a:fillRect/>
                    </a:stretch>
                  </pic:blipFill>
                  <pic:spPr>
                    <a:xfrm>
                      <a:off x="0" y="0"/>
                      <a:ext cx="3171429" cy="3819048"/>
                    </a:xfrm>
                    <a:prstGeom prst="rect">
                      <a:avLst/>
                    </a:prstGeom>
                  </pic:spPr>
                </pic:pic>
              </a:graphicData>
            </a:graphic>
          </wp:inline>
        </w:drawing>
      </w:r>
    </w:p>
    <w:p w:rsidR="00A27296" w:rsidRDefault="00F56FCA" w:rsidP="00A27296">
      <w:pPr>
        <w:jc w:val="both"/>
        <w:rPr>
          <w:rFonts w:asciiTheme="minorHAnsi" w:hAnsiTheme="minorHAnsi" w:cstheme="minorHAnsi"/>
          <w:b/>
        </w:rPr>
      </w:pPr>
      <w:r w:rsidRPr="00F56FCA">
        <w:rPr>
          <w:rFonts w:asciiTheme="minorHAnsi" w:hAnsiTheme="minorHAnsi" w:cstheme="minorHAnsi"/>
          <w:b/>
          <w:noProof/>
        </w:rPr>
        <w:drawing>
          <wp:inline distT="0" distB="0" distL="0" distR="0">
            <wp:extent cx="6457950" cy="2390775"/>
            <wp:effectExtent l="19050" t="0" r="0" b="0"/>
            <wp:docPr id="500"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8" cstate="print"/>
                    <a:stretch>
                      <a:fillRect/>
                    </a:stretch>
                  </pic:blipFill>
                  <pic:spPr>
                    <a:xfrm>
                      <a:off x="0" y="0"/>
                      <a:ext cx="6457144" cy="2390477"/>
                    </a:xfrm>
                    <a:prstGeom prst="rect">
                      <a:avLst/>
                    </a:prstGeom>
                  </pic:spPr>
                </pic:pic>
              </a:graphicData>
            </a:graphic>
          </wp:inline>
        </w:drawing>
      </w:r>
    </w:p>
    <w:p w:rsidR="004E18B7" w:rsidRDefault="004E18B7" w:rsidP="004E18B7">
      <w:pPr>
        <w:jc w:val="both"/>
        <w:rPr>
          <w:rFonts w:asciiTheme="minorHAnsi" w:hAnsiTheme="minorHAnsi" w:cstheme="minorHAnsi"/>
          <w:sz w:val="22"/>
          <w:szCs w:val="22"/>
        </w:rPr>
      </w:pPr>
      <w:r w:rsidRPr="0093300F">
        <w:rPr>
          <w:rFonts w:asciiTheme="minorHAnsi" w:hAnsiTheme="minorHAnsi" w:cstheme="minorHAnsi"/>
          <w:sz w:val="22"/>
          <w:szCs w:val="22"/>
        </w:rPr>
        <w:t>Le</w:t>
      </w:r>
      <w:r>
        <w:rPr>
          <w:rFonts w:asciiTheme="minorHAnsi" w:hAnsiTheme="minorHAnsi" w:cstheme="minorHAnsi"/>
          <w:sz w:val="22"/>
          <w:szCs w:val="22"/>
        </w:rPr>
        <w:t xml:space="preserve"> montant moyen par projet d’investissement diminue, passant de 1 447 035 MRO en 2011 à 1 310 495 MRO en 2012, en raison de l’augmentation du nombre de projets (9 en 2011 contre 23 en 2012). En comparaison de la moyenne nationale, ce montant </w:t>
      </w:r>
      <w:r w:rsidR="008B5318">
        <w:rPr>
          <w:rFonts w:asciiTheme="minorHAnsi" w:hAnsiTheme="minorHAnsi" w:cstheme="minorHAnsi"/>
          <w:sz w:val="22"/>
          <w:szCs w:val="22"/>
        </w:rPr>
        <w:t>dem</w:t>
      </w:r>
      <w:r w:rsidR="002F28AB">
        <w:rPr>
          <w:rFonts w:asciiTheme="minorHAnsi" w:hAnsiTheme="minorHAnsi" w:cstheme="minorHAnsi"/>
          <w:sz w:val="22"/>
          <w:szCs w:val="22"/>
        </w:rPr>
        <w:t>eure satisfaisant bien qu’</w:t>
      </w:r>
      <w:r w:rsidR="008B5318">
        <w:rPr>
          <w:rFonts w:asciiTheme="minorHAnsi" w:hAnsiTheme="minorHAnsi" w:cstheme="minorHAnsi"/>
          <w:sz w:val="22"/>
          <w:szCs w:val="22"/>
        </w:rPr>
        <w:t xml:space="preserve">inférieur à la moyenne de la </w:t>
      </w:r>
      <w:r w:rsidR="001246CD">
        <w:rPr>
          <w:rFonts w:asciiTheme="minorHAnsi" w:hAnsiTheme="minorHAnsi" w:cstheme="minorHAnsi"/>
          <w:sz w:val="22"/>
          <w:szCs w:val="22"/>
        </w:rPr>
        <w:t>Wilaya</w:t>
      </w:r>
      <w:r w:rsidR="008B5318">
        <w:rPr>
          <w:rFonts w:asciiTheme="minorHAnsi" w:hAnsiTheme="minorHAnsi" w:cstheme="minorHAnsi"/>
          <w:sz w:val="22"/>
          <w:szCs w:val="22"/>
        </w:rPr>
        <w:t>.</w:t>
      </w:r>
    </w:p>
    <w:p w:rsidR="004E18B7" w:rsidRDefault="004E18B7" w:rsidP="004E18B7">
      <w:pPr>
        <w:jc w:val="both"/>
        <w:rPr>
          <w:rFonts w:asciiTheme="minorHAnsi" w:hAnsiTheme="minorHAnsi" w:cstheme="minorHAnsi"/>
          <w:sz w:val="22"/>
          <w:szCs w:val="22"/>
        </w:rPr>
      </w:pPr>
      <w:r>
        <w:rPr>
          <w:rFonts w:asciiTheme="minorHAnsi" w:hAnsiTheme="minorHAnsi" w:cstheme="minorHAnsi"/>
          <w:sz w:val="22"/>
          <w:szCs w:val="22"/>
        </w:rPr>
        <w:t>En termes de priorités d’investiss</w:t>
      </w:r>
      <w:r w:rsidR="008B5318">
        <w:rPr>
          <w:rFonts w:asciiTheme="minorHAnsi" w:hAnsiTheme="minorHAnsi" w:cstheme="minorHAnsi"/>
          <w:sz w:val="22"/>
          <w:szCs w:val="22"/>
        </w:rPr>
        <w:t>ement, le secteur de la jeunesse et des sports</w:t>
      </w:r>
      <w:r>
        <w:rPr>
          <w:rFonts w:asciiTheme="minorHAnsi" w:hAnsiTheme="minorHAnsi" w:cstheme="minorHAnsi"/>
          <w:sz w:val="22"/>
          <w:szCs w:val="22"/>
        </w:rPr>
        <w:t xml:space="preserve"> vient</w:t>
      </w:r>
      <w:r w:rsidR="008B5318">
        <w:rPr>
          <w:rFonts w:asciiTheme="minorHAnsi" w:hAnsiTheme="minorHAnsi" w:cstheme="minorHAnsi"/>
          <w:sz w:val="22"/>
          <w:szCs w:val="22"/>
        </w:rPr>
        <w:t xml:space="preserve"> en première position avec 40,79% des engagements, pour 9</w:t>
      </w:r>
      <w:r>
        <w:rPr>
          <w:rFonts w:asciiTheme="minorHAnsi" w:hAnsiTheme="minorHAnsi" w:cstheme="minorHAnsi"/>
          <w:sz w:val="22"/>
          <w:szCs w:val="22"/>
        </w:rPr>
        <w:t xml:space="preserve"> pr</w:t>
      </w:r>
      <w:r w:rsidR="008B5318">
        <w:rPr>
          <w:rFonts w:asciiTheme="minorHAnsi" w:hAnsiTheme="minorHAnsi" w:cstheme="minorHAnsi"/>
          <w:sz w:val="22"/>
          <w:szCs w:val="22"/>
        </w:rPr>
        <w:t>ojets se répartissant 12 295 852</w:t>
      </w:r>
      <w:r>
        <w:rPr>
          <w:rFonts w:asciiTheme="minorHAnsi" w:hAnsiTheme="minorHAnsi" w:cstheme="minorHAnsi"/>
          <w:sz w:val="22"/>
          <w:szCs w:val="22"/>
        </w:rPr>
        <w:t xml:space="preserve"> MRO.</w:t>
      </w:r>
    </w:p>
    <w:p w:rsidR="004E18B7" w:rsidRPr="0093300F" w:rsidRDefault="004E18B7" w:rsidP="004E18B7">
      <w:pPr>
        <w:jc w:val="both"/>
        <w:rPr>
          <w:rFonts w:asciiTheme="minorHAnsi" w:hAnsiTheme="minorHAnsi" w:cstheme="minorHAnsi"/>
          <w:sz w:val="22"/>
          <w:szCs w:val="22"/>
        </w:rPr>
      </w:pPr>
      <w:r>
        <w:rPr>
          <w:rFonts w:asciiTheme="minorHAnsi" w:hAnsiTheme="minorHAnsi" w:cstheme="minorHAnsi"/>
          <w:sz w:val="22"/>
          <w:szCs w:val="22"/>
        </w:rPr>
        <w:t>Ensuite, vien</w:t>
      </w:r>
      <w:r w:rsidR="008B5318">
        <w:rPr>
          <w:rFonts w:asciiTheme="minorHAnsi" w:hAnsiTheme="minorHAnsi" w:cstheme="minorHAnsi"/>
          <w:sz w:val="22"/>
          <w:szCs w:val="22"/>
        </w:rPr>
        <w:t>nen</w:t>
      </w:r>
      <w:r>
        <w:rPr>
          <w:rFonts w:asciiTheme="minorHAnsi" w:hAnsiTheme="minorHAnsi" w:cstheme="minorHAnsi"/>
          <w:sz w:val="22"/>
          <w:szCs w:val="22"/>
        </w:rPr>
        <w:t xml:space="preserve">t en </w:t>
      </w:r>
      <w:r w:rsidR="008B5318">
        <w:rPr>
          <w:rFonts w:asciiTheme="minorHAnsi" w:hAnsiTheme="minorHAnsi" w:cstheme="minorHAnsi"/>
          <w:sz w:val="22"/>
          <w:szCs w:val="22"/>
        </w:rPr>
        <w:t>deuxième position les opérations afférentes aux bâtiments communaux avec 28,93</w:t>
      </w:r>
      <w:r>
        <w:rPr>
          <w:rFonts w:asciiTheme="minorHAnsi" w:hAnsiTheme="minorHAnsi" w:cstheme="minorHAnsi"/>
          <w:sz w:val="22"/>
          <w:szCs w:val="22"/>
        </w:rPr>
        <w:t>% des engagem</w:t>
      </w:r>
      <w:r w:rsidR="008B5318">
        <w:rPr>
          <w:rFonts w:asciiTheme="minorHAnsi" w:hAnsiTheme="minorHAnsi" w:cstheme="minorHAnsi"/>
          <w:sz w:val="22"/>
          <w:szCs w:val="22"/>
        </w:rPr>
        <w:t>ents, soit 8 721 171 MRO pour 5</w:t>
      </w:r>
      <w:r>
        <w:rPr>
          <w:rFonts w:asciiTheme="minorHAnsi" w:hAnsiTheme="minorHAnsi" w:cstheme="minorHAnsi"/>
          <w:sz w:val="22"/>
          <w:szCs w:val="22"/>
        </w:rPr>
        <w:t xml:space="preserve"> projets.</w:t>
      </w:r>
    </w:p>
    <w:p w:rsidR="004E18B7" w:rsidRDefault="004E18B7" w:rsidP="004E18B7">
      <w:pPr>
        <w:jc w:val="both"/>
        <w:rPr>
          <w:rFonts w:asciiTheme="minorHAnsi" w:hAnsiTheme="minorHAnsi" w:cstheme="minorHAnsi"/>
          <w:sz w:val="22"/>
          <w:szCs w:val="22"/>
        </w:rPr>
      </w:pPr>
      <w:r>
        <w:rPr>
          <w:rFonts w:asciiTheme="minorHAnsi" w:hAnsiTheme="minorHAnsi" w:cstheme="minorHAnsi"/>
          <w:sz w:val="22"/>
          <w:szCs w:val="22"/>
        </w:rPr>
        <w:t>En t</w:t>
      </w:r>
      <w:r w:rsidR="008B5318">
        <w:rPr>
          <w:rFonts w:asciiTheme="minorHAnsi" w:hAnsiTheme="minorHAnsi" w:cstheme="minorHAnsi"/>
          <w:sz w:val="22"/>
          <w:szCs w:val="22"/>
        </w:rPr>
        <w:t>roisième position, l’équipement de la mairie avec 22,64</w:t>
      </w:r>
      <w:r>
        <w:rPr>
          <w:rFonts w:asciiTheme="minorHAnsi" w:hAnsiTheme="minorHAnsi" w:cstheme="minorHAnsi"/>
          <w:sz w:val="22"/>
          <w:szCs w:val="22"/>
        </w:rPr>
        <w:t>% des engage</w:t>
      </w:r>
      <w:r w:rsidR="008B5318">
        <w:rPr>
          <w:rFonts w:asciiTheme="minorHAnsi" w:hAnsiTheme="minorHAnsi" w:cstheme="minorHAnsi"/>
          <w:sz w:val="22"/>
          <w:szCs w:val="22"/>
        </w:rPr>
        <w:t>ments, soit 6 824 355 MRO pour 7</w:t>
      </w:r>
      <w:r>
        <w:rPr>
          <w:rFonts w:asciiTheme="minorHAnsi" w:hAnsiTheme="minorHAnsi" w:cstheme="minorHAnsi"/>
          <w:sz w:val="22"/>
          <w:szCs w:val="22"/>
        </w:rPr>
        <w:t xml:space="preserve"> projets.</w:t>
      </w:r>
    </w:p>
    <w:p w:rsidR="00A27296" w:rsidRDefault="00A27296" w:rsidP="00A27296">
      <w:pPr>
        <w:jc w:val="both"/>
        <w:rPr>
          <w:rFonts w:asciiTheme="minorHAnsi" w:hAnsiTheme="minorHAnsi" w:cstheme="minorHAnsi"/>
          <w:sz w:val="22"/>
          <w:szCs w:val="22"/>
        </w:rPr>
      </w:pPr>
    </w:p>
    <w:p w:rsidR="00A27296" w:rsidRPr="00EB79BC" w:rsidRDefault="001246CD" w:rsidP="00A27296">
      <w:pPr>
        <w:jc w:val="center"/>
        <w:rPr>
          <w:rFonts w:asciiTheme="minorHAnsi" w:hAnsiTheme="minorHAnsi" w:cstheme="minorHAnsi"/>
          <w:sz w:val="22"/>
          <w:szCs w:val="22"/>
          <w:u w:val="single"/>
        </w:rPr>
      </w:pPr>
      <w:proofErr w:type="spellStart"/>
      <w:r>
        <w:rPr>
          <w:rFonts w:asciiTheme="minorHAnsi" w:hAnsiTheme="minorHAnsi" w:cstheme="minorHAnsi"/>
          <w:b/>
          <w:sz w:val="22"/>
          <w:szCs w:val="22"/>
          <w:u w:val="single"/>
        </w:rPr>
        <w:t>Moughataa</w:t>
      </w:r>
      <w:proofErr w:type="spellEnd"/>
      <w:r w:rsidR="004E18B7">
        <w:rPr>
          <w:rFonts w:asciiTheme="minorHAnsi" w:hAnsiTheme="minorHAnsi" w:cstheme="minorHAnsi"/>
          <w:b/>
          <w:sz w:val="22"/>
          <w:szCs w:val="22"/>
          <w:u w:val="single"/>
        </w:rPr>
        <w:t xml:space="preserve"> d’</w:t>
      </w:r>
      <w:r w:rsidR="00A27296" w:rsidRPr="00EB79BC">
        <w:rPr>
          <w:rFonts w:asciiTheme="minorHAnsi" w:hAnsiTheme="minorHAnsi" w:cstheme="minorHAnsi"/>
          <w:b/>
          <w:sz w:val="22"/>
          <w:szCs w:val="22"/>
          <w:u w:val="single"/>
        </w:rPr>
        <w:t>El Mina</w:t>
      </w:r>
    </w:p>
    <w:p w:rsidR="00A27296" w:rsidRPr="00EB79BC" w:rsidRDefault="00A27296" w:rsidP="00A27296">
      <w:pPr>
        <w:jc w:val="both"/>
        <w:rPr>
          <w:rFonts w:asciiTheme="minorHAnsi" w:hAnsiTheme="minorHAnsi" w:cstheme="minorHAnsi"/>
          <w:sz w:val="22"/>
          <w:szCs w:val="22"/>
        </w:rPr>
      </w:pPr>
    </w:p>
    <w:p w:rsidR="00A27296" w:rsidRDefault="002E6CD9" w:rsidP="00A27296">
      <w:pPr>
        <w:jc w:val="both"/>
        <w:rPr>
          <w:rFonts w:asciiTheme="minorHAnsi" w:hAnsiTheme="minorHAnsi" w:cstheme="minorHAnsi"/>
          <w:b/>
        </w:rPr>
      </w:pPr>
      <w:r>
        <w:rPr>
          <w:rFonts w:asciiTheme="minorHAnsi" w:hAnsiTheme="minorHAnsi" w:cstheme="minorHAnsi"/>
          <w:sz w:val="22"/>
          <w:szCs w:val="22"/>
        </w:rPr>
        <w:t xml:space="preserve">La commune de la </w:t>
      </w:r>
      <w:proofErr w:type="spellStart"/>
      <w:r w:rsidR="001246CD">
        <w:rPr>
          <w:rFonts w:asciiTheme="minorHAnsi" w:hAnsiTheme="minorHAnsi" w:cstheme="minorHAnsi"/>
          <w:sz w:val="22"/>
          <w:szCs w:val="22"/>
        </w:rPr>
        <w:t>Moughataa</w:t>
      </w:r>
      <w:proofErr w:type="spellEnd"/>
      <w:r>
        <w:rPr>
          <w:rFonts w:asciiTheme="minorHAnsi" w:hAnsiTheme="minorHAnsi" w:cstheme="minorHAnsi"/>
          <w:sz w:val="22"/>
          <w:szCs w:val="22"/>
        </w:rPr>
        <w:t xml:space="preserve"> d’El Mina a bénéficié d’un FRD 2012</w:t>
      </w:r>
      <w:r w:rsidR="00A27296" w:rsidRPr="00EB79BC">
        <w:rPr>
          <w:rFonts w:asciiTheme="minorHAnsi" w:hAnsiTheme="minorHAnsi" w:cstheme="minorHAnsi"/>
          <w:sz w:val="22"/>
          <w:szCs w:val="22"/>
        </w:rPr>
        <w:t xml:space="preserve"> pour l’équipe</w:t>
      </w:r>
      <w:r>
        <w:rPr>
          <w:rFonts w:asciiTheme="minorHAnsi" w:hAnsiTheme="minorHAnsi" w:cstheme="minorHAnsi"/>
          <w:sz w:val="22"/>
          <w:szCs w:val="22"/>
        </w:rPr>
        <w:t>ment de 84 816 255 MRO (+17,93% par rapport à 2011). Elle a engagé 75 486 534</w:t>
      </w:r>
      <w:r w:rsidR="00A27296" w:rsidRPr="00EB79BC">
        <w:rPr>
          <w:rFonts w:asciiTheme="minorHAnsi" w:hAnsiTheme="minorHAnsi" w:cstheme="minorHAnsi"/>
          <w:sz w:val="22"/>
          <w:szCs w:val="22"/>
        </w:rPr>
        <w:t xml:space="preserve"> MRO pour la réalisation de </w:t>
      </w:r>
      <w:r>
        <w:rPr>
          <w:rFonts w:asciiTheme="minorHAnsi" w:hAnsiTheme="minorHAnsi" w:cstheme="minorHAnsi"/>
          <w:b/>
          <w:sz w:val="22"/>
          <w:szCs w:val="22"/>
        </w:rPr>
        <w:t>23</w:t>
      </w:r>
      <w:r w:rsidR="00A27296" w:rsidRPr="00EB79BC">
        <w:rPr>
          <w:rFonts w:asciiTheme="minorHAnsi" w:hAnsiTheme="minorHAnsi" w:cstheme="minorHAnsi"/>
          <w:b/>
          <w:sz w:val="22"/>
          <w:szCs w:val="22"/>
        </w:rPr>
        <w:t xml:space="preserve"> projets</w:t>
      </w:r>
      <w:r w:rsidR="00A27296" w:rsidRPr="00EB79BC">
        <w:rPr>
          <w:rFonts w:asciiTheme="minorHAnsi" w:hAnsiTheme="minorHAnsi" w:cstheme="minorHAnsi"/>
          <w:sz w:val="22"/>
          <w:szCs w:val="22"/>
        </w:rPr>
        <w:t xml:space="preserve">, soit un </w:t>
      </w:r>
      <w:r>
        <w:rPr>
          <w:rFonts w:asciiTheme="minorHAnsi" w:hAnsiTheme="minorHAnsi" w:cstheme="minorHAnsi"/>
          <w:b/>
          <w:sz w:val="22"/>
          <w:szCs w:val="22"/>
        </w:rPr>
        <w:t>taux d’absorption de 89</w:t>
      </w:r>
      <w:r w:rsidR="00A27296" w:rsidRPr="00EB79BC">
        <w:rPr>
          <w:rFonts w:asciiTheme="minorHAnsi" w:hAnsiTheme="minorHAnsi" w:cstheme="minorHAnsi"/>
          <w:b/>
          <w:sz w:val="22"/>
          <w:szCs w:val="22"/>
        </w:rPr>
        <w:t>%.</w:t>
      </w:r>
      <w:r>
        <w:rPr>
          <w:rFonts w:asciiTheme="minorHAnsi" w:hAnsiTheme="minorHAnsi" w:cstheme="minorHAnsi"/>
          <w:b/>
          <w:sz w:val="22"/>
          <w:szCs w:val="22"/>
        </w:rPr>
        <w:t xml:space="preserve"> </w:t>
      </w:r>
      <w:r w:rsidRPr="002B4048">
        <w:rPr>
          <w:rFonts w:asciiTheme="minorHAnsi" w:hAnsiTheme="minorHAnsi" w:cstheme="minorHAnsi"/>
          <w:sz w:val="22"/>
          <w:szCs w:val="22"/>
        </w:rPr>
        <w:t>Le tau</w:t>
      </w:r>
      <w:r>
        <w:rPr>
          <w:rFonts w:asciiTheme="minorHAnsi" w:hAnsiTheme="minorHAnsi" w:cstheme="minorHAnsi"/>
          <w:sz w:val="22"/>
          <w:szCs w:val="22"/>
        </w:rPr>
        <w:t xml:space="preserve">x </w:t>
      </w:r>
      <w:r w:rsidRPr="00EB79BC">
        <w:rPr>
          <w:rFonts w:asciiTheme="minorHAnsi" w:hAnsiTheme="minorHAnsi" w:cstheme="minorHAnsi"/>
          <w:sz w:val="22"/>
          <w:szCs w:val="22"/>
        </w:rPr>
        <w:t>d’absor</w:t>
      </w:r>
      <w:r w:rsidR="002F28AB">
        <w:rPr>
          <w:rFonts w:asciiTheme="minorHAnsi" w:hAnsiTheme="minorHAnsi" w:cstheme="minorHAnsi"/>
          <w:sz w:val="22"/>
          <w:szCs w:val="22"/>
        </w:rPr>
        <w:t xml:space="preserve">ption </w:t>
      </w:r>
      <w:r>
        <w:rPr>
          <w:rFonts w:asciiTheme="minorHAnsi" w:hAnsiTheme="minorHAnsi" w:cstheme="minorHAnsi"/>
          <w:sz w:val="22"/>
          <w:szCs w:val="22"/>
        </w:rPr>
        <w:t xml:space="preserve">est supérieur à la moyenne de la </w:t>
      </w:r>
      <w:r w:rsidR="001246CD">
        <w:rPr>
          <w:rFonts w:asciiTheme="minorHAnsi" w:hAnsiTheme="minorHAnsi" w:cstheme="minorHAnsi"/>
          <w:sz w:val="22"/>
          <w:szCs w:val="22"/>
        </w:rPr>
        <w:t>Wilaya</w:t>
      </w:r>
      <w:r>
        <w:rPr>
          <w:rFonts w:asciiTheme="minorHAnsi" w:hAnsiTheme="minorHAnsi" w:cstheme="minorHAnsi"/>
          <w:sz w:val="22"/>
          <w:szCs w:val="22"/>
        </w:rPr>
        <w:t xml:space="preserve"> mais inférieur </w:t>
      </w:r>
      <w:r w:rsidR="002F28AB">
        <w:rPr>
          <w:rFonts w:asciiTheme="minorHAnsi" w:hAnsiTheme="minorHAnsi" w:cstheme="minorHAnsi"/>
          <w:sz w:val="22"/>
          <w:szCs w:val="22"/>
        </w:rPr>
        <w:t xml:space="preserve">de plus de 4 points </w:t>
      </w:r>
      <w:r>
        <w:rPr>
          <w:rFonts w:asciiTheme="minorHAnsi" w:hAnsiTheme="minorHAnsi" w:cstheme="minorHAnsi"/>
          <w:sz w:val="22"/>
          <w:szCs w:val="22"/>
        </w:rPr>
        <w:t>à la moyenne nationale. Il est en baisse par rapport à l’exercice précédent qui connaissait un taux très satisfaisant à hauteur de 118,63%</w:t>
      </w:r>
      <w:r w:rsidRPr="00EB79BC">
        <w:rPr>
          <w:rFonts w:asciiTheme="minorHAnsi" w:hAnsiTheme="minorHAnsi" w:cstheme="minorHAnsi"/>
          <w:sz w:val="22"/>
          <w:szCs w:val="22"/>
        </w:rPr>
        <w:t xml:space="preserve">. </w:t>
      </w:r>
      <w:r>
        <w:rPr>
          <w:rFonts w:asciiTheme="minorHAnsi" w:hAnsiTheme="minorHAnsi" w:cstheme="minorHAnsi"/>
          <w:sz w:val="22"/>
          <w:szCs w:val="22"/>
        </w:rPr>
        <w:t>Il s’agit sans doute là encore d’une stratégie d’accumulation de crédits et de lutte contre la parcellisation de l’investissement. Ainsi, la réduction du nombre de projets, passant de 30 à 23, semble traduire ce changement de stratégie.</w:t>
      </w:r>
    </w:p>
    <w:p w:rsidR="00A27296" w:rsidRDefault="00A91948" w:rsidP="00A27296">
      <w:pPr>
        <w:jc w:val="both"/>
        <w:rPr>
          <w:rFonts w:asciiTheme="minorHAnsi" w:hAnsiTheme="minorHAnsi" w:cstheme="minorHAnsi"/>
          <w:b/>
        </w:rPr>
      </w:pPr>
      <w:r w:rsidRPr="00A91948">
        <w:rPr>
          <w:noProof/>
        </w:rPr>
        <w:drawing>
          <wp:inline distT="0" distB="0" distL="0" distR="0">
            <wp:extent cx="3124200" cy="3714750"/>
            <wp:effectExtent l="19050" t="0" r="0" b="0"/>
            <wp:docPr id="359"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9" cstate="print"/>
                    <a:stretch>
                      <a:fillRect/>
                    </a:stretch>
                  </pic:blipFill>
                  <pic:spPr>
                    <a:xfrm>
                      <a:off x="0" y="0"/>
                      <a:ext cx="3123810" cy="3714286"/>
                    </a:xfrm>
                    <a:prstGeom prst="rect">
                      <a:avLst/>
                    </a:prstGeom>
                  </pic:spPr>
                </pic:pic>
              </a:graphicData>
            </a:graphic>
          </wp:inline>
        </w:drawing>
      </w:r>
      <w:r w:rsidR="0098006C" w:rsidRPr="0098006C">
        <w:rPr>
          <w:rFonts w:asciiTheme="minorHAnsi" w:hAnsiTheme="minorHAnsi" w:cstheme="minorHAnsi"/>
          <w:b/>
          <w:noProof/>
        </w:rPr>
        <w:drawing>
          <wp:inline distT="0" distB="0" distL="0" distR="0">
            <wp:extent cx="3438525" cy="3714749"/>
            <wp:effectExtent l="19050" t="0" r="9525" b="0"/>
            <wp:docPr id="485"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0" cstate="print"/>
                    <a:stretch>
                      <a:fillRect/>
                    </a:stretch>
                  </pic:blipFill>
                  <pic:spPr>
                    <a:xfrm>
                      <a:off x="0" y="0"/>
                      <a:ext cx="3438097" cy="3714287"/>
                    </a:xfrm>
                    <a:prstGeom prst="rect">
                      <a:avLst/>
                    </a:prstGeom>
                  </pic:spPr>
                </pic:pic>
              </a:graphicData>
            </a:graphic>
          </wp:inline>
        </w:drawing>
      </w:r>
    </w:p>
    <w:p w:rsidR="00A27296" w:rsidRDefault="00F56FCA" w:rsidP="00A27296">
      <w:pPr>
        <w:jc w:val="both"/>
        <w:rPr>
          <w:rFonts w:asciiTheme="minorHAnsi" w:hAnsiTheme="minorHAnsi" w:cstheme="minorHAnsi"/>
          <w:b/>
        </w:rPr>
      </w:pPr>
      <w:r w:rsidRPr="00F56FCA">
        <w:rPr>
          <w:rFonts w:asciiTheme="minorHAnsi" w:hAnsiTheme="minorHAnsi" w:cstheme="minorHAnsi"/>
          <w:b/>
          <w:noProof/>
        </w:rPr>
        <w:drawing>
          <wp:inline distT="0" distB="0" distL="0" distR="0">
            <wp:extent cx="6638925" cy="2581275"/>
            <wp:effectExtent l="19050" t="0" r="0" b="0"/>
            <wp:docPr id="501"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1" cstate="print"/>
                    <a:stretch>
                      <a:fillRect/>
                    </a:stretch>
                  </pic:blipFill>
                  <pic:spPr>
                    <a:xfrm>
                      <a:off x="0" y="0"/>
                      <a:ext cx="6638096" cy="2580953"/>
                    </a:xfrm>
                    <a:prstGeom prst="rect">
                      <a:avLst/>
                    </a:prstGeom>
                  </pic:spPr>
                </pic:pic>
              </a:graphicData>
            </a:graphic>
          </wp:inline>
        </w:drawing>
      </w:r>
    </w:p>
    <w:p w:rsidR="000A2958" w:rsidRDefault="000A2958" w:rsidP="002E6CD9">
      <w:pPr>
        <w:jc w:val="both"/>
        <w:rPr>
          <w:rFonts w:asciiTheme="minorHAnsi" w:hAnsiTheme="minorHAnsi" w:cstheme="minorHAnsi"/>
          <w:sz w:val="22"/>
          <w:szCs w:val="22"/>
        </w:rPr>
      </w:pPr>
    </w:p>
    <w:p w:rsidR="002E6CD9" w:rsidRDefault="002E6CD9" w:rsidP="002E6CD9">
      <w:pPr>
        <w:jc w:val="both"/>
        <w:rPr>
          <w:rFonts w:asciiTheme="minorHAnsi" w:hAnsiTheme="minorHAnsi" w:cstheme="minorHAnsi"/>
          <w:sz w:val="22"/>
          <w:szCs w:val="22"/>
        </w:rPr>
      </w:pPr>
      <w:r>
        <w:rPr>
          <w:rFonts w:asciiTheme="minorHAnsi" w:hAnsiTheme="minorHAnsi" w:cstheme="minorHAnsi"/>
          <w:sz w:val="22"/>
          <w:szCs w:val="22"/>
        </w:rPr>
        <w:t>Par conséquent, l</w:t>
      </w:r>
      <w:r w:rsidRPr="0093300F">
        <w:rPr>
          <w:rFonts w:asciiTheme="minorHAnsi" w:hAnsiTheme="minorHAnsi" w:cstheme="minorHAnsi"/>
          <w:sz w:val="22"/>
          <w:szCs w:val="22"/>
        </w:rPr>
        <w:t>e</w:t>
      </w:r>
      <w:r>
        <w:rPr>
          <w:rFonts w:asciiTheme="minorHAnsi" w:hAnsiTheme="minorHAnsi" w:cstheme="minorHAnsi"/>
          <w:sz w:val="22"/>
          <w:szCs w:val="22"/>
        </w:rPr>
        <w:t xml:space="preserve"> montant moyen par projet d’investissement s’améliore n</w:t>
      </w:r>
      <w:r w:rsidR="002F28AB">
        <w:rPr>
          <w:rFonts w:asciiTheme="minorHAnsi" w:hAnsiTheme="minorHAnsi" w:cstheme="minorHAnsi"/>
          <w:sz w:val="22"/>
          <w:szCs w:val="22"/>
        </w:rPr>
        <w:t xml:space="preserve">ettement, passant de 2 843 916 </w:t>
      </w:r>
      <w:r>
        <w:rPr>
          <w:rFonts w:asciiTheme="minorHAnsi" w:hAnsiTheme="minorHAnsi" w:cstheme="minorHAnsi"/>
          <w:sz w:val="22"/>
          <w:szCs w:val="22"/>
        </w:rPr>
        <w:t>MRO en 2011 à 3 282 023 MRO en 2012. En comparaison des moyennes régionale et nationale, ce montant est tout à fait satisfaisant.</w:t>
      </w:r>
    </w:p>
    <w:p w:rsidR="002E6CD9" w:rsidRDefault="002E6CD9" w:rsidP="002E6CD9">
      <w:pPr>
        <w:jc w:val="both"/>
        <w:rPr>
          <w:rFonts w:asciiTheme="minorHAnsi" w:hAnsiTheme="minorHAnsi" w:cstheme="minorHAnsi"/>
          <w:sz w:val="22"/>
          <w:szCs w:val="22"/>
        </w:rPr>
      </w:pPr>
      <w:r>
        <w:rPr>
          <w:rFonts w:asciiTheme="minorHAnsi" w:hAnsiTheme="minorHAnsi" w:cstheme="minorHAnsi"/>
          <w:sz w:val="22"/>
          <w:szCs w:val="22"/>
        </w:rPr>
        <w:t>En termes de priorités d’investissement, le secteur des</w:t>
      </w:r>
      <w:r w:rsidRPr="002E6CD9">
        <w:rPr>
          <w:rFonts w:asciiTheme="minorHAnsi" w:hAnsiTheme="minorHAnsi" w:cstheme="minorHAnsi"/>
          <w:sz w:val="22"/>
          <w:szCs w:val="22"/>
        </w:rPr>
        <w:t xml:space="preserve"> </w:t>
      </w:r>
      <w:r>
        <w:rPr>
          <w:rFonts w:asciiTheme="minorHAnsi" w:hAnsiTheme="minorHAnsi" w:cstheme="minorHAnsi"/>
          <w:sz w:val="22"/>
          <w:szCs w:val="22"/>
        </w:rPr>
        <w:t>bâtiments communaux vient en première position avec 49,34% des engagements, pour 12 projets se répartissant 37 243 158 MRO.</w:t>
      </w:r>
    </w:p>
    <w:p w:rsidR="002E6CD9" w:rsidRPr="0093300F" w:rsidRDefault="002E6CD9" w:rsidP="002E6CD9">
      <w:pPr>
        <w:jc w:val="both"/>
        <w:rPr>
          <w:rFonts w:asciiTheme="minorHAnsi" w:hAnsiTheme="minorHAnsi" w:cstheme="minorHAnsi"/>
          <w:sz w:val="22"/>
          <w:szCs w:val="22"/>
        </w:rPr>
      </w:pPr>
      <w:r>
        <w:rPr>
          <w:rFonts w:asciiTheme="minorHAnsi" w:hAnsiTheme="minorHAnsi" w:cstheme="minorHAnsi"/>
          <w:sz w:val="22"/>
          <w:szCs w:val="22"/>
        </w:rPr>
        <w:t>Ensuite, vient en deuxième position le secteur de l’assainissement avec 26,13% des engagements, soit 19 724 120 MRO pour 5 projets.</w:t>
      </w:r>
    </w:p>
    <w:p w:rsidR="002E6CD9" w:rsidRDefault="002E6CD9" w:rsidP="002E6CD9">
      <w:pPr>
        <w:jc w:val="both"/>
        <w:rPr>
          <w:rFonts w:asciiTheme="minorHAnsi" w:hAnsiTheme="minorHAnsi" w:cstheme="minorHAnsi"/>
          <w:sz w:val="22"/>
          <w:szCs w:val="22"/>
        </w:rPr>
      </w:pPr>
      <w:r>
        <w:rPr>
          <w:rFonts w:asciiTheme="minorHAnsi" w:hAnsiTheme="minorHAnsi" w:cstheme="minorHAnsi"/>
          <w:sz w:val="22"/>
          <w:szCs w:val="22"/>
        </w:rPr>
        <w:t xml:space="preserve">En troisième position, l’hydraulique avec 16,25% des engagements, soit </w:t>
      </w:r>
      <w:r w:rsidR="0062489B">
        <w:rPr>
          <w:rFonts w:asciiTheme="minorHAnsi" w:hAnsiTheme="minorHAnsi" w:cstheme="minorHAnsi"/>
          <w:sz w:val="22"/>
          <w:szCs w:val="22"/>
        </w:rPr>
        <w:t>19 724 120</w:t>
      </w:r>
      <w:r>
        <w:rPr>
          <w:rFonts w:asciiTheme="minorHAnsi" w:hAnsiTheme="minorHAnsi" w:cstheme="minorHAnsi"/>
          <w:sz w:val="22"/>
          <w:szCs w:val="22"/>
        </w:rPr>
        <w:t xml:space="preserve"> MRO pour </w:t>
      </w:r>
      <w:r w:rsidR="0062489B">
        <w:rPr>
          <w:rFonts w:asciiTheme="minorHAnsi" w:hAnsiTheme="minorHAnsi" w:cstheme="minorHAnsi"/>
          <w:sz w:val="22"/>
          <w:szCs w:val="22"/>
        </w:rPr>
        <w:t>5</w:t>
      </w:r>
      <w:r>
        <w:rPr>
          <w:rFonts w:asciiTheme="minorHAnsi" w:hAnsiTheme="minorHAnsi" w:cstheme="minorHAnsi"/>
          <w:sz w:val="22"/>
          <w:szCs w:val="22"/>
        </w:rPr>
        <w:t xml:space="preserve"> projets.</w:t>
      </w:r>
    </w:p>
    <w:p w:rsidR="002E6CD9" w:rsidRDefault="002E6CD9" w:rsidP="002E6CD9">
      <w:pPr>
        <w:jc w:val="both"/>
        <w:rPr>
          <w:rFonts w:asciiTheme="minorHAnsi" w:hAnsiTheme="minorHAnsi" w:cstheme="minorHAnsi"/>
          <w:sz w:val="22"/>
          <w:szCs w:val="22"/>
        </w:rPr>
      </w:pPr>
    </w:p>
    <w:p w:rsidR="000A2958" w:rsidRDefault="000A2958" w:rsidP="002E6CD9">
      <w:pPr>
        <w:jc w:val="both"/>
        <w:rPr>
          <w:rFonts w:asciiTheme="minorHAnsi" w:hAnsiTheme="minorHAnsi" w:cstheme="minorHAnsi"/>
          <w:sz w:val="22"/>
          <w:szCs w:val="22"/>
        </w:rPr>
      </w:pPr>
    </w:p>
    <w:p w:rsidR="0062489B" w:rsidRPr="00EB79BC" w:rsidRDefault="001246CD" w:rsidP="0062489B">
      <w:pPr>
        <w:jc w:val="center"/>
        <w:rPr>
          <w:rFonts w:asciiTheme="minorHAnsi" w:hAnsiTheme="minorHAnsi" w:cstheme="minorHAnsi"/>
          <w:sz w:val="22"/>
          <w:szCs w:val="22"/>
          <w:u w:val="single"/>
        </w:rPr>
      </w:pPr>
      <w:proofErr w:type="spellStart"/>
      <w:r>
        <w:rPr>
          <w:rFonts w:asciiTheme="minorHAnsi" w:hAnsiTheme="minorHAnsi" w:cstheme="minorHAnsi"/>
          <w:b/>
          <w:sz w:val="22"/>
          <w:szCs w:val="22"/>
          <w:u w:val="single"/>
        </w:rPr>
        <w:t>Moughataa</w:t>
      </w:r>
      <w:proofErr w:type="spellEnd"/>
      <w:r w:rsidR="0062489B">
        <w:rPr>
          <w:rFonts w:asciiTheme="minorHAnsi" w:hAnsiTheme="minorHAnsi" w:cstheme="minorHAnsi"/>
          <w:b/>
          <w:sz w:val="22"/>
          <w:szCs w:val="22"/>
          <w:u w:val="single"/>
        </w:rPr>
        <w:t xml:space="preserve"> d’</w:t>
      </w:r>
      <w:r w:rsidR="0062489B" w:rsidRPr="00EB79BC">
        <w:rPr>
          <w:rFonts w:asciiTheme="minorHAnsi" w:hAnsiTheme="minorHAnsi" w:cstheme="minorHAnsi"/>
          <w:b/>
          <w:sz w:val="22"/>
          <w:szCs w:val="22"/>
          <w:u w:val="single"/>
        </w:rPr>
        <w:t>Arafat</w:t>
      </w:r>
    </w:p>
    <w:p w:rsidR="0062489B" w:rsidRPr="00EB79BC" w:rsidRDefault="0062489B" w:rsidP="0062489B">
      <w:pPr>
        <w:jc w:val="both"/>
        <w:rPr>
          <w:rFonts w:asciiTheme="minorHAnsi" w:hAnsiTheme="minorHAnsi" w:cstheme="minorHAnsi"/>
          <w:sz w:val="22"/>
          <w:szCs w:val="22"/>
        </w:rPr>
      </w:pPr>
    </w:p>
    <w:p w:rsidR="0062489B" w:rsidRPr="000A2958" w:rsidRDefault="0062489B" w:rsidP="0062489B">
      <w:pPr>
        <w:jc w:val="both"/>
        <w:rPr>
          <w:rFonts w:asciiTheme="minorHAnsi" w:hAnsiTheme="minorHAnsi" w:cstheme="minorHAnsi"/>
          <w:sz w:val="22"/>
          <w:szCs w:val="22"/>
        </w:rPr>
      </w:pPr>
      <w:r>
        <w:rPr>
          <w:rFonts w:asciiTheme="minorHAnsi" w:hAnsiTheme="minorHAnsi" w:cstheme="minorHAnsi"/>
          <w:sz w:val="22"/>
          <w:szCs w:val="22"/>
        </w:rPr>
        <w:t xml:space="preserve">La commune de la </w:t>
      </w:r>
      <w:proofErr w:type="spellStart"/>
      <w:r w:rsidR="001246CD">
        <w:rPr>
          <w:rFonts w:asciiTheme="minorHAnsi" w:hAnsiTheme="minorHAnsi" w:cstheme="minorHAnsi"/>
          <w:sz w:val="22"/>
          <w:szCs w:val="22"/>
        </w:rPr>
        <w:t>Moughataa</w:t>
      </w:r>
      <w:proofErr w:type="spellEnd"/>
      <w:r>
        <w:rPr>
          <w:rFonts w:asciiTheme="minorHAnsi" w:hAnsiTheme="minorHAnsi" w:cstheme="minorHAnsi"/>
          <w:sz w:val="22"/>
          <w:szCs w:val="22"/>
        </w:rPr>
        <w:t xml:space="preserve"> d’Arafat a bénéficié d’un FRD 2012</w:t>
      </w:r>
      <w:r w:rsidRPr="00EB79BC">
        <w:rPr>
          <w:rFonts w:asciiTheme="minorHAnsi" w:hAnsiTheme="minorHAnsi" w:cstheme="minorHAnsi"/>
          <w:sz w:val="22"/>
          <w:szCs w:val="22"/>
        </w:rPr>
        <w:t xml:space="preserve"> </w:t>
      </w:r>
      <w:r>
        <w:rPr>
          <w:rFonts w:asciiTheme="minorHAnsi" w:hAnsiTheme="minorHAnsi" w:cstheme="minorHAnsi"/>
          <w:sz w:val="22"/>
          <w:szCs w:val="22"/>
        </w:rPr>
        <w:t>pour l’équipement de 100 107 081 MRO (+17,74 % par rapport à 2011). Elle a engagé 107 752 148</w:t>
      </w:r>
      <w:r w:rsidRPr="00EB79BC">
        <w:rPr>
          <w:rFonts w:asciiTheme="minorHAnsi" w:hAnsiTheme="minorHAnsi" w:cstheme="minorHAnsi"/>
          <w:sz w:val="22"/>
          <w:szCs w:val="22"/>
        </w:rPr>
        <w:t xml:space="preserve"> MRO pour la réalisation de </w:t>
      </w:r>
      <w:r w:rsidRPr="00EB79BC">
        <w:rPr>
          <w:rFonts w:asciiTheme="minorHAnsi" w:hAnsiTheme="minorHAnsi" w:cstheme="minorHAnsi"/>
          <w:b/>
          <w:sz w:val="22"/>
          <w:szCs w:val="22"/>
        </w:rPr>
        <w:t>16 projets</w:t>
      </w:r>
      <w:r w:rsidRPr="00EB79BC">
        <w:rPr>
          <w:rFonts w:asciiTheme="minorHAnsi" w:hAnsiTheme="minorHAnsi" w:cstheme="minorHAnsi"/>
          <w:sz w:val="22"/>
          <w:szCs w:val="22"/>
        </w:rPr>
        <w:t xml:space="preserve">, soit un </w:t>
      </w:r>
      <w:r w:rsidRPr="00EB79BC">
        <w:rPr>
          <w:rFonts w:asciiTheme="minorHAnsi" w:hAnsiTheme="minorHAnsi" w:cstheme="minorHAnsi"/>
          <w:b/>
          <w:sz w:val="22"/>
          <w:szCs w:val="22"/>
        </w:rPr>
        <w:t>taux d’a</w:t>
      </w:r>
      <w:r>
        <w:rPr>
          <w:rFonts w:asciiTheme="minorHAnsi" w:hAnsiTheme="minorHAnsi" w:cstheme="minorHAnsi"/>
          <w:b/>
          <w:sz w:val="22"/>
          <w:szCs w:val="22"/>
        </w:rPr>
        <w:t>bsorption de 107,64</w:t>
      </w:r>
      <w:r w:rsidRPr="00EB79BC">
        <w:rPr>
          <w:rFonts w:asciiTheme="minorHAnsi" w:hAnsiTheme="minorHAnsi" w:cstheme="minorHAnsi"/>
          <w:b/>
          <w:sz w:val="22"/>
          <w:szCs w:val="22"/>
        </w:rPr>
        <w:t>%.</w:t>
      </w:r>
      <w:r>
        <w:rPr>
          <w:rFonts w:asciiTheme="minorHAnsi" w:hAnsiTheme="minorHAnsi" w:cstheme="minorHAnsi"/>
          <w:b/>
          <w:sz w:val="22"/>
          <w:szCs w:val="22"/>
        </w:rPr>
        <w:t xml:space="preserve"> </w:t>
      </w:r>
      <w:r w:rsidRPr="00EB79BC">
        <w:rPr>
          <w:rFonts w:asciiTheme="minorHAnsi" w:hAnsiTheme="minorHAnsi" w:cstheme="minorHAnsi"/>
          <w:sz w:val="22"/>
          <w:szCs w:val="22"/>
        </w:rPr>
        <w:t>Un taux d’absorption pour Arafat très satisfaisant</w:t>
      </w:r>
      <w:r>
        <w:rPr>
          <w:rFonts w:asciiTheme="minorHAnsi" w:hAnsiTheme="minorHAnsi" w:cstheme="minorHAnsi"/>
          <w:sz w:val="22"/>
          <w:szCs w:val="22"/>
        </w:rPr>
        <w:t xml:space="preserve">, en comparaison des autres communes de la </w:t>
      </w:r>
      <w:r w:rsidR="001246CD">
        <w:rPr>
          <w:rFonts w:asciiTheme="minorHAnsi" w:hAnsiTheme="minorHAnsi" w:cstheme="minorHAnsi"/>
          <w:sz w:val="22"/>
          <w:szCs w:val="22"/>
        </w:rPr>
        <w:t>Wilaya</w:t>
      </w:r>
      <w:r>
        <w:rPr>
          <w:rFonts w:asciiTheme="minorHAnsi" w:hAnsiTheme="minorHAnsi" w:cstheme="minorHAnsi"/>
          <w:sz w:val="22"/>
          <w:szCs w:val="22"/>
        </w:rPr>
        <w:t>,</w:t>
      </w:r>
      <w:r w:rsidRPr="00EB79BC">
        <w:rPr>
          <w:rFonts w:asciiTheme="minorHAnsi" w:hAnsiTheme="minorHAnsi" w:cstheme="minorHAnsi"/>
          <w:sz w:val="22"/>
          <w:szCs w:val="22"/>
        </w:rPr>
        <w:t xml:space="preserve"> et même assez surprenant si l’on co</w:t>
      </w:r>
      <w:r>
        <w:rPr>
          <w:rFonts w:asciiTheme="minorHAnsi" w:hAnsiTheme="minorHAnsi" w:cstheme="minorHAnsi"/>
          <w:sz w:val="22"/>
          <w:szCs w:val="22"/>
        </w:rPr>
        <w:t>nsidère que pour l’exercice 2011</w:t>
      </w:r>
      <w:r w:rsidRPr="00EB79BC">
        <w:rPr>
          <w:rFonts w:asciiTheme="minorHAnsi" w:hAnsiTheme="minorHAnsi" w:cstheme="minorHAnsi"/>
          <w:sz w:val="22"/>
          <w:szCs w:val="22"/>
        </w:rPr>
        <w:t xml:space="preserve"> il dépassai</w:t>
      </w:r>
      <w:r>
        <w:rPr>
          <w:rFonts w:asciiTheme="minorHAnsi" w:hAnsiTheme="minorHAnsi" w:cstheme="minorHAnsi"/>
          <w:sz w:val="22"/>
          <w:szCs w:val="22"/>
        </w:rPr>
        <w:t>t déjà les 100%</w:t>
      </w:r>
      <w:r w:rsidRPr="00EB79BC">
        <w:rPr>
          <w:rFonts w:asciiTheme="minorHAnsi" w:hAnsiTheme="minorHAnsi" w:cstheme="minorHAnsi"/>
          <w:sz w:val="22"/>
          <w:szCs w:val="22"/>
        </w:rPr>
        <w:t>. Pour cet exercice 201</w:t>
      </w:r>
      <w:r>
        <w:rPr>
          <w:rFonts w:asciiTheme="minorHAnsi" w:hAnsiTheme="minorHAnsi" w:cstheme="minorHAnsi"/>
          <w:sz w:val="22"/>
          <w:szCs w:val="22"/>
        </w:rPr>
        <w:t>2</w:t>
      </w:r>
      <w:r w:rsidR="004162A4">
        <w:rPr>
          <w:rFonts w:asciiTheme="minorHAnsi" w:hAnsiTheme="minorHAnsi" w:cstheme="minorHAnsi"/>
          <w:sz w:val="22"/>
          <w:szCs w:val="22"/>
        </w:rPr>
        <w:t>,</w:t>
      </w:r>
      <w:r>
        <w:rPr>
          <w:rFonts w:asciiTheme="minorHAnsi" w:hAnsiTheme="minorHAnsi" w:cstheme="minorHAnsi"/>
          <w:sz w:val="22"/>
          <w:szCs w:val="22"/>
        </w:rPr>
        <w:t xml:space="preserve"> comme pour l’année dernière, o</w:t>
      </w:r>
      <w:r w:rsidRPr="00EB79BC">
        <w:rPr>
          <w:rFonts w:asciiTheme="minorHAnsi" w:hAnsiTheme="minorHAnsi" w:cstheme="minorHAnsi"/>
          <w:sz w:val="22"/>
          <w:szCs w:val="22"/>
        </w:rPr>
        <w:t>n peut penser que certaines opérations cofinancées par d’autre fonds que le FRD ont été inscrites dans leur intégralité.</w:t>
      </w:r>
    </w:p>
    <w:p w:rsidR="0062489B" w:rsidRDefault="0062489B" w:rsidP="0062489B">
      <w:pPr>
        <w:jc w:val="both"/>
        <w:rPr>
          <w:rFonts w:asciiTheme="minorHAnsi" w:hAnsiTheme="minorHAnsi" w:cstheme="minorHAnsi"/>
        </w:rPr>
      </w:pPr>
      <w:r w:rsidRPr="00584D9A">
        <w:rPr>
          <w:noProof/>
        </w:rPr>
        <w:drawing>
          <wp:inline distT="0" distB="0" distL="0" distR="0">
            <wp:extent cx="3276600" cy="3448049"/>
            <wp:effectExtent l="19050" t="0" r="0" b="0"/>
            <wp:docPr id="1"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2" cstate="print"/>
                    <a:stretch>
                      <a:fillRect/>
                    </a:stretch>
                  </pic:blipFill>
                  <pic:spPr>
                    <a:xfrm>
                      <a:off x="0" y="0"/>
                      <a:ext cx="3276191" cy="3447619"/>
                    </a:xfrm>
                    <a:prstGeom prst="rect">
                      <a:avLst/>
                    </a:prstGeom>
                  </pic:spPr>
                </pic:pic>
              </a:graphicData>
            </a:graphic>
          </wp:inline>
        </w:drawing>
      </w:r>
      <w:r w:rsidRPr="0098006C">
        <w:rPr>
          <w:rFonts w:asciiTheme="minorHAnsi" w:hAnsiTheme="minorHAnsi" w:cstheme="minorHAnsi"/>
          <w:noProof/>
        </w:rPr>
        <w:drawing>
          <wp:inline distT="0" distB="0" distL="0" distR="0">
            <wp:extent cx="3171825" cy="3448048"/>
            <wp:effectExtent l="19050" t="0" r="9525" b="0"/>
            <wp:docPr id="9"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3" cstate="print"/>
                    <a:stretch>
                      <a:fillRect/>
                    </a:stretch>
                  </pic:blipFill>
                  <pic:spPr>
                    <a:xfrm>
                      <a:off x="0" y="0"/>
                      <a:ext cx="3171825" cy="3448048"/>
                    </a:xfrm>
                    <a:prstGeom prst="rect">
                      <a:avLst/>
                    </a:prstGeom>
                  </pic:spPr>
                </pic:pic>
              </a:graphicData>
            </a:graphic>
          </wp:inline>
        </w:drawing>
      </w:r>
    </w:p>
    <w:p w:rsidR="0062489B" w:rsidRDefault="0062489B" w:rsidP="0062489B">
      <w:pPr>
        <w:jc w:val="both"/>
        <w:rPr>
          <w:rFonts w:asciiTheme="minorHAnsi" w:hAnsiTheme="minorHAnsi" w:cstheme="minorHAnsi"/>
          <w:b/>
        </w:rPr>
      </w:pPr>
      <w:r w:rsidRPr="00E95BBD">
        <w:rPr>
          <w:rFonts w:asciiTheme="minorHAnsi" w:hAnsiTheme="minorHAnsi" w:cstheme="minorHAnsi"/>
          <w:b/>
          <w:noProof/>
        </w:rPr>
        <w:drawing>
          <wp:inline distT="0" distB="0" distL="0" distR="0">
            <wp:extent cx="6648450" cy="2619375"/>
            <wp:effectExtent l="19050" t="0" r="0" b="0"/>
            <wp:docPr id="25"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4" cstate="print"/>
                    <a:stretch>
                      <a:fillRect/>
                    </a:stretch>
                  </pic:blipFill>
                  <pic:spPr>
                    <a:xfrm>
                      <a:off x="0" y="0"/>
                      <a:ext cx="6647620" cy="2619048"/>
                    </a:xfrm>
                    <a:prstGeom prst="rect">
                      <a:avLst/>
                    </a:prstGeom>
                  </pic:spPr>
                </pic:pic>
              </a:graphicData>
            </a:graphic>
          </wp:inline>
        </w:drawing>
      </w:r>
    </w:p>
    <w:p w:rsidR="0062489B" w:rsidRDefault="0062489B" w:rsidP="0062489B">
      <w:pPr>
        <w:jc w:val="both"/>
        <w:rPr>
          <w:rFonts w:asciiTheme="minorHAnsi" w:hAnsiTheme="minorHAnsi" w:cstheme="minorHAnsi"/>
        </w:rPr>
      </w:pPr>
    </w:p>
    <w:p w:rsidR="0062489B" w:rsidRDefault="0062489B" w:rsidP="0062489B">
      <w:pPr>
        <w:jc w:val="both"/>
        <w:rPr>
          <w:rFonts w:asciiTheme="minorHAnsi" w:hAnsiTheme="minorHAnsi" w:cstheme="minorHAnsi"/>
          <w:sz w:val="22"/>
          <w:szCs w:val="22"/>
        </w:rPr>
      </w:pPr>
      <w:r>
        <w:rPr>
          <w:rFonts w:asciiTheme="minorHAnsi" w:hAnsiTheme="minorHAnsi" w:cstheme="minorHAnsi"/>
          <w:sz w:val="22"/>
          <w:szCs w:val="22"/>
        </w:rPr>
        <w:t>Comme pour les exercices précédents, l</w:t>
      </w:r>
      <w:r w:rsidRPr="0093300F">
        <w:rPr>
          <w:rFonts w:asciiTheme="minorHAnsi" w:hAnsiTheme="minorHAnsi" w:cstheme="minorHAnsi"/>
          <w:sz w:val="22"/>
          <w:szCs w:val="22"/>
        </w:rPr>
        <w:t>e</w:t>
      </w:r>
      <w:r>
        <w:rPr>
          <w:rFonts w:asciiTheme="minorHAnsi" w:hAnsiTheme="minorHAnsi" w:cstheme="minorHAnsi"/>
          <w:sz w:val="22"/>
          <w:szCs w:val="22"/>
        </w:rPr>
        <w:t xml:space="preserve"> montant moyen par projet d’investissement est très élevé et s’améliore avec l’abondement des crédits, passant de </w:t>
      </w:r>
      <w:r w:rsidR="00A22C2B">
        <w:rPr>
          <w:rFonts w:asciiTheme="minorHAnsi" w:hAnsiTheme="minorHAnsi" w:cstheme="minorHAnsi"/>
          <w:sz w:val="22"/>
          <w:szCs w:val="22"/>
        </w:rPr>
        <w:t xml:space="preserve">5 782 397 </w:t>
      </w:r>
      <w:r>
        <w:rPr>
          <w:rFonts w:asciiTheme="minorHAnsi" w:hAnsiTheme="minorHAnsi" w:cstheme="minorHAnsi"/>
          <w:sz w:val="22"/>
          <w:szCs w:val="22"/>
        </w:rPr>
        <w:t xml:space="preserve">MRO en 2011 à </w:t>
      </w:r>
      <w:r w:rsidR="00A22C2B">
        <w:rPr>
          <w:rFonts w:asciiTheme="minorHAnsi" w:hAnsiTheme="minorHAnsi" w:cstheme="minorHAnsi"/>
          <w:sz w:val="22"/>
          <w:szCs w:val="22"/>
        </w:rPr>
        <w:t>6 734 509</w:t>
      </w:r>
      <w:r>
        <w:rPr>
          <w:rFonts w:asciiTheme="minorHAnsi" w:hAnsiTheme="minorHAnsi" w:cstheme="minorHAnsi"/>
          <w:sz w:val="22"/>
          <w:szCs w:val="22"/>
        </w:rPr>
        <w:t xml:space="preserve"> MRO en 2012. En comparaison des moyennes régionale et nat</w:t>
      </w:r>
      <w:r w:rsidR="00A22C2B">
        <w:rPr>
          <w:rFonts w:asciiTheme="minorHAnsi" w:hAnsiTheme="minorHAnsi" w:cstheme="minorHAnsi"/>
          <w:sz w:val="22"/>
          <w:szCs w:val="22"/>
        </w:rPr>
        <w:t>i</w:t>
      </w:r>
      <w:r w:rsidR="007C248F">
        <w:rPr>
          <w:rFonts w:asciiTheme="minorHAnsi" w:hAnsiTheme="minorHAnsi" w:cstheme="minorHAnsi"/>
          <w:sz w:val="22"/>
          <w:szCs w:val="22"/>
        </w:rPr>
        <w:t xml:space="preserve">onale, ce montant est donc plus que </w:t>
      </w:r>
      <w:r>
        <w:rPr>
          <w:rFonts w:asciiTheme="minorHAnsi" w:hAnsiTheme="minorHAnsi" w:cstheme="minorHAnsi"/>
          <w:sz w:val="22"/>
          <w:szCs w:val="22"/>
        </w:rPr>
        <w:t>satisfaisant.</w:t>
      </w:r>
    </w:p>
    <w:p w:rsidR="0062489B" w:rsidRDefault="0062489B" w:rsidP="0062489B">
      <w:pPr>
        <w:jc w:val="both"/>
        <w:rPr>
          <w:rFonts w:asciiTheme="minorHAnsi" w:hAnsiTheme="minorHAnsi" w:cstheme="minorHAnsi"/>
          <w:sz w:val="22"/>
          <w:szCs w:val="22"/>
        </w:rPr>
      </w:pPr>
      <w:r>
        <w:rPr>
          <w:rFonts w:asciiTheme="minorHAnsi" w:hAnsiTheme="minorHAnsi" w:cstheme="minorHAnsi"/>
          <w:sz w:val="22"/>
          <w:szCs w:val="22"/>
        </w:rPr>
        <w:t>En termes de priorités d’investissement, le secteur des</w:t>
      </w:r>
      <w:r w:rsidRPr="002E6CD9">
        <w:rPr>
          <w:rFonts w:asciiTheme="minorHAnsi" w:hAnsiTheme="minorHAnsi" w:cstheme="minorHAnsi"/>
          <w:sz w:val="22"/>
          <w:szCs w:val="22"/>
        </w:rPr>
        <w:t xml:space="preserve"> </w:t>
      </w:r>
      <w:r>
        <w:rPr>
          <w:rFonts w:asciiTheme="minorHAnsi" w:hAnsiTheme="minorHAnsi" w:cstheme="minorHAnsi"/>
          <w:sz w:val="22"/>
          <w:szCs w:val="22"/>
        </w:rPr>
        <w:t>bâtiments communaux vient en première p</w:t>
      </w:r>
      <w:r w:rsidR="00A22C2B">
        <w:rPr>
          <w:rFonts w:asciiTheme="minorHAnsi" w:hAnsiTheme="minorHAnsi" w:cstheme="minorHAnsi"/>
          <w:sz w:val="22"/>
          <w:szCs w:val="22"/>
        </w:rPr>
        <w:t>osition avec 38,42</w:t>
      </w:r>
      <w:r>
        <w:rPr>
          <w:rFonts w:asciiTheme="minorHAnsi" w:hAnsiTheme="minorHAnsi" w:cstheme="minorHAnsi"/>
          <w:sz w:val="22"/>
          <w:szCs w:val="22"/>
        </w:rPr>
        <w:t xml:space="preserve">% des engagements, pour </w:t>
      </w:r>
      <w:r w:rsidR="00A22C2B">
        <w:rPr>
          <w:rFonts w:asciiTheme="minorHAnsi" w:hAnsiTheme="minorHAnsi" w:cstheme="minorHAnsi"/>
          <w:sz w:val="22"/>
          <w:szCs w:val="22"/>
        </w:rPr>
        <w:t>4</w:t>
      </w:r>
      <w:r>
        <w:rPr>
          <w:rFonts w:asciiTheme="minorHAnsi" w:hAnsiTheme="minorHAnsi" w:cstheme="minorHAnsi"/>
          <w:sz w:val="22"/>
          <w:szCs w:val="22"/>
        </w:rPr>
        <w:t xml:space="preserve"> projets se répartissant </w:t>
      </w:r>
      <w:r w:rsidR="00A22C2B">
        <w:rPr>
          <w:rFonts w:asciiTheme="minorHAnsi" w:hAnsiTheme="minorHAnsi" w:cstheme="minorHAnsi"/>
          <w:sz w:val="22"/>
          <w:szCs w:val="22"/>
        </w:rPr>
        <w:t>41 400 986</w:t>
      </w:r>
      <w:r>
        <w:rPr>
          <w:rFonts w:asciiTheme="minorHAnsi" w:hAnsiTheme="minorHAnsi" w:cstheme="minorHAnsi"/>
          <w:sz w:val="22"/>
          <w:szCs w:val="22"/>
        </w:rPr>
        <w:t xml:space="preserve"> MRO.</w:t>
      </w:r>
    </w:p>
    <w:p w:rsidR="0062489B" w:rsidRPr="0093300F" w:rsidRDefault="0062489B" w:rsidP="0062489B">
      <w:pPr>
        <w:jc w:val="both"/>
        <w:rPr>
          <w:rFonts w:asciiTheme="minorHAnsi" w:hAnsiTheme="minorHAnsi" w:cstheme="minorHAnsi"/>
          <w:sz w:val="22"/>
          <w:szCs w:val="22"/>
        </w:rPr>
      </w:pPr>
      <w:r>
        <w:rPr>
          <w:rFonts w:asciiTheme="minorHAnsi" w:hAnsiTheme="minorHAnsi" w:cstheme="minorHAnsi"/>
          <w:sz w:val="22"/>
          <w:szCs w:val="22"/>
        </w:rPr>
        <w:t>Ensuite, vient en deuxième position le secteur de l’</w:t>
      </w:r>
      <w:r w:rsidR="00A22C2B">
        <w:rPr>
          <w:rFonts w:asciiTheme="minorHAnsi" w:hAnsiTheme="minorHAnsi" w:cstheme="minorHAnsi"/>
          <w:sz w:val="22"/>
          <w:szCs w:val="22"/>
        </w:rPr>
        <w:t xml:space="preserve">éducation </w:t>
      </w:r>
      <w:r>
        <w:rPr>
          <w:rFonts w:asciiTheme="minorHAnsi" w:hAnsiTheme="minorHAnsi" w:cstheme="minorHAnsi"/>
          <w:sz w:val="22"/>
          <w:szCs w:val="22"/>
        </w:rPr>
        <w:t xml:space="preserve">avec </w:t>
      </w:r>
      <w:r w:rsidR="00A22C2B">
        <w:rPr>
          <w:rFonts w:asciiTheme="minorHAnsi" w:hAnsiTheme="minorHAnsi" w:cstheme="minorHAnsi"/>
          <w:sz w:val="22"/>
          <w:szCs w:val="22"/>
        </w:rPr>
        <w:t>19,65</w:t>
      </w:r>
      <w:r>
        <w:rPr>
          <w:rFonts w:asciiTheme="minorHAnsi" w:hAnsiTheme="minorHAnsi" w:cstheme="minorHAnsi"/>
          <w:sz w:val="22"/>
          <w:szCs w:val="22"/>
        </w:rPr>
        <w:t xml:space="preserve">% des engagements, soit </w:t>
      </w:r>
      <w:r w:rsidR="00A22C2B">
        <w:rPr>
          <w:rFonts w:asciiTheme="minorHAnsi" w:hAnsiTheme="minorHAnsi" w:cstheme="minorHAnsi"/>
          <w:sz w:val="22"/>
          <w:szCs w:val="22"/>
        </w:rPr>
        <w:t>21 175 693</w:t>
      </w:r>
      <w:r>
        <w:rPr>
          <w:rFonts w:asciiTheme="minorHAnsi" w:hAnsiTheme="minorHAnsi" w:cstheme="minorHAnsi"/>
          <w:sz w:val="22"/>
          <w:szCs w:val="22"/>
        </w:rPr>
        <w:t xml:space="preserve"> MRO pour </w:t>
      </w:r>
      <w:r w:rsidR="00A22C2B">
        <w:rPr>
          <w:rFonts w:asciiTheme="minorHAnsi" w:hAnsiTheme="minorHAnsi" w:cstheme="minorHAnsi"/>
          <w:sz w:val="22"/>
          <w:szCs w:val="22"/>
        </w:rPr>
        <w:t>1 projet</w:t>
      </w:r>
      <w:r>
        <w:rPr>
          <w:rFonts w:asciiTheme="minorHAnsi" w:hAnsiTheme="minorHAnsi" w:cstheme="minorHAnsi"/>
          <w:sz w:val="22"/>
          <w:szCs w:val="22"/>
        </w:rPr>
        <w:t>.</w:t>
      </w:r>
    </w:p>
    <w:p w:rsidR="0062489B" w:rsidRDefault="0062489B" w:rsidP="0062489B">
      <w:pPr>
        <w:jc w:val="both"/>
        <w:rPr>
          <w:rFonts w:asciiTheme="minorHAnsi" w:hAnsiTheme="minorHAnsi" w:cstheme="minorHAnsi"/>
          <w:sz w:val="22"/>
          <w:szCs w:val="22"/>
        </w:rPr>
      </w:pPr>
      <w:r>
        <w:rPr>
          <w:rFonts w:asciiTheme="minorHAnsi" w:hAnsiTheme="minorHAnsi" w:cstheme="minorHAnsi"/>
          <w:sz w:val="22"/>
          <w:szCs w:val="22"/>
        </w:rPr>
        <w:t>En</w:t>
      </w:r>
      <w:r w:rsidR="00A22C2B">
        <w:rPr>
          <w:rFonts w:asciiTheme="minorHAnsi" w:hAnsiTheme="minorHAnsi" w:cstheme="minorHAnsi"/>
          <w:sz w:val="22"/>
          <w:szCs w:val="22"/>
        </w:rPr>
        <w:t xml:space="preserve"> troisième position, le </w:t>
      </w:r>
      <w:proofErr w:type="spellStart"/>
      <w:r w:rsidR="00A22C2B">
        <w:rPr>
          <w:rFonts w:asciiTheme="minorHAnsi" w:hAnsiTheme="minorHAnsi" w:cstheme="minorHAnsi"/>
          <w:sz w:val="22"/>
          <w:szCs w:val="22"/>
        </w:rPr>
        <w:t>socio-culturel</w:t>
      </w:r>
      <w:proofErr w:type="spellEnd"/>
      <w:r>
        <w:rPr>
          <w:rFonts w:asciiTheme="minorHAnsi" w:hAnsiTheme="minorHAnsi" w:cstheme="minorHAnsi"/>
          <w:sz w:val="22"/>
          <w:szCs w:val="22"/>
        </w:rPr>
        <w:t xml:space="preserve"> avec 1</w:t>
      </w:r>
      <w:r w:rsidR="00A22C2B">
        <w:rPr>
          <w:rFonts w:asciiTheme="minorHAnsi" w:hAnsiTheme="minorHAnsi" w:cstheme="minorHAnsi"/>
          <w:sz w:val="22"/>
          <w:szCs w:val="22"/>
        </w:rPr>
        <w:t>7,09</w:t>
      </w:r>
      <w:r>
        <w:rPr>
          <w:rFonts w:asciiTheme="minorHAnsi" w:hAnsiTheme="minorHAnsi" w:cstheme="minorHAnsi"/>
          <w:sz w:val="22"/>
          <w:szCs w:val="22"/>
        </w:rPr>
        <w:t xml:space="preserve">% des engagements, soit </w:t>
      </w:r>
      <w:r w:rsidR="00A22C2B">
        <w:rPr>
          <w:rFonts w:asciiTheme="minorHAnsi" w:hAnsiTheme="minorHAnsi" w:cstheme="minorHAnsi"/>
          <w:sz w:val="22"/>
          <w:szCs w:val="22"/>
        </w:rPr>
        <w:t>18 409 940</w:t>
      </w:r>
      <w:r>
        <w:rPr>
          <w:rFonts w:asciiTheme="minorHAnsi" w:hAnsiTheme="minorHAnsi" w:cstheme="minorHAnsi"/>
          <w:sz w:val="22"/>
          <w:szCs w:val="22"/>
        </w:rPr>
        <w:t xml:space="preserve"> MRO pour </w:t>
      </w:r>
      <w:r w:rsidR="00A22C2B">
        <w:rPr>
          <w:rFonts w:asciiTheme="minorHAnsi" w:hAnsiTheme="minorHAnsi" w:cstheme="minorHAnsi"/>
          <w:sz w:val="22"/>
          <w:szCs w:val="22"/>
        </w:rPr>
        <w:t>3</w:t>
      </w:r>
      <w:r>
        <w:rPr>
          <w:rFonts w:asciiTheme="minorHAnsi" w:hAnsiTheme="minorHAnsi" w:cstheme="minorHAnsi"/>
          <w:sz w:val="22"/>
          <w:szCs w:val="22"/>
        </w:rPr>
        <w:t xml:space="preserve"> projets.</w:t>
      </w:r>
    </w:p>
    <w:p w:rsidR="0062489B" w:rsidRDefault="0062489B" w:rsidP="0062489B">
      <w:pPr>
        <w:jc w:val="both"/>
        <w:rPr>
          <w:rFonts w:asciiTheme="minorHAnsi" w:hAnsiTheme="minorHAnsi" w:cstheme="minorHAnsi"/>
          <w:sz w:val="22"/>
          <w:szCs w:val="22"/>
        </w:rPr>
      </w:pPr>
    </w:p>
    <w:p w:rsidR="0062489B" w:rsidRPr="00EB79BC" w:rsidRDefault="0062489B" w:rsidP="0062489B">
      <w:pPr>
        <w:jc w:val="both"/>
        <w:rPr>
          <w:rFonts w:asciiTheme="minorHAnsi" w:hAnsiTheme="minorHAnsi" w:cstheme="minorHAnsi"/>
          <w:sz w:val="22"/>
          <w:szCs w:val="22"/>
        </w:rPr>
      </w:pPr>
    </w:p>
    <w:p w:rsidR="0062489B" w:rsidRPr="00EB79BC" w:rsidRDefault="0062489B" w:rsidP="002E6CD9">
      <w:pPr>
        <w:jc w:val="both"/>
        <w:rPr>
          <w:rFonts w:asciiTheme="minorHAnsi" w:hAnsiTheme="minorHAnsi" w:cstheme="minorHAnsi"/>
          <w:sz w:val="22"/>
          <w:szCs w:val="22"/>
        </w:rPr>
      </w:pPr>
    </w:p>
    <w:p w:rsidR="00A27296" w:rsidRPr="00EB79BC" w:rsidRDefault="001246CD" w:rsidP="00A27296">
      <w:pPr>
        <w:jc w:val="center"/>
        <w:rPr>
          <w:rFonts w:asciiTheme="minorHAnsi" w:hAnsiTheme="minorHAnsi" w:cstheme="minorHAnsi"/>
          <w:sz w:val="22"/>
          <w:szCs w:val="22"/>
          <w:u w:val="single"/>
        </w:rPr>
      </w:pPr>
      <w:proofErr w:type="spellStart"/>
      <w:r>
        <w:rPr>
          <w:rFonts w:asciiTheme="minorHAnsi" w:hAnsiTheme="minorHAnsi" w:cstheme="minorHAnsi"/>
          <w:b/>
          <w:sz w:val="22"/>
          <w:szCs w:val="22"/>
          <w:u w:val="single"/>
        </w:rPr>
        <w:t>Moughataa</w:t>
      </w:r>
      <w:proofErr w:type="spellEnd"/>
      <w:r w:rsidR="00A27296" w:rsidRPr="00EB79BC">
        <w:rPr>
          <w:rFonts w:asciiTheme="minorHAnsi" w:hAnsiTheme="minorHAnsi" w:cstheme="minorHAnsi"/>
          <w:b/>
          <w:sz w:val="22"/>
          <w:szCs w:val="22"/>
          <w:u w:val="single"/>
        </w:rPr>
        <w:t xml:space="preserve"> de Dar </w:t>
      </w:r>
      <w:proofErr w:type="spellStart"/>
      <w:r w:rsidR="00A27296" w:rsidRPr="00EB79BC">
        <w:rPr>
          <w:rFonts w:asciiTheme="minorHAnsi" w:hAnsiTheme="minorHAnsi" w:cstheme="minorHAnsi"/>
          <w:b/>
          <w:sz w:val="22"/>
          <w:szCs w:val="22"/>
          <w:u w:val="single"/>
        </w:rPr>
        <w:t>Naïm</w:t>
      </w:r>
      <w:proofErr w:type="spellEnd"/>
    </w:p>
    <w:p w:rsidR="00A27296" w:rsidRPr="00EB79BC" w:rsidRDefault="00A27296" w:rsidP="00A27296">
      <w:pPr>
        <w:jc w:val="both"/>
        <w:rPr>
          <w:rFonts w:asciiTheme="minorHAnsi" w:hAnsiTheme="minorHAnsi" w:cstheme="minorHAnsi"/>
          <w:sz w:val="22"/>
          <w:szCs w:val="22"/>
        </w:rPr>
      </w:pPr>
    </w:p>
    <w:p w:rsidR="00A27296" w:rsidRPr="00EB79BC" w:rsidRDefault="00A27296" w:rsidP="00A27296">
      <w:pPr>
        <w:jc w:val="both"/>
        <w:rPr>
          <w:rFonts w:asciiTheme="minorHAnsi" w:hAnsiTheme="minorHAnsi" w:cstheme="minorHAnsi"/>
          <w:sz w:val="22"/>
          <w:szCs w:val="22"/>
        </w:rPr>
      </w:pPr>
      <w:r w:rsidRPr="00EB79BC">
        <w:rPr>
          <w:rFonts w:asciiTheme="minorHAnsi" w:hAnsiTheme="minorHAnsi" w:cstheme="minorHAnsi"/>
          <w:sz w:val="22"/>
          <w:szCs w:val="22"/>
        </w:rPr>
        <w:t xml:space="preserve">La commune de la </w:t>
      </w:r>
      <w:proofErr w:type="spellStart"/>
      <w:r w:rsidR="001246CD">
        <w:rPr>
          <w:rFonts w:asciiTheme="minorHAnsi" w:hAnsiTheme="minorHAnsi" w:cstheme="minorHAnsi"/>
          <w:sz w:val="22"/>
          <w:szCs w:val="22"/>
        </w:rPr>
        <w:t>Moughataa</w:t>
      </w:r>
      <w:proofErr w:type="spellEnd"/>
      <w:r w:rsidRPr="00EB79BC">
        <w:rPr>
          <w:rFonts w:asciiTheme="minorHAnsi" w:hAnsiTheme="minorHAnsi" w:cstheme="minorHAnsi"/>
          <w:sz w:val="22"/>
          <w:szCs w:val="22"/>
        </w:rPr>
        <w:t xml:space="preserve"> de Da</w:t>
      </w:r>
      <w:r w:rsidR="00A22C2B">
        <w:rPr>
          <w:rFonts w:asciiTheme="minorHAnsi" w:hAnsiTheme="minorHAnsi" w:cstheme="minorHAnsi"/>
          <w:sz w:val="22"/>
          <w:szCs w:val="22"/>
        </w:rPr>
        <w:t xml:space="preserve">r </w:t>
      </w:r>
      <w:proofErr w:type="spellStart"/>
      <w:r w:rsidR="00A22C2B">
        <w:rPr>
          <w:rFonts w:asciiTheme="minorHAnsi" w:hAnsiTheme="minorHAnsi" w:cstheme="minorHAnsi"/>
          <w:sz w:val="22"/>
          <w:szCs w:val="22"/>
        </w:rPr>
        <w:t>Naïm</w:t>
      </w:r>
      <w:proofErr w:type="spellEnd"/>
      <w:r w:rsidR="00A22C2B">
        <w:rPr>
          <w:rFonts w:asciiTheme="minorHAnsi" w:hAnsiTheme="minorHAnsi" w:cstheme="minorHAnsi"/>
          <w:sz w:val="22"/>
          <w:szCs w:val="22"/>
        </w:rPr>
        <w:t xml:space="preserve"> a bénéficié d’un FRD 2012</w:t>
      </w:r>
      <w:r w:rsidRPr="00EB79BC">
        <w:rPr>
          <w:rFonts w:asciiTheme="minorHAnsi" w:hAnsiTheme="minorHAnsi" w:cstheme="minorHAnsi"/>
          <w:sz w:val="22"/>
          <w:szCs w:val="22"/>
        </w:rPr>
        <w:t xml:space="preserve"> pour l’équipement de</w:t>
      </w:r>
      <w:r w:rsidR="00A22C2B">
        <w:rPr>
          <w:rFonts w:asciiTheme="minorHAnsi" w:hAnsiTheme="minorHAnsi" w:cstheme="minorHAnsi"/>
          <w:sz w:val="22"/>
          <w:szCs w:val="22"/>
        </w:rPr>
        <w:t xml:space="preserve"> 54 767 122</w:t>
      </w:r>
      <w:r w:rsidRPr="00EB79BC">
        <w:rPr>
          <w:rFonts w:asciiTheme="minorHAnsi" w:hAnsiTheme="minorHAnsi" w:cstheme="minorHAnsi"/>
          <w:sz w:val="22"/>
          <w:szCs w:val="22"/>
        </w:rPr>
        <w:t xml:space="preserve"> </w:t>
      </w:r>
      <w:r w:rsidR="00A22C2B">
        <w:rPr>
          <w:rFonts w:asciiTheme="minorHAnsi" w:hAnsiTheme="minorHAnsi" w:cstheme="minorHAnsi"/>
          <w:sz w:val="22"/>
          <w:szCs w:val="22"/>
        </w:rPr>
        <w:t>MRO (+18,64% par rapport à 2011). Elle a engagé 57 398 803</w:t>
      </w:r>
      <w:r w:rsidRPr="00EB79BC">
        <w:rPr>
          <w:rFonts w:asciiTheme="minorHAnsi" w:hAnsiTheme="minorHAnsi" w:cstheme="minorHAnsi"/>
          <w:sz w:val="22"/>
          <w:szCs w:val="22"/>
        </w:rPr>
        <w:t xml:space="preserve"> MRO pour la réalisation de </w:t>
      </w:r>
      <w:r w:rsidRPr="00EB79BC">
        <w:rPr>
          <w:rFonts w:asciiTheme="minorHAnsi" w:hAnsiTheme="minorHAnsi" w:cstheme="minorHAnsi"/>
          <w:b/>
          <w:sz w:val="22"/>
          <w:szCs w:val="22"/>
        </w:rPr>
        <w:t>16 projets</w:t>
      </w:r>
      <w:r w:rsidRPr="00EB79BC">
        <w:rPr>
          <w:rFonts w:asciiTheme="minorHAnsi" w:hAnsiTheme="minorHAnsi" w:cstheme="minorHAnsi"/>
          <w:sz w:val="22"/>
          <w:szCs w:val="22"/>
        </w:rPr>
        <w:t xml:space="preserve">, soit un </w:t>
      </w:r>
      <w:r w:rsidR="00A22C2B">
        <w:rPr>
          <w:rFonts w:asciiTheme="minorHAnsi" w:hAnsiTheme="minorHAnsi" w:cstheme="minorHAnsi"/>
          <w:b/>
          <w:sz w:val="22"/>
          <w:szCs w:val="22"/>
        </w:rPr>
        <w:t>taux d’absorption de 104,81</w:t>
      </w:r>
      <w:r w:rsidRPr="00EB79BC">
        <w:rPr>
          <w:rFonts w:asciiTheme="minorHAnsi" w:hAnsiTheme="minorHAnsi" w:cstheme="minorHAnsi"/>
          <w:b/>
          <w:sz w:val="22"/>
          <w:szCs w:val="22"/>
        </w:rPr>
        <w:t xml:space="preserve"> %.</w:t>
      </w:r>
    </w:p>
    <w:p w:rsidR="00A22C2B" w:rsidRDefault="00A22C2B" w:rsidP="00A22C2B">
      <w:pPr>
        <w:jc w:val="both"/>
        <w:rPr>
          <w:rFonts w:asciiTheme="minorHAnsi" w:hAnsiTheme="minorHAnsi" w:cstheme="minorHAnsi"/>
          <w:sz w:val="22"/>
          <w:szCs w:val="22"/>
        </w:rPr>
      </w:pPr>
      <w:r>
        <w:rPr>
          <w:rFonts w:asciiTheme="minorHAnsi" w:hAnsiTheme="minorHAnsi" w:cstheme="minorHAnsi"/>
          <w:sz w:val="22"/>
          <w:szCs w:val="22"/>
        </w:rPr>
        <w:t>Le taux d’absorption pour D</w:t>
      </w:r>
      <w:r w:rsidRPr="00EB79BC">
        <w:rPr>
          <w:rFonts w:asciiTheme="minorHAnsi" w:hAnsiTheme="minorHAnsi" w:cstheme="minorHAnsi"/>
          <w:sz w:val="22"/>
          <w:szCs w:val="22"/>
        </w:rPr>
        <w:t xml:space="preserve">ar </w:t>
      </w:r>
      <w:proofErr w:type="spellStart"/>
      <w:r w:rsidRPr="00EB79BC">
        <w:rPr>
          <w:rFonts w:asciiTheme="minorHAnsi" w:hAnsiTheme="minorHAnsi" w:cstheme="minorHAnsi"/>
          <w:sz w:val="22"/>
          <w:szCs w:val="22"/>
        </w:rPr>
        <w:t>Naï</w:t>
      </w:r>
      <w:r>
        <w:rPr>
          <w:rFonts w:asciiTheme="minorHAnsi" w:hAnsiTheme="minorHAnsi" w:cstheme="minorHAnsi"/>
          <w:sz w:val="22"/>
          <w:szCs w:val="22"/>
        </w:rPr>
        <w:t>m</w:t>
      </w:r>
      <w:proofErr w:type="spellEnd"/>
      <w:r>
        <w:rPr>
          <w:rFonts w:asciiTheme="minorHAnsi" w:hAnsiTheme="minorHAnsi" w:cstheme="minorHAnsi"/>
          <w:sz w:val="22"/>
          <w:szCs w:val="22"/>
        </w:rPr>
        <w:t>, bien qu’en baisse après une année exceptionnelle (137,22% en 2011) est</w:t>
      </w:r>
      <w:r w:rsidRPr="00EB79BC">
        <w:rPr>
          <w:rFonts w:asciiTheme="minorHAnsi" w:hAnsiTheme="minorHAnsi" w:cstheme="minorHAnsi"/>
          <w:sz w:val="22"/>
          <w:szCs w:val="22"/>
        </w:rPr>
        <w:t xml:space="preserve"> très satisfaisant</w:t>
      </w:r>
      <w:r>
        <w:rPr>
          <w:rFonts w:asciiTheme="minorHAnsi" w:hAnsiTheme="minorHAnsi" w:cstheme="minorHAnsi"/>
          <w:sz w:val="22"/>
          <w:szCs w:val="22"/>
        </w:rPr>
        <w:t xml:space="preserve">, en comparaison des autres communes de la </w:t>
      </w:r>
      <w:r w:rsidR="001246CD">
        <w:rPr>
          <w:rFonts w:asciiTheme="minorHAnsi" w:hAnsiTheme="minorHAnsi" w:cstheme="minorHAnsi"/>
          <w:sz w:val="22"/>
          <w:szCs w:val="22"/>
        </w:rPr>
        <w:t>Wilaya</w:t>
      </w:r>
      <w:r w:rsidR="002F28AB">
        <w:rPr>
          <w:rFonts w:asciiTheme="minorHAnsi" w:hAnsiTheme="minorHAnsi" w:cstheme="minorHAnsi"/>
          <w:sz w:val="22"/>
          <w:szCs w:val="22"/>
        </w:rPr>
        <w:t>.</w:t>
      </w:r>
    </w:p>
    <w:p w:rsidR="00A27296" w:rsidRDefault="00A27296" w:rsidP="00A27296">
      <w:pPr>
        <w:jc w:val="both"/>
        <w:rPr>
          <w:rFonts w:asciiTheme="minorHAnsi" w:hAnsiTheme="minorHAnsi" w:cstheme="minorHAnsi"/>
        </w:rPr>
      </w:pPr>
    </w:p>
    <w:p w:rsidR="00A27296" w:rsidRDefault="006316D6" w:rsidP="00A27296">
      <w:pPr>
        <w:jc w:val="both"/>
        <w:rPr>
          <w:rFonts w:asciiTheme="minorHAnsi" w:hAnsiTheme="minorHAnsi" w:cstheme="minorHAnsi"/>
        </w:rPr>
      </w:pPr>
      <w:r w:rsidRPr="006316D6">
        <w:rPr>
          <w:noProof/>
        </w:rPr>
        <w:drawing>
          <wp:inline distT="0" distB="0" distL="0" distR="0">
            <wp:extent cx="3419475" cy="3257550"/>
            <wp:effectExtent l="19050" t="0" r="9525" b="0"/>
            <wp:docPr id="362"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5" cstate="print"/>
                    <a:stretch>
                      <a:fillRect/>
                    </a:stretch>
                  </pic:blipFill>
                  <pic:spPr>
                    <a:xfrm>
                      <a:off x="0" y="0"/>
                      <a:ext cx="3419048" cy="3257143"/>
                    </a:xfrm>
                    <a:prstGeom prst="rect">
                      <a:avLst/>
                    </a:prstGeom>
                  </pic:spPr>
                </pic:pic>
              </a:graphicData>
            </a:graphic>
          </wp:inline>
        </w:drawing>
      </w:r>
      <w:r w:rsidR="0098006C" w:rsidRPr="0098006C">
        <w:rPr>
          <w:rFonts w:asciiTheme="minorHAnsi" w:hAnsiTheme="minorHAnsi" w:cstheme="minorHAnsi"/>
          <w:noProof/>
        </w:rPr>
        <w:drawing>
          <wp:inline distT="0" distB="0" distL="0" distR="0">
            <wp:extent cx="3019425" cy="3257550"/>
            <wp:effectExtent l="19050" t="0" r="9525" b="0"/>
            <wp:docPr id="484"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6" cstate="print"/>
                    <a:stretch>
                      <a:fillRect/>
                    </a:stretch>
                  </pic:blipFill>
                  <pic:spPr>
                    <a:xfrm>
                      <a:off x="0" y="0"/>
                      <a:ext cx="3019048" cy="3257143"/>
                    </a:xfrm>
                    <a:prstGeom prst="rect">
                      <a:avLst/>
                    </a:prstGeom>
                  </pic:spPr>
                </pic:pic>
              </a:graphicData>
            </a:graphic>
          </wp:inline>
        </w:drawing>
      </w:r>
    </w:p>
    <w:p w:rsidR="00A27296" w:rsidRDefault="00E95BBD" w:rsidP="00A27296">
      <w:pPr>
        <w:jc w:val="both"/>
        <w:rPr>
          <w:rFonts w:asciiTheme="minorHAnsi" w:hAnsiTheme="minorHAnsi" w:cstheme="minorHAnsi"/>
          <w:b/>
        </w:rPr>
      </w:pPr>
      <w:r w:rsidRPr="00E95BBD">
        <w:rPr>
          <w:rFonts w:asciiTheme="minorHAnsi" w:hAnsiTheme="minorHAnsi" w:cstheme="minorHAnsi"/>
          <w:b/>
          <w:noProof/>
        </w:rPr>
        <w:drawing>
          <wp:inline distT="0" distB="0" distL="0" distR="0">
            <wp:extent cx="6467475" cy="3571875"/>
            <wp:effectExtent l="19050" t="0" r="9525" b="0"/>
            <wp:docPr id="502"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7" cstate="print"/>
                    <a:stretch>
                      <a:fillRect/>
                    </a:stretch>
                  </pic:blipFill>
                  <pic:spPr>
                    <a:xfrm>
                      <a:off x="0" y="0"/>
                      <a:ext cx="6466668" cy="3571429"/>
                    </a:xfrm>
                    <a:prstGeom prst="rect">
                      <a:avLst/>
                    </a:prstGeom>
                  </pic:spPr>
                </pic:pic>
              </a:graphicData>
            </a:graphic>
          </wp:inline>
        </w:drawing>
      </w:r>
    </w:p>
    <w:p w:rsidR="00A27296" w:rsidRPr="00EB79BC" w:rsidRDefault="00A27296" w:rsidP="00A27296">
      <w:pPr>
        <w:jc w:val="both"/>
        <w:rPr>
          <w:rFonts w:asciiTheme="minorHAnsi" w:hAnsiTheme="minorHAnsi" w:cstheme="minorHAnsi"/>
          <w:sz w:val="22"/>
          <w:szCs w:val="22"/>
        </w:rPr>
      </w:pPr>
    </w:p>
    <w:p w:rsidR="00A22C2B" w:rsidRDefault="00A22C2B" w:rsidP="00A22C2B">
      <w:pPr>
        <w:jc w:val="both"/>
        <w:rPr>
          <w:rFonts w:asciiTheme="minorHAnsi" w:hAnsiTheme="minorHAnsi" w:cstheme="minorHAnsi"/>
          <w:sz w:val="22"/>
          <w:szCs w:val="22"/>
        </w:rPr>
      </w:pPr>
      <w:r>
        <w:rPr>
          <w:rFonts w:asciiTheme="minorHAnsi" w:hAnsiTheme="minorHAnsi" w:cstheme="minorHAnsi"/>
          <w:sz w:val="22"/>
          <w:szCs w:val="22"/>
        </w:rPr>
        <w:t>Comme pour les exercices précédents, l</w:t>
      </w:r>
      <w:r w:rsidRPr="0093300F">
        <w:rPr>
          <w:rFonts w:asciiTheme="minorHAnsi" w:hAnsiTheme="minorHAnsi" w:cstheme="minorHAnsi"/>
          <w:sz w:val="22"/>
          <w:szCs w:val="22"/>
        </w:rPr>
        <w:t>e</w:t>
      </w:r>
      <w:r>
        <w:rPr>
          <w:rFonts w:asciiTheme="minorHAnsi" w:hAnsiTheme="minorHAnsi" w:cstheme="minorHAnsi"/>
          <w:sz w:val="22"/>
          <w:szCs w:val="22"/>
        </w:rPr>
        <w:t xml:space="preserve"> montant moyen par projet d’investissement est élevé mais diminue légèrement, passant de </w:t>
      </w:r>
      <w:r w:rsidR="00E641BC">
        <w:rPr>
          <w:rFonts w:asciiTheme="minorHAnsi" w:hAnsiTheme="minorHAnsi" w:cstheme="minorHAnsi"/>
          <w:sz w:val="22"/>
          <w:szCs w:val="22"/>
        </w:rPr>
        <w:t>3 959 173</w:t>
      </w:r>
      <w:r>
        <w:rPr>
          <w:rFonts w:asciiTheme="minorHAnsi" w:hAnsiTheme="minorHAnsi" w:cstheme="minorHAnsi"/>
          <w:sz w:val="22"/>
          <w:szCs w:val="22"/>
        </w:rPr>
        <w:t xml:space="preserve"> MRO en 2011 à </w:t>
      </w:r>
      <w:r w:rsidR="00E641BC">
        <w:rPr>
          <w:rFonts w:asciiTheme="minorHAnsi" w:hAnsiTheme="minorHAnsi" w:cstheme="minorHAnsi"/>
          <w:sz w:val="22"/>
          <w:szCs w:val="22"/>
        </w:rPr>
        <w:t>3 587 425</w:t>
      </w:r>
      <w:r>
        <w:rPr>
          <w:rFonts w:asciiTheme="minorHAnsi" w:hAnsiTheme="minorHAnsi" w:cstheme="minorHAnsi"/>
          <w:sz w:val="22"/>
          <w:szCs w:val="22"/>
        </w:rPr>
        <w:t xml:space="preserve"> MRO en 2012. En comparaison des moyennes régionale et nat</w:t>
      </w:r>
      <w:r w:rsidR="007C248F">
        <w:rPr>
          <w:rFonts w:asciiTheme="minorHAnsi" w:hAnsiTheme="minorHAnsi" w:cstheme="minorHAnsi"/>
          <w:sz w:val="22"/>
          <w:szCs w:val="22"/>
        </w:rPr>
        <w:t>ionale, ce montant est véritablement</w:t>
      </w:r>
      <w:r>
        <w:rPr>
          <w:rFonts w:asciiTheme="minorHAnsi" w:hAnsiTheme="minorHAnsi" w:cstheme="minorHAnsi"/>
          <w:sz w:val="22"/>
          <w:szCs w:val="22"/>
        </w:rPr>
        <w:t xml:space="preserve"> satisfaisant.</w:t>
      </w:r>
    </w:p>
    <w:p w:rsidR="00A22C2B" w:rsidRDefault="00A22C2B" w:rsidP="00A22C2B">
      <w:pPr>
        <w:jc w:val="both"/>
        <w:rPr>
          <w:rFonts w:asciiTheme="minorHAnsi" w:hAnsiTheme="minorHAnsi" w:cstheme="minorHAnsi"/>
          <w:sz w:val="22"/>
          <w:szCs w:val="22"/>
        </w:rPr>
      </w:pPr>
      <w:r>
        <w:rPr>
          <w:rFonts w:asciiTheme="minorHAnsi" w:hAnsiTheme="minorHAnsi" w:cstheme="minorHAnsi"/>
          <w:sz w:val="22"/>
          <w:szCs w:val="22"/>
        </w:rPr>
        <w:t>En termes de priorités d’investissement, le secteur des</w:t>
      </w:r>
      <w:r w:rsidRPr="002E6CD9">
        <w:rPr>
          <w:rFonts w:asciiTheme="minorHAnsi" w:hAnsiTheme="minorHAnsi" w:cstheme="minorHAnsi"/>
          <w:sz w:val="22"/>
          <w:szCs w:val="22"/>
        </w:rPr>
        <w:t xml:space="preserve"> </w:t>
      </w:r>
      <w:r>
        <w:rPr>
          <w:rFonts w:asciiTheme="minorHAnsi" w:hAnsiTheme="minorHAnsi" w:cstheme="minorHAnsi"/>
          <w:sz w:val="22"/>
          <w:szCs w:val="22"/>
        </w:rPr>
        <w:t>bâtiments communaux vient en première pos</w:t>
      </w:r>
      <w:r w:rsidR="00E641BC">
        <w:rPr>
          <w:rFonts w:asciiTheme="minorHAnsi" w:hAnsiTheme="minorHAnsi" w:cstheme="minorHAnsi"/>
          <w:sz w:val="22"/>
          <w:szCs w:val="22"/>
        </w:rPr>
        <w:t>ition avec 43,96% des engagements, pour 6</w:t>
      </w:r>
      <w:r>
        <w:rPr>
          <w:rFonts w:asciiTheme="minorHAnsi" w:hAnsiTheme="minorHAnsi" w:cstheme="minorHAnsi"/>
          <w:sz w:val="22"/>
          <w:szCs w:val="22"/>
        </w:rPr>
        <w:t xml:space="preserve"> pr</w:t>
      </w:r>
      <w:r w:rsidR="00E641BC">
        <w:rPr>
          <w:rFonts w:asciiTheme="minorHAnsi" w:hAnsiTheme="minorHAnsi" w:cstheme="minorHAnsi"/>
          <w:sz w:val="22"/>
          <w:szCs w:val="22"/>
        </w:rPr>
        <w:t>ojets se répartissant 25 232 700</w:t>
      </w:r>
      <w:r>
        <w:rPr>
          <w:rFonts w:asciiTheme="minorHAnsi" w:hAnsiTheme="minorHAnsi" w:cstheme="minorHAnsi"/>
          <w:sz w:val="22"/>
          <w:szCs w:val="22"/>
        </w:rPr>
        <w:t xml:space="preserve"> MRO.</w:t>
      </w:r>
    </w:p>
    <w:p w:rsidR="00A22C2B" w:rsidRPr="0093300F" w:rsidRDefault="00A22C2B" w:rsidP="00A22C2B">
      <w:pPr>
        <w:jc w:val="both"/>
        <w:rPr>
          <w:rFonts w:asciiTheme="minorHAnsi" w:hAnsiTheme="minorHAnsi" w:cstheme="minorHAnsi"/>
          <w:sz w:val="22"/>
          <w:szCs w:val="22"/>
        </w:rPr>
      </w:pPr>
      <w:r>
        <w:rPr>
          <w:rFonts w:asciiTheme="minorHAnsi" w:hAnsiTheme="minorHAnsi" w:cstheme="minorHAnsi"/>
          <w:sz w:val="22"/>
          <w:szCs w:val="22"/>
        </w:rPr>
        <w:t>Ensuite, vient en deuxième po</w:t>
      </w:r>
      <w:r w:rsidR="00E641BC">
        <w:rPr>
          <w:rFonts w:asciiTheme="minorHAnsi" w:hAnsiTheme="minorHAnsi" w:cstheme="minorHAnsi"/>
          <w:sz w:val="22"/>
          <w:szCs w:val="22"/>
        </w:rPr>
        <w:t>sition le secteur de l’assainissement avec 16,89</w:t>
      </w:r>
      <w:r>
        <w:rPr>
          <w:rFonts w:asciiTheme="minorHAnsi" w:hAnsiTheme="minorHAnsi" w:cstheme="minorHAnsi"/>
          <w:sz w:val="22"/>
          <w:szCs w:val="22"/>
        </w:rPr>
        <w:t xml:space="preserve">% </w:t>
      </w:r>
      <w:r w:rsidR="00E641BC">
        <w:rPr>
          <w:rFonts w:asciiTheme="minorHAnsi" w:hAnsiTheme="minorHAnsi" w:cstheme="minorHAnsi"/>
          <w:sz w:val="22"/>
          <w:szCs w:val="22"/>
        </w:rPr>
        <w:t>des engagements, soit 9 694 009</w:t>
      </w:r>
      <w:r>
        <w:rPr>
          <w:rFonts w:asciiTheme="minorHAnsi" w:hAnsiTheme="minorHAnsi" w:cstheme="minorHAnsi"/>
          <w:sz w:val="22"/>
          <w:szCs w:val="22"/>
        </w:rPr>
        <w:t xml:space="preserve"> MRO pour 1 projet.</w:t>
      </w:r>
    </w:p>
    <w:p w:rsidR="00A22C2B" w:rsidRDefault="00A22C2B" w:rsidP="00A22C2B">
      <w:pPr>
        <w:jc w:val="both"/>
        <w:rPr>
          <w:rFonts w:asciiTheme="minorHAnsi" w:hAnsiTheme="minorHAnsi" w:cstheme="minorHAnsi"/>
          <w:sz w:val="22"/>
          <w:szCs w:val="22"/>
        </w:rPr>
      </w:pPr>
      <w:r>
        <w:rPr>
          <w:rFonts w:asciiTheme="minorHAnsi" w:hAnsiTheme="minorHAnsi" w:cstheme="minorHAnsi"/>
          <w:sz w:val="22"/>
          <w:szCs w:val="22"/>
        </w:rPr>
        <w:t>En troisième pos</w:t>
      </w:r>
      <w:r w:rsidR="00E641BC">
        <w:rPr>
          <w:rFonts w:asciiTheme="minorHAnsi" w:hAnsiTheme="minorHAnsi" w:cstheme="minorHAnsi"/>
          <w:sz w:val="22"/>
          <w:szCs w:val="22"/>
        </w:rPr>
        <w:t xml:space="preserve">ition, le </w:t>
      </w:r>
      <w:proofErr w:type="spellStart"/>
      <w:r w:rsidR="00E641BC">
        <w:rPr>
          <w:rFonts w:asciiTheme="minorHAnsi" w:hAnsiTheme="minorHAnsi" w:cstheme="minorHAnsi"/>
          <w:sz w:val="22"/>
          <w:szCs w:val="22"/>
        </w:rPr>
        <w:t>socio-culturel</w:t>
      </w:r>
      <w:proofErr w:type="spellEnd"/>
      <w:r w:rsidR="00E641BC">
        <w:rPr>
          <w:rFonts w:asciiTheme="minorHAnsi" w:hAnsiTheme="minorHAnsi" w:cstheme="minorHAnsi"/>
          <w:sz w:val="22"/>
          <w:szCs w:val="22"/>
        </w:rPr>
        <w:t xml:space="preserve"> avec 16,89</w:t>
      </w:r>
      <w:r>
        <w:rPr>
          <w:rFonts w:asciiTheme="minorHAnsi" w:hAnsiTheme="minorHAnsi" w:cstheme="minorHAnsi"/>
          <w:sz w:val="22"/>
          <w:szCs w:val="22"/>
        </w:rPr>
        <w:t xml:space="preserve">% </w:t>
      </w:r>
      <w:r w:rsidR="00E641BC">
        <w:rPr>
          <w:rFonts w:asciiTheme="minorHAnsi" w:hAnsiTheme="minorHAnsi" w:cstheme="minorHAnsi"/>
          <w:sz w:val="22"/>
          <w:szCs w:val="22"/>
        </w:rPr>
        <w:t>des engagements, soit 7 000 000 MRO pour 1 projet</w:t>
      </w:r>
      <w:r>
        <w:rPr>
          <w:rFonts w:asciiTheme="minorHAnsi" w:hAnsiTheme="minorHAnsi" w:cstheme="minorHAnsi"/>
          <w:sz w:val="22"/>
          <w:szCs w:val="22"/>
        </w:rPr>
        <w:t>.</w:t>
      </w:r>
    </w:p>
    <w:p w:rsidR="00A22C2B" w:rsidRDefault="00A22C2B" w:rsidP="00A22C2B">
      <w:pPr>
        <w:jc w:val="both"/>
        <w:rPr>
          <w:rFonts w:asciiTheme="minorHAnsi" w:hAnsiTheme="minorHAnsi" w:cstheme="minorHAnsi"/>
          <w:sz w:val="22"/>
          <w:szCs w:val="22"/>
        </w:rPr>
      </w:pPr>
    </w:p>
    <w:p w:rsidR="000A2958" w:rsidRDefault="000A2958">
      <w:pPr>
        <w:spacing w:after="200" w:line="276" w:lineRule="auto"/>
        <w:rPr>
          <w:rFonts w:asciiTheme="minorHAnsi" w:hAnsiTheme="minorHAnsi" w:cstheme="minorHAnsi"/>
        </w:rPr>
      </w:pPr>
      <w:r>
        <w:rPr>
          <w:rFonts w:asciiTheme="minorHAnsi" w:hAnsiTheme="minorHAnsi" w:cstheme="minorHAnsi"/>
        </w:rPr>
        <w:br w:type="page"/>
      </w:r>
    </w:p>
    <w:p w:rsidR="00A27296" w:rsidRPr="00093D47" w:rsidRDefault="00A27296" w:rsidP="00A27296">
      <w:pPr>
        <w:rPr>
          <w:rFonts w:asciiTheme="minorHAnsi" w:hAnsiTheme="minorHAnsi" w:cstheme="minorHAnsi"/>
          <w:b/>
          <w:smallCaps/>
          <w:sz w:val="32"/>
          <w:szCs w:val="32"/>
        </w:rPr>
      </w:pPr>
      <w:r>
        <w:rPr>
          <w:rFonts w:asciiTheme="minorHAnsi" w:hAnsiTheme="minorHAnsi" w:cstheme="minorHAnsi"/>
          <w:b/>
          <w:smallCaps/>
          <w:sz w:val="32"/>
          <w:szCs w:val="32"/>
        </w:rPr>
        <w:t>Constats, Propositions et Recommandations</w:t>
      </w:r>
    </w:p>
    <w:p w:rsidR="00A27296" w:rsidRPr="003A4E73" w:rsidRDefault="00F9433D" w:rsidP="00A27296">
      <w:pPr>
        <w:shd w:val="clear" w:color="auto" w:fill="76923C" w:themeFill="accent3" w:themeFillShade="BF"/>
        <w:rPr>
          <w:rFonts w:asciiTheme="minorHAnsi" w:hAnsiTheme="minorHAnsi" w:cstheme="minorHAnsi"/>
          <w:sz w:val="16"/>
          <w:szCs w:val="16"/>
        </w:rPr>
      </w:pPr>
      <w:r w:rsidRPr="00F9433D">
        <w:rPr>
          <w:rFonts w:asciiTheme="minorHAnsi" w:hAnsiTheme="minorHAnsi" w:cstheme="minorHAnsi"/>
          <w:b/>
          <w:color w:val="76923C" w:themeColor="accent3" w:themeShade="BF"/>
          <w:sz w:val="16"/>
          <w:szCs w:val="16"/>
        </w:rPr>
        <w:pict>
          <v:rect id="_x0000_i1029" style="width:0;height:1.5pt" o:hralign="center" o:hrstd="t" o:hr="t" fillcolor="#a0a0a0" stroked="f"/>
        </w:pict>
      </w:r>
    </w:p>
    <w:p w:rsidR="007254F4" w:rsidRDefault="007254F4" w:rsidP="00A27296">
      <w:pPr>
        <w:jc w:val="both"/>
        <w:rPr>
          <w:rFonts w:asciiTheme="minorHAnsi" w:hAnsiTheme="minorHAnsi" w:cstheme="minorHAnsi"/>
          <w:sz w:val="22"/>
          <w:szCs w:val="22"/>
        </w:rPr>
      </w:pPr>
    </w:p>
    <w:p w:rsidR="00487BDF" w:rsidRDefault="00487BDF" w:rsidP="00A27296">
      <w:pPr>
        <w:jc w:val="both"/>
        <w:rPr>
          <w:rFonts w:asciiTheme="minorHAnsi" w:hAnsiTheme="minorHAnsi" w:cstheme="minorHAnsi"/>
          <w:sz w:val="22"/>
          <w:szCs w:val="22"/>
        </w:rPr>
      </w:pPr>
    </w:p>
    <w:p w:rsidR="00A27296" w:rsidRPr="00757E75" w:rsidRDefault="00A27296" w:rsidP="002F04D1">
      <w:pPr>
        <w:pStyle w:val="Paragraphedeliste"/>
        <w:numPr>
          <w:ilvl w:val="0"/>
          <w:numId w:val="6"/>
        </w:numPr>
        <w:jc w:val="both"/>
        <w:rPr>
          <w:rFonts w:asciiTheme="minorHAnsi" w:hAnsiTheme="minorHAnsi" w:cstheme="minorHAnsi"/>
          <w:b/>
        </w:rPr>
      </w:pPr>
      <w:r w:rsidRPr="00757E75">
        <w:rPr>
          <w:rFonts w:asciiTheme="minorHAnsi" w:hAnsiTheme="minorHAnsi" w:cstheme="minorHAnsi"/>
          <w:b/>
        </w:rPr>
        <w:t>Constats</w:t>
      </w:r>
    </w:p>
    <w:p w:rsidR="00301848" w:rsidRDefault="00301848" w:rsidP="00301848">
      <w:pPr>
        <w:jc w:val="both"/>
        <w:rPr>
          <w:rFonts w:asciiTheme="minorHAnsi" w:hAnsiTheme="minorHAnsi" w:cstheme="minorHAnsi"/>
          <w:b/>
          <w:sz w:val="22"/>
          <w:szCs w:val="22"/>
        </w:rPr>
      </w:pPr>
    </w:p>
    <w:p w:rsidR="00301848" w:rsidRDefault="00301848" w:rsidP="00301848">
      <w:pPr>
        <w:jc w:val="both"/>
        <w:rPr>
          <w:rFonts w:asciiTheme="minorHAnsi" w:hAnsiTheme="minorHAnsi" w:cstheme="minorHAnsi"/>
          <w:b/>
          <w:sz w:val="22"/>
          <w:szCs w:val="22"/>
        </w:rPr>
      </w:pPr>
      <w:r>
        <w:rPr>
          <w:rFonts w:asciiTheme="minorHAnsi" w:hAnsiTheme="minorHAnsi" w:cstheme="minorHAnsi"/>
          <w:b/>
          <w:sz w:val="22"/>
          <w:szCs w:val="22"/>
        </w:rPr>
        <w:t xml:space="preserve">De la </w:t>
      </w:r>
      <w:r w:rsidR="00BE77E2">
        <w:rPr>
          <w:rFonts w:asciiTheme="minorHAnsi" w:hAnsiTheme="minorHAnsi" w:cstheme="minorHAnsi"/>
          <w:b/>
          <w:sz w:val="22"/>
          <w:szCs w:val="22"/>
        </w:rPr>
        <w:t>nécessité d’</w:t>
      </w:r>
      <w:r w:rsidR="00EB3D6B">
        <w:rPr>
          <w:rFonts w:asciiTheme="minorHAnsi" w:hAnsiTheme="minorHAnsi" w:cstheme="minorHAnsi"/>
          <w:b/>
          <w:sz w:val="22"/>
          <w:szCs w:val="22"/>
        </w:rPr>
        <w:t>une approche p</w:t>
      </w:r>
      <w:r w:rsidR="00937D53">
        <w:rPr>
          <w:rFonts w:asciiTheme="minorHAnsi" w:hAnsiTheme="minorHAnsi" w:cstheme="minorHAnsi"/>
          <w:b/>
          <w:sz w:val="22"/>
          <w:szCs w:val="22"/>
        </w:rPr>
        <w:t xml:space="preserve">lus </w:t>
      </w:r>
      <w:r w:rsidR="00EB3D6B">
        <w:rPr>
          <w:rFonts w:asciiTheme="minorHAnsi" w:hAnsiTheme="minorHAnsi" w:cstheme="minorHAnsi"/>
          <w:b/>
          <w:sz w:val="22"/>
          <w:szCs w:val="22"/>
        </w:rPr>
        <w:t>axée sur la commune</w:t>
      </w:r>
      <w:r w:rsidR="00D747DF">
        <w:rPr>
          <w:rFonts w:asciiTheme="minorHAnsi" w:hAnsiTheme="minorHAnsi" w:cstheme="minorHAnsi"/>
          <w:b/>
          <w:sz w:val="22"/>
          <w:szCs w:val="22"/>
        </w:rPr>
        <w:t xml:space="preserve"> et ses stratégies d’investissement :</w:t>
      </w:r>
    </w:p>
    <w:p w:rsidR="00C610C0" w:rsidRDefault="00C610C0" w:rsidP="00301848">
      <w:pPr>
        <w:jc w:val="both"/>
        <w:rPr>
          <w:rFonts w:asciiTheme="minorHAnsi" w:hAnsiTheme="minorHAnsi" w:cstheme="minorHAnsi"/>
          <w:sz w:val="22"/>
          <w:szCs w:val="22"/>
        </w:rPr>
      </w:pPr>
    </w:p>
    <w:p w:rsidR="000B0F8B" w:rsidRDefault="00561E11" w:rsidP="00301848">
      <w:pPr>
        <w:jc w:val="both"/>
        <w:rPr>
          <w:rFonts w:asciiTheme="minorHAnsi" w:hAnsiTheme="minorHAnsi" w:cstheme="minorHAnsi"/>
          <w:sz w:val="22"/>
          <w:szCs w:val="22"/>
        </w:rPr>
      </w:pPr>
      <w:r>
        <w:rPr>
          <w:rFonts w:asciiTheme="minorHAnsi" w:hAnsiTheme="minorHAnsi" w:cstheme="minorHAnsi"/>
          <w:sz w:val="22"/>
          <w:szCs w:val="22"/>
        </w:rPr>
        <w:t>Chaque rapport général et financier, et cela se vérifie plus particulièrement depuis 2009, sur l’utilisation des crédits d’équipement du Fonds Régional de Développement a contribué d’année en année à améliorer les outils de mesure et d’évaluation</w:t>
      </w:r>
      <w:r w:rsidR="000B0F8B">
        <w:rPr>
          <w:rFonts w:asciiTheme="minorHAnsi" w:hAnsiTheme="minorHAnsi" w:cstheme="minorHAnsi"/>
          <w:sz w:val="22"/>
          <w:szCs w:val="22"/>
        </w:rPr>
        <w:t>.</w:t>
      </w:r>
    </w:p>
    <w:p w:rsidR="000B0F8B" w:rsidRDefault="00561E11" w:rsidP="00301848">
      <w:pPr>
        <w:jc w:val="both"/>
        <w:rPr>
          <w:rFonts w:asciiTheme="minorHAnsi" w:hAnsiTheme="minorHAnsi" w:cstheme="minorHAnsi"/>
          <w:sz w:val="22"/>
          <w:szCs w:val="22"/>
        </w:rPr>
      </w:pPr>
      <w:r>
        <w:rPr>
          <w:rFonts w:asciiTheme="minorHAnsi" w:hAnsiTheme="minorHAnsi" w:cstheme="minorHAnsi"/>
          <w:sz w:val="22"/>
          <w:szCs w:val="22"/>
        </w:rPr>
        <w:t xml:space="preserve">Ainsi, </w:t>
      </w:r>
      <w:r w:rsidR="00C610C0">
        <w:rPr>
          <w:rFonts w:asciiTheme="minorHAnsi" w:hAnsiTheme="minorHAnsi" w:cstheme="minorHAnsi"/>
          <w:sz w:val="22"/>
          <w:szCs w:val="22"/>
        </w:rPr>
        <w:t>l’analyse s’est progressivement affinée</w:t>
      </w:r>
      <w:r w:rsidR="00D747DF">
        <w:rPr>
          <w:rFonts w:asciiTheme="minorHAnsi" w:hAnsiTheme="minorHAnsi" w:cstheme="minorHAnsi"/>
          <w:sz w:val="22"/>
          <w:szCs w:val="22"/>
        </w:rPr>
        <w:t xml:space="preserve"> depuis la présentation</w:t>
      </w:r>
      <w:r w:rsidR="008F701D">
        <w:rPr>
          <w:rFonts w:asciiTheme="minorHAnsi" w:hAnsiTheme="minorHAnsi" w:cstheme="minorHAnsi"/>
          <w:sz w:val="22"/>
          <w:szCs w:val="22"/>
        </w:rPr>
        <w:t>,</w:t>
      </w:r>
      <w:r w:rsidR="00D747DF">
        <w:rPr>
          <w:rFonts w:asciiTheme="minorHAnsi" w:hAnsiTheme="minorHAnsi" w:cstheme="minorHAnsi"/>
          <w:sz w:val="22"/>
          <w:szCs w:val="22"/>
        </w:rPr>
        <w:t xml:space="preserve"> </w:t>
      </w:r>
      <w:r w:rsidR="008F701D">
        <w:rPr>
          <w:rFonts w:asciiTheme="minorHAnsi" w:hAnsiTheme="minorHAnsi" w:cstheme="minorHAnsi"/>
          <w:sz w:val="22"/>
          <w:szCs w:val="22"/>
        </w:rPr>
        <w:t xml:space="preserve">dès 2009, </w:t>
      </w:r>
      <w:r w:rsidR="00D747DF">
        <w:rPr>
          <w:rFonts w:asciiTheme="minorHAnsi" w:hAnsiTheme="minorHAnsi" w:cstheme="minorHAnsi"/>
          <w:sz w:val="22"/>
          <w:szCs w:val="22"/>
        </w:rPr>
        <w:t>d’un bilan de l’utilisation des crédits du FRD sous sa forme actuelle</w:t>
      </w:r>
      <w:r w:rsidR="00C610C0">
        <w:rPr>
          <w:rFonts w:asciiTheme="minorHAnsi" w:hAnsiTheme="minorHAnsi" w:cstheme="minorHAnsi"/>
          <w:sz w:val="22"/>
          <w:szCs w:val="22"/>
        </w:rPr>
        <w:t xml:space="preserve">, passant du niveau national à la </w:t>
      </w:r>
      <w:r w:rsidR="001246CD">
        <w:rPr>
          <w:rFonts w:asciiTheme="minorHAnsi" w:hAnsiTheme="minorHAnsi" w:cstheme="minorHAnsi"/>
          <w:sz w:val="22"/>
          <w:szCs w:val="22"/>
        </w:rPr>
        <w:t>Wilaya</w:t>
      </w:r>
      <w:r w:rsidR="00C610C0">
        <w:rPr>
          <w:rFonts w:asciiTheme="minorHAnsi" w:hAnsiTheme="minorHAnsi" w:cstheme="minorHAnsi"/>
          <w:sz w:val="22"/>
          <w:szCs w:val="22"/>
        </w:rPr>
        <w:t xml:space="preserve"> puis à la </w:t>
      </w:r>
      <w:proofErr w:type="spellStart"/>
      <w:r w:rsidR="001246CD">
        <w:rPr>
          <w:rFonts w:asciiTheme="minorHAnsi" w:hAnsiTheme="minorHAnsi" w:cstheme="minorHAnsi"/>
          <w:sz w:val="22"/>
          <w:szCs w:val="22"/>
        </w:rPr>
        <w:t>Moughataa</w:t>
      </w:r>
      <w:proofErr w:type="spellEnd"/>
      <w:r w:rsidR="00C610C0">
        <w:rPr>
          <w:rFonts w:asciiTheme="minorHAnsi" w:hAnsiTheme="minorHAnsi" w:cstheme="minorHAnsi"/>
          <w:sz w:val="22"/>
          <w:szCs w:val="22"/>
        </w:rPr>
        <w:t>.</w:t>
      </w:r>
    </w:p>
    <w:p w:rsidR="00BE77E2" w:rsidRDefault="00C610C0" w:rsidP="00301848">
      <w:pPr>
        <w:jc w:val="both"/>
        <w:rPr>
          <w:rFonts w:asciiTheme="minorHAnsi" w:hAnsiTheme="minorHAnsi" w:cstheme="minorHAnsi"/>
          <w:sz w:val="22"/>
          <w:szCs w:val="22"/>
        </w:rPr>
      </w:pPr>
      <w:r>
        <w:rPr>
          <w:rFonts w:asciiTheme="minorHAnsi" w:hAnsiTheme="minorHAnsi" w:cstheme="minorHAnsi"/>
          <w:sz w:val="22"/>
          <w:szCs w:val="22"/>
        </w:rPr>
        <w:t xml:space="preserve">Nombre de constatations faites au cours de la préparation de ce rapport, notamment en matière d’évaluation des projets et d’absorption des crédits, aboutissent à la conclusion suivante : </w:t>
      </w:r>
      <w:r w:rsidR="008F701D">
        <w:rPr>
          <w:rFonts w:asciiTheme="minorHAnsi" w:hAnsiTheme="minorHAnsi" w:cstheme="minorHAnsi"/>
          <w:sz w:val="22"/>
          <w:szCs w:val="22"/>
        </w:rPr>
        <w:t>il faut</w:t>
      </w:r>
      <w:r w:rsidR="000B0F8B">
        <w:rPr>
          <w:rFonts w:asciiTheme="minorHAnsi" w:hAnsiTheme="minorHAnsi" w:cstheme="minorHAnsi"/>
          <w:sz w:val="22"/>
          <w:szCs w:val="22"/>
        </w:rPr>
        <w:t xml:space="preserve"> nécessairement pousser</w:t>
      </w:r>
      <w:r>
        <w:rPr>
          <w:rFonts w:asciiTheme="minorHAnsi" w:hAnsiTheme="minorHAnsi" w:cstheme="minorHAnsi"/>
          <w:sz w:val="22"/>
          <w:szCs w:val="22"/>
        </w:rPr>
        <w:t xml:space="preserve"> notre analyse au niveau de la commune, collectivité territoriale à laquelle est dédié ce Fonds.</w:t>
      </w:r>
    </w:p>
    <w:p w:rsidR="00C610C0" w:rsidRDefault="00C610C0" w:rsidP="00301848">
      <w:pPr>
        <w:jc w:val="both"/>
        <w:rPr>
          <w:rFonts w:asciiTheme="minorHAnsi" w:hAnsiTheme="minorHAnsi" w:cstheme="minorHAnsi"/>
          <w:sz w:val="22"/>
          <w:szCs w:val="22"/>
        </w:rPr>
      </w:pPr>
      <w:r>
        <w:rPr>
          <w:rFonts w:asciiTheme="minorHAnsi" w:hAnsiTheme="minorHAnsi" w:cstheme="minorHAnsi"/>
          <w:sz w:val="22"/>
          <w:szCs w:val="22"/>
        </w:rPr>
        <w:t xml:space="preserve">Le regroupement par </w:t>
      </w:r>
      <w:r w:rsidR="001246CD">
        <w:rPr>
          <w:rFonts w:asciiTheme="minorHAnsi" w:hAnsiTheme="minorHAnsi" w:cstheme="minorHAnsi"/>
          <w:sz w:val="22"/>
          <w:szCs w:val="22"/>
        </w:rPr>
        <w:t>Wilaya</w:t>
      </w:r>
      <w:r>
        <w:rPr>
          <w:rFonts w:asciiTheme="minorHAnsi" w:hAnsiTheme="minorHAnsi" w:cstheme="minorHAnsi"/>
          <w:sz w:val="22"/>
          <w:szCs w:val="22"/>
        </w:rPr>
        <w:t xml:space="preserve"> ou </w:t>
      </w:r>
      <w:proofErr w:type="spellStart"/>
      <w:r w:rsidR="001246CD">
        <w:rPr>
          <w:rFonts w:asciiTheme="minorHAnsi" w:hAnsiTheme="minorHAnsi" w:cstheme="minorHAnsi"/>
          <w:sz w:val="22"/>
          <w:szCs w:val="22"/>
        </w:rPr>
        <w:t>Moughataa</w:t>
      </w:r>
      <w:proofErr w:type="spellEnd"/>
      <w:r>
        <w:rPr>
          <w:rFonts w:asciiTheme="minorHAnsi" w:hAnsiTheme="minorHAnsi" w:cstheme="minorHAnsi"/>
          <w:sz w:val="22"/>
          <w:szCs w:val="22"/>
        </w:rPr>
        <w:t xml:space="preserve"> peut se justifier pour établir des tendance</w:t>
      </w:r>
      <w:r w:rsidR="008E1360">
        <w:rPr>
          <w:rFonts w:asciiTheme="minorHAnsi" w:hAnsiTheme="minorHAnsi" w:cstheme="minorHAnsi"/>
          <w:sz w:val="22"/>
          <w:szCs w:val="22"/>
        </w:rPr>
        <w:t>s globales, mais les</w:t>
      </w:r>
      <w:r>
        <w:rPr>
          <w:rFonts w:asciiTheme="minorHAnsi" w:hAnsiTheme="minorHAnsi" w:cstheme="minorHAnsi"/>
          <w:sz w:val="22"/>
          <w:szCs w:val="22"/>
        </w:rPr>
        <w:t xml:space="preserve"> questions </w:t>
      </w:r>
      <w:r w:rsidR="008E1360">
        <w:rPr>
          <w:rFonts w:asciiTheme="minorHAnsi" w:hAnsiTheme="minorHAnsi" w:cstheme="minorHAnsi"/>
          <w:sz w:val="22"/>
          <w:szCs w:val="22"/>
        </w:rPr>
        <w:t xml:space="preserve">récurrentes </w:t>
      </w:r>
      <w:r>
        <w:rPr>
          <w:rFonts w:asciiTheme="minorHAnsi" w:hAnsiTheme="minorHAnsi" w:cstheme="minorHAnsi"/>
          <w:sz w:val="22"/>
          <w:szCs w:val="22"/>
        </w:rPr>
        <w:t xml:space="preserve">soulevées notamment en matière d’absorption des crédits (stratégie délibérée de préservation des crédits en vue </w:t>
      </w:r>
      <w:r w:rsidR="005A1EAE">
        <w:rPr>
          <w:rFonts w:asciiTheme="minorHAnsi" w:hAnsiTheme="minorHAnsi" w:cstheme="minorHAnsi"/>
          <w:sz w:val="22"/>
          <w:szCs w:val="22"/>
        </w:rPr>
        <w:t>d’entreprendre des opérations d’investissement de plus grande ampleur ou difficultés dues aux déficiences en matière de maîtrise d’ouvrage</w:t>
      </w:r>
      <w:r w:rsidR="008F701D">
        <w:rPr>
          <w:rFonts w:asciiTheme="minorHAnsi" w:hAnsiTheme="minorHAnsi" w:cstheme="minorHAnsi"/>
          <w:sz w:val="22"/>
          <w:szCs w:val="22"/>
        </w:rPr>
        <w:t>, voire absence de politique d’investissement …</w:t>
      </w:r>
      <w:r w:rsidR="005A1EAE">
        <w:rPr>
          <w:rFonts w:asciiTheme="minorHAnsi" w:hAnsiTheme="minorHAnsi" w:cstheme="minorHAnsi"/>
          <w:sz w:val="22"/>
          <w:szCs w:val="22"/>
        </w:rPr>
        <w:t>) ou en matière de parcellisation/dispersion de l’investissement ne pourront être totalement ou partiellement résolues que lorsqu’on aura remis au centre du dispositif d’analyse et d’évaluation la commune.</w:t>
      </w:r>
    </w:p>
    <w:p w:rsidR="000B0F8B" w:rsidRDefault="000B0F8B" w:rsidP="00301848">
      <w:pPr>
        <w:jc w:val="both"/>
        <w:rPr>
          <w:rFonts w:asciiTheme="minorHAnsi" w:hAnsiTheme="minorHAnsi" w:cstheme="minorHAnsi"/>
          <w:sz w:val="22"/>
          <w:szCs w:val="22"/>
        </w:rPr>
      </w:pPr>
    </w:p>
    <w:p w:rsidR="005A1EAE" w:rsidRDefault="005A1EAE" w:rsidP="00301848">
      <w:pPr>
        <w:jc w:val="both"/>
        <w:rPr>
          <w:rFonts w:asciiTheme="minorHAnsi" w:hAnsiTheme="minorHAnsi" w:cstheme="minorHAnsi"/>
          <w:sz w:val="22"/>
          <w:szCs w:val="22"/>
        </w:rPr>
      </w:pPr>
      <w:r>
        <w:rPr>
          <w:rFonts w:asciiTheme="minorHAnsi" w:hAnsiTheme="minorHAnsi" w:cstheme="minorHAnsi"/>
          <w:sz w:val="22"/>
          <w:szCs w:val="22"/>
        </w:rPr>
        <w:t>Pour ce faire, des efforts conséquents devront être déployés pour instaurer une relation d’échanges permanents avec les communes sur le suivi de l’utilisation du FRD. L’approche qualitative que nous appelons de nos vœux ne pourra que s’en trouver renforcée. Les gains ne seront pas uniquement qualitatifs, mais les parties au dispositif pourront également bénéficier de données plus fiables, commentées, qui auront fait parfois l’objet de débats suite à des interprétations divergentes (quels sont les critères pour définir un projet d’</w:t>
      </w:r>
      <w:r w:rsidR="0045544C">
        <w:rPr>
          <w:rFonts w:asciiTheme="minorHAnsi" w:hAnsiTheme="minorHAnsi" w:cstheme="minorHAnsi"/>
          <w:sz w:val="22"/>
          <w:szCs w:val="22"/>
        </w:rPr>
        <w:t>investissement</w:t>
      </w:r>
      <w:r w:rsidR="00EB3D6B">
        <w:rPr>
          <w:rFonts w:asciiTheme="minorHAnsi" w:hAnsiTheme="minorHAnsi" w:cstheme="minorHAnsi"/>
          <w:sz w:val="22"/>
          <w:szCs w:val="22"/>
        </w:rPr>
        <w:t>, sur la base d’</w:t>
      </w:r>
      <w:r w:rsidR="000B0F8B">
        <w:rPr>
          <w:rFonts w:asciiTheme="minorHAnsi" w:hAnsiTheme="minorHAnsi" w:cstheme="minorHAnsi"/>
          <w:sz w:val="22"/>
          <w:szCs w:val="22"/>
        </w:rPr>
        <w:t>un mandatement comme l’ont fait</w:t>
      </w:r>
      <w:r w:rsidR="00EB3D6B">
        <w:rPr>
          <w:rFonts w:asciiTheme="minorHAnsi" w:hAnsiTheme="minorHAnsi" w:cstheme="minorHAnsi"/>
          <w:sz w:val="22"/>
          <w:szCs w:val="22"/>
        </w:rPr>
        <w:t xml:space="preserve"> certaines communes</w:t>
      </w:r>
      <w:r w:rsidR="0045544C">
        <w:rPr>
          <w:rFonts w:asciiTheme="minorHAnsi" w:hAnsiTheme="minorHAnsi" w:cstheme="minorHAnsi"/>
          <w:sz w:val="22"/>
          <w:szCs w:val="22"/>
        </w:rPr>
        <w:t> ? Telle dépense de maintenance relève-t-elle plutôt de la section de fonctionnement et pourquoi ? …).</w:t>
      </w:r>
    </w:p>
    <w:p w:rsidR="0045544C" w:rsidRDefault="0045544C" w:rsidP="00301848">
      <w:pPr>
        <w:jc w:val="both"/>
        <w:rPr>
          <w:rFonts w:asciiTheme="minorHAnsi" w:hAnsiTheme="minorHAnsi" w:cstheme="minorHAnsi"/>
          <w:sz w:val="22"/>
          <w:szCs w:val="22"/>
        </w:rPr>
      </w:pPr>
      <w:r>
        <w:rPr>
          <w:rFonts w:asciiTheme="minorHAnsi" w:hAnsiTheme="minorHAnsi" w:cstheme="minorHAnsi"/>
          <w:sz w:val="22"/>
          <w:szCs w:val="22"/>
        </w:rPr>
        <w:t>La démocratie locale suppose qu’on respecte les choix de l’assemblée délibérante</w:t>
      </w:r>
      <w:r w:rsidR="001D0FB0">
        <w:rPr>
          <w:rFonts w:asciiTheme="minorHAnsi" w:hAnsiTheme="minorHAnsi" w:cstheme="minorHAnsi"/>
          <w:sz w:val="22"/>
          <w:szCs w:val="22"/>
        </w:rPr>
        <w:t>, qui correspondent à des environnements pas toujours comparables (commune urbaine ou r</w:t>
      </w:r>
      <w:r w:rsidR="00217F67">
        <w:rPr>
          <w:rFonts w:asciiTheme="minorHAnsi" w:hAnsiTheme="minorHAnsi" w:cstheme="minorHAnsi"/>
          <w:sz w:val="22"/>
          <w:szCs w:val="22"/>
        </w:rPr>
        <w:t>urale …)</w:t>
      </w:r>
      <w:r>
        <w:rPr>
          <w:rFonts w:asciiTheme="minorHAnsi" w:hAnsiTheme="minorHAnsi" w:cstheme="minorHAnsi"/>
          <w:sz w:val="22"/>
          <w:szCs w:val="22"/>
        </w:rPr>
        <w:t>. Mais ce</w:t>
      </w:r>
      <w:r w:rsidR="00AA1C0C">
        <w:rPr>
          <w:rFonts w:asciiTheme="minorHAnsi" w:hAnsiTheme="minorHAnsi" w:cstheme="minorHAnsi"/>
          <w:sz w:val="22"/>
          <w:szCs w:val="22"/>
        </w:rPr>
        <w:t>s</w:t>
      </w:r>
      <w:r>
        <w:rPr>
          <w:rFonts w:asciiTheme="minorHAnsi" w:hAnsiTheme="minorHAnsi" w:cstheme="minorHAnsi"/>
          <w:sz w:val="22"/>
          <w:szCs w:val="22"/>
        </w:rPr>
        <w:t xml:space="preserve"> choix</w:t>
      </w:r>
      <w:r w:rsidR="00AA1C0C">
        <w:rPr>
          <w:rFonts w:asciiTheme="minorHAnsi" w:hAnsiTheme="minorHAnsi" w:cstheme="minorHAnsi"/>
          <w:sz w:val="22"/>
          <w:szCs w:val="22"/>
        </w:rPr>
        <w:t>, notamment en matière de stratégies d’investissement,</w:t>
      </w:r>
      <w:r>
        <w:rPr>
          <w:rFonts w:asciiTheme="minorHAnsi" w:hAnsiTheme="minorHAnsi" w:cstheme="minorHAnsi"/>
          <w:sz w:val="22"/>
          <w:szCs w:val="22"/>
        </w:rPr>
        <w:t xml:space="preserve"> peu</w:t>
      </w:r>
      <w:r w:rsidR="00AA1C0C">
        <w:rPr>
          <w:rFonts w:asciiTheme="minorHAnsi" w:hAnsiTheme="minorHAnsi" w:cstheme="minorHAnsi"/>
          <w:sz w:val="22"/>
          <w:szCs w:val="22"/>
        </w:rPr>
        <w:t xml:space="preserve">vent </w:t>
      </w:r>
      <w:r w:rsidR="004162A4">
        <w:rPr>
          <w:rFonts w:asciiTheme="minorHAnsi" w:hAnsiTheme="minorHAnsi" w:cstheme="minorHAnsi"/>
          <w:sz w:val="22"/>
          <w:szCs w:val="22"/>
        </w:rPr>
        <w:t xml:space="preserve">être </w:t>
      </w:r>
      <w:r>
        <w:rPr>
          <w:rFonts w:asciiTheme="minorHAnsi" w:hAnsiTheme="minorHAnsi" w:cstheme="minorHAnsi"/>
          <w:sz w:val="22"/>
          <w:szCs w:val="22"/>
        </w:rPr>
        <w:t>éclairé</w:t>
      </w:r>
      <w:r w:rsidR="00AA1C0C">
        <w:rPr>
          <w:rFonts w:asciiTheme="minorHAnsi" w:hAnsiTheme="minorHAnsi" w:cstheme="minorHAnsi"/>
          <w:sz w:val="22"/>
          <w:szCs w:val="22"/>
        </w:rPr>
        <w:t>s</w:t>
      </w:r>
      <w:r>
        <w:rPr>
          <w:rFonts w:asciiTheme="minorHAnsi" w:hAnsiTheme="minorHAnsi" w:cstheme="minorHAnsi"/>
          <w:sz w:val="22"/>
          <w:szCs w:val="22"/>
        </w:rPr>
        <w:t xml:space="preserve"> par un ensemble de</w:t>
      </w:r>
      <w:r w:rsidR="00AA1C0C">
        <w:rPr>
          <w:rFonts w:asciiTheme="minorHAnsi" w:hAnsiTheme="minorHAnsi" w:cstheme="minorHAnsi"/>
          <w:sz w:val="22"/>
          <w:szCs w:val="22"/>
        </w:rPr>
        <w:t xml:space="preserve"> dispositifs encadrant et guidant </w:t>
      </w:r>
      <w:r w:rsidR="00EB3D6B">
        <w:rPr>
          <w:rFonts w:asciiTheme="minorHAnsi" w:hAnsiTheme="minorHAnsi" w:cstheme="minorHAnsi"/>
          <w:sz w:val="22"/>
          <w:szCs w:val="22"/>
        </w:rPr>
        <w:t xml:space="preserve">les communes dans </w:t>
      </w:r>
      <w:r w:rsidR="00AA1C0C">
        <w:rPr>
          <w:rFonts w:asciiTheme="minorHAnsi" w:hAnsiTheme="minorHAnsi" w:cstheme="minorHAnsi"/>
          <w:sz w:val="22"/>
          <w:szCs w:val="22"/>
        </w:rPr>
        <w:t>l</w:t>
      </w:r>
      <w:r w:rsidR="00EB3D6B">
        <w:rPr>
          <w:rFonts w:asciiTheme="minorHAnsi" w:hAnsiTheme="minorHAnsi" w:cstheme="minorHAnsi"/>
          <w:sz w:val="22"/>
          <w:szCs w:val="22"/>
        </w:rPr>
        <w:t xml:space="preserve">eur </w:t>
      </w:r>
      <w:r w:rsidR="00AA1C0C">
        <w:rPr>
          <w:rFonts w:asciiTheme="minorHAnsi" w:hAnsiTheme="minorHAnsi" w:cstheme="minorHAnsi"/>
          <w:sz w:val="22"/>
          <w:szCs w:val="22"/>
        </w:rPr>
        <w:t>apprentissage de la libre administration</w:t>
      </w:r>
      <w:r w:rsidR="00EB3D6B">
        <w:rPr>
          <w:rFonts w:asciiTheme="minorHAnsi" w:hAnsiTheme="minorHAnsi" w:cstheme="minorHAnsi"/>
          <w:sz w:val="22"/>
          <w:szCs w:val="22"/>
        </w:rPr>
        <w:t> : renforcement de leurs</w:t>
      </w:r>
      <w:r w:rsidR="00AA1C0C">
        <w:rPr>
          <w:rFonts w:asciiTheme="minorHAnsi" w:hAnsiTheme="minorHAnsi" w:cstheme="minorHAnsi"/>
          <w:sz w:val="22"/>
          <w:szCs w:val="22"/>
        </w:rPr>
        <w:t xml:space="preserve"> capacités en maîtrise d’o</w:t>
      </w:r>
      <w:r w:rsidR="000B0F8B">
        <w:rPr>
          <w:rFonts w:asciiTheme="minorHAnsi" w:hAnsiTheme="minorHAnsi" w:cstheme="minorHAnsi"/>
          <w:sz w:val="22"/>
          <w:szCs w:val="22"/>
        </w:rPr>
        <w:t>uvrage et en gestion budgétaire, accès instantané à l’information et à des conseils relatifs à la gestion des collectivités territoriales</w:t>
      </w:r>
      <w:r w:rsidR="008F701D">
        <w:rPr>
          <w:rFonts w:asciiTheme="minorHAnsi" w:hAnsiTheme="minorHAnsi" w:cstheme="minorHAnsi"/>
          <w:sz w:val="22"/>
          <w:szCs w:val="22"/>
        </w:rPr>
        <w:t>, en conduite de projet, en matière de coûts</w:t>
      </w:r>
      <w:r w:rsidR="000B0F8B">
        <w:rPr>
          <w:rFonts w:asciiTheme="minorHAnsi" w:hAnsiTheme="minorHAnsi" w:cstheme="minorHAnsi"/>
          <w:sz w:val="22"/>
          <w:szCs w:val="22"/>
        </w:rPr>
        <w:t xml:space="preserve"> …</w:t>
      </w:r>
    </w:p>
    <w:p w:rsidR="0024145A" w:rsidRDefault="0024145A" w:rsidP="0024145A">
      <w:pPr>
        <w:jc w:val="both"/>
        <w:rPr>
          <w:rFonts w:asciiTheme="minorHAnsi" w:hAnsiTheme="minorHAnsi" w:cstheme="minorHAnsi"/>
          <w:sz w:val="22"/>
          <w:szCs w:val="22"/>
        </w:rPr>
      </w:pPr>
      <w:r>
        <w:rPr>
          <w:rFonts w:asciiTheme="minorHAnsi" w:hAnsiTheme="minorHAnsi" w:cstheme="minorHAnsi"/>
          <w:sz w:val="22"/>
          <w:szCs w:val="22"/>
        </w:rPr>
        <w:t xml:space="preserve">Ainsi la </w:t>
      </w:r>
      <w:r w:rsidRPr="00CA042A">
        <w:rPr>
          <w:rFonts w:asciiTheme="minorHAnsi" w:hAnsiTheme="minorHAnsi" w:cstheme="minorHAnsi"/>
          <w:sz w:val="22"/>
          <w:szCs w:val="22"/>
        </w:rPr>
        <w:t>D</w:t>
      </w:r>
      <w:r>
        <w:rPr>
          <w:rFonts w:asciiTheme="minorHAnsi" w:hAnsiTheme="minorHAnsi" w:cstheme="minorHAnsi"/>
          <w:sz w:val="22"/>
          <w:szCs w:val="22"/>
        </w:rPr>
        <w:t>irection Générale des Collectivités territoriales (D</w:t>
      </w:r>
      <w:r w:rsidRPr="00CA042A">
        <w:rPr>
          <w:rFonts w:asciiTheme="minorHAnsi" w:hAnsiTheme="minorHAnsi" w:cstheme="minorHAnsi"/>
          <w:sz w:val="22"/>
          <w:szCs w:val="22"/>
        </w:rPr>
        <w:t>GCT</w:t>
      </w:r>
      <w:r>
        <w:rPr>
          <w:rFonts w:asciiTheme="minorHAnsi" w:hAnsiTheme="minorHAnsi" w:cstheme="minorHAnsi"/>
          <w:sz w:val="22"/>
          <w:szCs w:val="22"/>
        </w:rPr>
        <w:t>) est-elle</w:t>
      </w:r>
      <w:r w:rsidRPr="00CA042A">
        <w:rPr>
          <w:rFonts w:asciiTheme="minorHAnsi" w:hAnsiTheme="minorHAnsi" w:cstheme="minorHAnsi"/>
          <w:sz w:val="22"/>
          <w:szCs w:val="22"/>
        </w:rPr>
        <w:t xml:space="preserve"> actuellement engagé</w:t>
      </w:r>
      <w:r>
        <w:rPr>
          <w:rFonts w:asciiTheme="minorHAnsi" w:hAnsiTheme="minorHAnsi" w:cstheme="minorHAnsi"/>
          <w:sz w:val="22"/>
          <w:szCs w:val="22"/>
        </w:rPr>
        <w:t>e</w:t>
      </w:r>
      <w:r w:rsidRPr="00CA042A">
        <w:rPr>
          <w:rFonts w:asciiTheme="minorHAnsi" w:hAnsiTheme="minorHAnsi" w:cstheme="minorHAnsi"/>
          <w:sz w:val="22"/>
          <w:szCs w:val="22"/>
        </w:rPr>
        <w:t xml:space="preserve"> dans la mise en œuvre de sa stratégie de formation des acteurs de la décentralisation. </w:t>
      </w:r>
      <w:r w:rsidR="00A66A5D" w:rsidRPr="00A66A5D">
        <w:rPr>
          <w:rFonts w:asciiTheme="minorHAnsi" w:hAnsiTheme="minorHAnsi" w:cstheme="minorHAnsi"/>
          <w:b/>
          <w:sz w:val="22"/>
          <w:szCs w:val="22"/>
        </w:rPr>
        <w:t>Elle doit aussi, en matière d’appui technique, favoriser le rapprochement des communes et des services techniques des services déconcentrés.</w:t>
      </w:r>
    </w:p>
    <w:p w:rsidR="0024145A" w:rsidRPr="00CA042A" w:rsidRDefault="0024145A" w:rsidP="0024145A">
      <w:pPr>
        <w:jc w:val="both"/>
        <w:rPr>
          <w:rFonts w:asciiTheme="minorHAnsi" w:hAnsiTheme="minorHAnsi" w:cstheme="minorHAnsi"/>
          <w:sz w:val="22"/>
          <w:szCs w:val="22"/>
        </w:rPr>
      </w:pPr>
      <w:r w:rsidRPr="00CA042A">
        <w:rPr>
          <w:rFonts w:asciiTheme="minorHAnsi" w:hAnsiTheme="minorHAnsi" w:cstheme="minorHAnsi"/>
          <w:sz w:val="22"/>
          <w:szCs w:val="22"/>
        </w:rPr>
        <w:t>Enfin</w:t>
      </w:r>
      <w:r w:rsidR="001E66E7">
        <w:rPr>
          <w:rFonts w:asciiTheme="minorHAnsi" w:hAnsiTheme="minorHAnsi" w:cstheme="minorHAnsi"/>
          <w:sz w:val="22"/>
          <w:szCs w:val="22"/>
        </w:rPr>
        <w:t>,</w:t>
      </w:r>
      <w:r w:rsidRPr="00CA042A">
        <w:rPr>
          <w:rFonts w:asciiTheme="minorHAnsi" w:hAnsiTheme="minorHAnsi" w:cstheme="minorHAnsi"/>
          <w:sz w:val="22"/>
          <w:szCs w:val="22"/>
        </w:rPr>
        <w:t xml:space="preserve"> le Programme National </w:t>
      </w:r>
      <w:r w:rsidR="001E66E7" w:rsidRPr="00CA042A">
        <w:rPr>
          <w:rFonts w:asciiTheme="minorHAnsi" w:hAnsiTheme="minorHAnsi" w:cstheme="minorHAnsi"/>
          <w:sz w:val="22"/>
          <w:szCs w:val="22"/>
        </w:rPr>
        <w:t xml:space="preserve">Intégré </w:t>
      </w:r>
      <w:r w:rsidRPr="00CA042A">
        <w:rPr>
          <w:rFonts w:asciiTheme="minorHAnsi" w:hAnsiTheme="minorHAnsi" w:cstheme="minorHAnsi"/>
          <w:sz w:val="22"/>
          <w:szCs w:val="22"/>
        </w:rPr>
        <w:t xml:space="preserve">d’appui à la Décentralisation, au Développement Local et à l’Emploi </w:t>
      </w:r>
      <w:r w:rsidR="001E66E7">
        <w:rPr>
          <w:rFonts w:asciiTheme="minorHAnsi" w:hAnsiTheme="minorHAnsi" w:cstheme="minorHAnsi"/>
          <w:sz w:val="22"/>
          <w:szCs w:val="22"/>
        </w:rPr>
        <w:t xml:space="preserve">des jeunes (PNIDDLE) </w:t>
      </w:r>
      <w:r w:rsidRPr="00CA042A">
        <w:rPr>
          <w:rFonts w:asciiTheme="minorHAnsi" w:hAnsiTheme="minorHAnsi" w:cstheme="minorHAnsi"/>
          <w:sz w:val="22"/>
          <w:szCs w:val="22"/>
        </w:rPr>
        <w:t>va prévoir un volet important d’appui institutionnel aux communes et aux structures en charge de leur encadrement afin d’accompagner la mise en place du guichet conditionnel de financement des communes.</w:t>
      </w:r>
    </w:p>
    <w:p w:rsidR="0024145A" w:rsidRDefault="0024145A" w:rsidP="00301848">
      <w:pPr>
        <w:jc w:val="both"/>
        <w:rPr>
          <w:rFonts w:asciiTheme="minorHAnsi" w:hAnsiTheme="minorHAnsi" w:cstheme="minorHAnsi"/>
          <w:sz w:val="22"/>
          <w:szCs w:val="22"/>
        </w:rPr>
      </w:pPr>
    </w:p>
    <w:p w:rsidR="00937D53" w:rsidRDefault="00937D53" w:rsidP="00301848">
      <w:pPr>
        <w:jc w:val="both"/>
        <w:rPr>
          <w:rFonts w:asciiTheme="minorHAnsi" w:hAnsiTheme="minorHAnsi" w:cstheme="minorHAnsi"/>
          <w:b/>
          <w:sz w:val="22"/>
          <w:szCs w:val="22"/>
        </w:rPr>
      </w:pPr>
      <w:r w:rsidRPr="00937D53">
        <w:rPr>
          <w:rFonts w:asciiTheme="minorHAnsi" w:hAnsiTheme="minorHAnsi" w:cstheme="minorHAnsi"/>
          <w:b/>
          <w:sz w:val="22"/>
          <w:szCs w:val="22"/>
        </w:rPr>
        <w:t>Une fiabilisation des données et des indicateurs à parfaire :</w:t>
      </w:r>
    </w:p>
    <w:p w:rsidR="008F701D" w:rsidRPr="00937D53" w:rsidRDefault="008F701D" w:rsidP="00301848">
      <w:pPr>
        <w:jc w:val="both"/>
        <w:rPr>
          <w:rFonts w:asciiTheme="minorHAnsi" w:hAnsiTheme="minorHAnsi" w:cstheme="minorHAnsi"/>
          <w:b/>
          <w:sz w:val="22"/>
          <w:szCs w:val="22"/>
        </w:rPr>
      </w:pPr>
    </w:p>
    <w:p w:rsidR="000B0F8B" w:rsidRDefault="000B0F8B" w:rsidP="00301848">
      <w:pPr>
        <w:jc w:val="both"/>
        <w:rPr>
          <w:rFonts w:asciiTheme="minorHAnsi" w:hAnsiTheme="minorHAnsi" w:cstheme="minorHAnsi"/>
          <w:sz w:val="22"/>
          <w:szCs w:val="22"/>
        </w:rPr>
      </w:pPr>
      <w:r>
        <w:rPr>
          <w:rFonts w:asciiTheme="minorHAnsi" w:hAnsiTheme="minorHAnsi" w:cstheme="minorHAnsi"/>
          <w:sz w:val="22"/>
          <w:szCs w:val="22"/>
        </w:rPr>
        <w:t>Les données et les outils à notre disposition ont démontré leur utilité mais aussi leurs limites</w:t>
      </w:r>
      <w:r w:rsidR="00A615FA">
        <w:rPr>
          <w:rFonts w:asciiTheme="minorHAnsi" w:hAnsiTheme="minorHAnsi" w:cstheme="minorHAnsi"/>
          <w:sz w:val="22"/>
          <w:szCs w:val="22"/>
        </w:rPr>
        <w:t>, notamment en matière de fiabilité</w:t>
      </w:r>
      <w:r>
        <w:rPr>
          <w:rFonts w:asciiTheme="minorHAnsi" w:hAnsiTheme="minorHAnsi" w:cstheme="minorHAnsi"/>
          <w:sz w:val="22"/>
          <w:szCs w:val="22"/>
        </w:rPr>
        <w:t>. Il faudra s’attaquer à ceux susceptibles d’être corrigés :</w:t>
      </w:r>
    </w:p>
    <w:p w:rsidR="00E85971" w:rsidRDefault="00E85971" w:rsidP="00301848">
      <w:pPr>
        <w:jc w:val="both"/>
        <w:rPr>
          <w:rFonts w:asciiTheme="minorHAnsi" w:hAnsiTheme="minorHAnsi" w:cstheme="minorHAnsi"/>
          <w:sz w:val="22"/>
          <w:szCs w:val="22"/>
        </w:rPr>
      </w:pPr>
    </w:p>
    <w:p w:rsidR="008E1360" w:rsidRDefault="00A615FA" w:rsidP="002F04D1">
      <w:pPr>
        <w:pStyle w:val="Paragraphedeliste"/>
        <w:numPr>
          <w:ilvl w:val="0"/>
          <w:numId w:val="11"/>
        </w:numPr>
        <w:jc w:val="both"/>
        <w:rPr>
          <w:rFonts w:asciiTheme="minorHAnsi" w:hAnsiTheme="minorHAnsi" w:cstheme="minorHAnsi"/>
          <w:sz w:val="22"/>
          <w:szCs w:val="22"/>
        </w:rPr>
      </w:pPr>
      <w:r>
        <w:rPr>
          <w:rFonts w:asciiTheme="minorHAnsi" w:hAnsiTheme="minorHAnsi" w:cstheme="minorHAnsi"/>
          <w:sz w:val="22"/>
          <w:szCs w:val="22"/>
        </w:rPr>
        <w:t>Les données concernant la situation physique des projets sont incohérentes et inexploitables. C</w:t>
      </w:r>
      <w:r w:rsidR="004162A4">
        <w:rPr>
          <w:rFonts w:asciiTheme="minorHAnsi" w:hAnsiTheme="minorHAnsi" w:cstheme="minorHAnsi"/>
          <w:sz w:val="22"/>
          <w:szCs w:val="22"/>
        </w:rPr>
        <w:t>omme c</w:t>
      </w:r>
      <w:r>
        <w:rPr>
          <w:rFonts w:asciiTheme="minorHAnsi" w:hAnsiTheme="minorHAnsi" w:cstheme="minorHAnsi"/>
          <w:sz w:val="22"/>
          <w:szCs w:val="22"/>
        </w:rPr>
        <w:t xml:space="preserve">elles relatives à la situation financière, certaines communes présentant systématiquement une situation peu crédible toujours à 100% d’engagement et de paiement. Le cycle de vie d’une opération d’investissement, plus particulièrement lorsqu’elle est lourde, doit s’appréhender de manière </w:t>
      </w:r>
      <w:r w:rsidR="00861189">
        <w:rPr>
          <w:rFonts w:asciiTheme="minorHAnsi" w:hAnsiTheme="minorHAnsi" w:cstheme="minorHAnsi"/>
          <w:sz w:val="22"/>
          <w:szCs w:val="22"/>
        </w:rPr>
        <w:t>pluriannuelle</w:t>
      </w:r>
      <w:r>
        <w:rPr>
          <w:rFonts w:asciiTheme="minorHAnsi" w:hAnsiTheme="minorHAnsi" w:cstheme="minorHAnsi"/>
          <w:sz w:val="22"/>
          <w:szCs w:val="22"/>
        </w:rPr>
        <w:t>, avec des restes à réaliser à reporter le cas échéant sur plusieurs exercices.</w:t>
      </w:r>
      <w:r w:rsidR="001E66E7">
        <w:rPr>
          <w:rFonts w:asciiTheme="minorHAnsi" w:hAnsiTheme="minorHAnsi" w:cstheme="minorHAnsi"/>
          <w:sz w:val="22"/>
          <w:szCs w:val="22"/>
        </w:rPr>
        <w:t xml:space="preserve"> Ces derniers</w:t>
      </w:r>
      <w:r w:rsidR="004162A4">
        <w:rPr>
          <w:rFonts w:asciiTheme="minorHAnsi" w:hAnsiTheme="minorHAnsi" w:cstheme="minorHAnsi"/>
          <w:sz w:val="22"/>
          <w:szCs w:val="22"/>
        </w:rPr>
        <w:t xml:space="preserve"> semblent ne pas exister</w:t>
      </w:r>
      <w:r w:rsidR="0011396F">
        <w:rPr>
          <w:rFonts w:asciiTheme="minorHAnsi" w:hAnsiTheme="minorHAnsi" w:cstheme="minorHAnsi"/>
          <w:sz w:val="22"/>
          <w:szCs w:val="22"/>
        </w:rPr>
        <w:t xml:space="preserve"> compte tenu des documents fournis</w:t>
      </w:r>
      <w:r w:rsidR="004162A4">
        <w:rPr>
          <w:rFonts w:asciiTheme="minorHAnsi" w:hAnsiTheme="minorHAnsi" w:cstheme="minorHAnsi"/>
          <w:sz w:val="22"/>
          <w:szCs w:val="22"/>
        </w:rPr>
        <w:t>, ce qui voudrait dire que tous les projets ont été réalisés en totalité au cours de l’exercice budgétaire.</w:t>
      </w:r>
    </w:p>
    <w:p w:rsidR="00E85971" w:rsidRDefault="00E85971" w:rsidP="00E85971">
      <w:pPr>
        <w:pStyle w:val="Paragraphedeliste"/>
        <w:jc w:val="both"/>
        <w:rPr>
          <w:rFonts w:asciiTheme="minorHAnsi" w:hAnsiTheme="minorHAnsi" w:cstheme="minorHAnsi"/>
          <w:sz w:val="22"/>
          <w:szCs w:val="22"/>
        </w:rPr>
      </w:pPr>
    </w:p>
    <w:p w:rsidR="00A615FA" w:rsidRDefault="00A615FA" w:rsidP="002F04D1">
      <w:pPr>
        <w:pStyle w:val="Paragraphedeliste"/>
        <w:numPr>
          <w:ilvl w:val="0"/>
          <w:numId w:val="11"/>
        </w:numPr>
        <w:jc w:val="both"/>
        <w:rPr>
          <w:rFonts w:asciiTheme="minorHAnsi" w:hAnsiTheme="minorHAnsi" w:cstheme="minorHAnsi"/>
          <w:sz w:val="22"/>
          <w:szCs w:val="22"/>
        </w:rPr>
      </w:pPr>
      <w:r>
        <w:rPr>
          <w:rFonts w:asciiTheme="minorHAnsi" w:hAnsiTheme="minorHAnsi" w:cstheme="minorHAnsi"/>
          <w:sz w:val="22"/>
          <w:szCs w:val="22"/>
        </w:rPr>
        <w:t xml:space="preserve">Un effort </w:t>
      </w:r>
      <w:r w:rsidR="003E5EBC">
        <w:rPr>
          <w:rFonts w:asciiTheme="minorHAnsi" w:hAnsiTheme="minorHAnsi" w:cstheme="minorHAnsi"/>
          <w:sz w:val="22"/>
          <w:szCs w:val="22"/>
        </w:rPr>
        <w:t xml:space="preserve">accru </w:t>
      </w:r>
      <w:r>
        <w:rPr>
          <w:rFonts w:asciiTheme="minorHAnsi" w:hAnsiTheme="minorHAnsi" w:cstheme="minorHAnsi"/>
          <w:sz w:val="22"/>
          <w:szCs w:val="22"/>
        </w:rPr>
        <w:t>devra être fourni pour contrôle</w:t>
      </w:r>
      <w:r w:rsidR="008F701D">
        <w:rPr>
          <w:rFonts w:asciiTheme="minorHAnsi" w:hAnsiTheme="minorHAnsi" w:cstheme="minorHAnsi"/>
          <w:sz w:val="22"/>
          <w:szCs w:val="22"/>
        </w:rPr>
        <w:t>r les états de traitement et de reprise de données : ainsi, plusieurs</w:t>
      </w:r>
      <w:r>
        <w:rPr>
          <w:rFonts w:asciiTheme="minorHAnsi" w:hAnsiTheme="minorHAnsi" w:cstheme="minorHAnsi"/>
          <w:sz w:val="22"/>
          <w:szCs w:val="22"/>
        </w:rPr>
        <w:t xml:space="preserve"> corrections et retraitements ont été effectués pour l’</w:t>
      </w:r>
      <w:r w:rsidR="003E5EBC">
        <w:rPr>
          <w:rFonts w:asciiTheme="minorHAnsi" w:hAnsiTheme="minorHAnsi" w:cstheme="minorHAnsi"/>
          <w:sz w:val="22"/>
          <w:szCs w:val="22"/>
        </w:rPr>
        <w:t xml:space="preserve">exercice 2012, suite à la constatation d’incohérences. Il se peut que certaines données erronées aient pu cependant échapper à notre vigilance. Comme ce fut le cas </w:t>
      </w:r>
      <w:r w:rsidR="00384A73">
        <w:rPr>
          <w:rFonts w:asciiTheme="minorHAnsi" w:hAnsiTheme="minorHAnsi" w:cstheme="minorHAnsi"/>
          <w:sz w:val="22"/>
          <w:szCs w:val="22"/>
        </w:rPr>
        <w:t xml:space="preserve">notamment </w:t>
      </w:r>
      <w:r w:rsidR="003E5EBC">
        <w:rPr>
          <w:rFonts w:asciiTheme="minorHAnsi" w:hAnsiTheme="minorHAnsi" w:cstheme="minorHAnsi"/>
          <w:sz w:val="22"/>
          <w:szCs w:val="22"/>
        </w:rPr>
        <w:t xml:space="preserve">pour </w:t>
      </w:r>
      <w:r w:rsidR="003614AB">
        <w:rPr>
          <w:rFonts w:asciiTheme="minorHAnsi" w:hAnsiTheme="minorHAnsi" w:cstheme="minorHAnsi"/>
          <w:sz w:val="22"/>
          <w:szCs w:val="22"/>
        </w:rPr>
        <w:t xml:space="preserve">les annexes du rapport </w:t>
      </w:r>
      <w:r w:rsidR="003E5EBC">
        <w:rPr>
          <w:rFonts w:asciiTheme="minorHAnsi" w:hAnsiTheme="minorHAnsi" w:cstheme="minorHAnsi"/>
          <w:sz w:val="22"/>
          <w:szCs w:val="22"/>
        </w:rPr>
        <w:t xml:space="preserve">2011 </w:t>
      </w:r>
      <w:r w:rsidR="008F701D">
        <w:rPr>
          <w:rFonts w:asciiTheme="minorHAnsi" w:hAnsiTheme="minorHAnsi" w:cstheme="minorHAnsi"/>
          <w:sz w:val="22"/>
          <w:szCs w:val="22"/>
        </w:rPr>
        <w:t>qui ont servi</w:t>
      </w:r>
      <w:r w:rsidR="008868DB">
        <w:rPr>
          <w:rFonts w:asciiTheme="minorHAnsi" w:hAnsiTheme="minorHAnsi" w:cstheme="minorHAnsi"/>
          <w:sz w:val="22"/>
          <w:szCs w:val="22"/>
        </w:rPr>
        <w:t xml:space="preserve"> de base à l’ensemble des calculs du rapport </w:t>
      </w:r>
      <w:r w:rsidR="003E5EBC">
        <w:rPr>
          <w:rFonts w:asciiTheme="minorHAnsi" w:hAnsiTheme="minorHAnsi" w:cstheme="minorHAnsi"/>
          <w:sz w:val="22"/>
          <w:szCs w:val="22"/>
        </w:rPr>
        <w:t xml:space="preserve">(le total </w:t>
      </w:r>
      <w:r w:rsidR="008868DB">
        <w:rPr>
          <w:rFonts w:asciiTheme="minorHAnsi" w:hAnsiTheme="minorHAnsi" w:cstheme="minorHAnsi"/>
          <w:sz w:val="22"/>
          <w:szCs w:val="22"/>
        </w:rPr>
        <w:t>des engagements de l’exercice 2011 n’es</w:t>
      </w:r>
      <w:r w:rsidR="003E5EBC">
        <w:rPr>
          <w:rFonts w:asciiTheme="minorHAnsi" w:hAnsiTheme="minorHAnsi" w:cstheme="minorHAnsi"/>
          <w:sz w:val="22"/>
          <w:szCs w:val="22"/>
        </w:rPr>
        <w:t xml:space="preserve">t pas de 2 110 256 620 MRO mais de 2 084 062 262 MRO. De même, les paiements </w:t>
      </w:r>
      <w:r w:rsidR="003614AB">
        <w:rPr>
          <w:rFonts w:asciiTheme="minorHAnsi" w:hAnsiTheme="minorHAnsi" w:cstheme="minorHAnsi"/>
          <w:sz w:val="22"/>
          <w:szCs w:val="22"/>
        </w:rPr>
        <w:t xml:space="preserve">recalculés </w:t>
      </w:r>
      <w:r w:rsidR="008868DB">
        <w:rPr>
          <w:rFonts w:asciiTheme="minorHAnsi" w:hAnsiTheme="minorHAnsi" w:cstheme="minorHAnsi"/>
          <w:sz w:val="22"/>
          <w:szCs w:val="22"/>
        </w:rPr>
        <w:t>sont</w:t>
      </w:r>
      <w:r w:rsidR="003E5EBC">
        <w:rPr>
          <w:rFonts w:asciiTheme="minorHAnsi" w:hAnsiTheme="minorHAnsi" w:cstheme="minorHAnsi"/>
          <w:sz w:val="22"/>
          <w:szCs w:val="22"/>
        </w:rPr>
        <w:t xml:space="preserve"> à hauteur de 1 969 202 112 MRO et non de 1 989 371 821 MRO. Par conséquent, les montants restant à payer et les autres calculs en découlant, notamment le taux d’absorption (non à 103,44% mais à 102,16%)</w:t>
      </w:r>
      <w:r w:rsidR="003614AB">
        <w:rPr>
          <w:rFonts w:asciiTheme="minorHAnsi" w:hAnsiTheme="minorHAnsi" w:cstheme="minorHAnsi"/>
          <w:sz w:val="22"/>
          <w:szCs w:val="22"/>
        </w:rPr>
        <w:t xml:space="preserve"> sont erronés</w:t>
      </w:r>
      <w:r w:rsidR="008868DB">
        <w:rPr>
          <w:rFonts w:asciiTheme="minorHAnsi" w:hAnsiTheme="minorHAnsi" w:cstheme="minorHAnsi"/>
          <w:sz w:val="22"/>
          <w:szCs w:val="22"/>
        </w:rPr>
        <w:t xml:space="preserve"> en ce qui concerne l’exercice 2011. De surcroît</w:t>
      </w:r>
      <w:r w:rsidR="003E5EBC">
        <w:rPr>
          <w:rFonts w:asciiTheme="minorHAnsi" w:hAnsiTheme="minorHAnsi" w:cstheme="minorHAnsi"/>
          <w:sz w:val="22"/>
          <w:szCs w:val="22"/>
        </w:rPr>
        <w:t xml:space="preserve">, </w:t>
      </w:r>
      <w:r w:rsidR="003614AB">
        <w:rPr>
          <w:rFonts w:asciiTheme="minorHAnsi" w:hAnsiTheme="minorHAnsi" w:cstheme="minorHAnsi"/>
          <w:sz w:val="22"/>
          <w:szCs w:val="22"/>
        </w:rPr>
        <w:t xml:space="preserve">en additionnant </w:t>
      </w:r>
      <w:r w:rsidR="003E5EBC">
        <w:rPr>
          <w:rFonts w:asciiTheme="minorHAnsi" w:hAnsiTheme="minorHAnsi" w:cstheme="minorHAnsi"/>
          <w:sz w:val="22"/>
          <w:szCs w:val="22"/>
        </w:rPr>
        <w:t>l</w:t>
      </w:r>
      <w:r w:rsidR="003614AB">
        <w:rPr>
          <w:rFonts w:asciiTheme="minorHAnsi" w:hAnsiTheme="minorHAnsi" w:cstheme="minorHAnsi"/>
          <w:sz w:val="22"/>
          <w:szCs w:val="22"/>
        </w:rPr>
        <w:t>es</w:t>
      </w:r>
      <w:r w:rsidR="003E5EBC">
        <w:rPr>
          <w:rFonts w:asciiTheme="minorHAnsi" w:hAnsiTheme="minorHAnsi" w:cstheme="minorHAnsi"/>
          <w:sz w:val="22"/>
          <w:szCs w:val="22"/>
        </w:rPr>
        <w:t xml:space="preserve"> nombre</w:t>
      </w:r>
      <w:r w:rsidR="003614AB">
        <w:rPr>
          <w:rFonts w:asciiTheme="minorHAnsi" w:hAnsiTheme="minorHAnsi" w:cstheme="minorHAnsi"/>
          <w:sz w:val="22"/>
          <w:szCs w:val="22"/>
        </w:rPr>
        <w:t>s</w:t>
      </w:r>
      <w:r w:rsidR="003E5EBC">
        <w:rPr>
          <w:rFonts w:asciiTheme="minorHAnsi" w:hAnsiTheme="minorHAnsi" w:cstheme="minorHAnsi"/>
          <w:sz w:val="22"/>
          <w:szCs w:val="22"/>
        </w:rPr>
        <w:t xml:space="preserve"> de projets </w:t>
      </w:r>
      <w:r w:rsidR="003614AB">
        <w:rPr>
          <w:rFonts w:asciiTheme="minorHAnsi" w:hAnsiTheme="minorHAnsi" w:cstheme="minorHAnsi"/>
          <w:sz w:val="22"/>
          <w:szCs w:val="22"/>
        </w:rPr>
        <w:t xml:space="preserve">par secteur, on ne trouve </w:t>
      </w:r>
      <w:r w:rsidR="003E5EBC">
        <w:rPr>
          <w:rFonts w:asciiTheme="minorHAnsi" w:hAnsiTheme="minorHAnsi" w:cstheme="minorHAnsi"/>
          <w:sz w:val="22"/>
          <w:szCs w:val="22"/>
        </w:rPr>
        <w:t>pas 1 928 mais 1</w:t>
      </w:r>
      <w:r w:rsidR="003614AB">
        <w:rPr>
          <w:rFonts w:asciiTheme="minorHAnsi" w:hAnsiTheme="minorHAnsi" w:cstheme="minorHAnsi"/>
          <w:sz w:val="22"/>
          <w:szCs w:val="22"/>
        </w:rPr>
        <w:t> </w:t>
      </w:r>
      <w:r w:rsidR="003E5EBC">
        <w:rPr>
          <w:rFonts w:asciiTheme="minorHAnsi" w:hAnsiTheme="minorHAnsi" w:cstheme="minorHAnsi"/>
          <w:sz w:val="22"/>
          <w:szCs w:val="22"/>
        </w:rPr>
        <w:t>920</w:t>
      </w:r>
      <w:r w:rsidR="003614AB">
        <w:rPr>
          <w:rFonts w:asciiTheme="minorHAnsi" w:hAnsiTheme="minorHAnsi" w:cstheme="minorHAnsi"/>
          <w:sz w:val="22"/>
          <w:szCs w:val="22"/>
        </w:rPr>
        <w:t xml:space="preserve">, ce qui rend problématique </w:t>
      </w:r>
      <w:r w:rsidR="008F701D">
        <w:rPr>
          <w:rFonts w:asciiTheme="minorHAnsi" w:hAnsiTheme="minorHAnsi" w:cstheme="minorHAnsi"/>
          <w:sz w:val="22"/>
          <w:szCs w:val="22"/>
        </w:rPr>
        <w:t>le résultat obtenu pour le</w:t>
      </w:r>
      <w:r w:rsidR="003614AB">
        <w:rPr>
          <w:rFonts w:asciiTheme="minorHAnsi" w:hAnsiTheme="minorHAnsi" w:cstheme="minorHAnsi"/>
          <w:sz w:val="22"/>
          <w:szCs w:val="22"/>
        </w:rPr>
        <w:t xml:space="preserve"> montant moyen de l’investissement par projet</w:t>
      </w:r>
      <w:r w:rsidR="005C3BD2">
        <w:rPr>
          <w:rFonts w:asciiTheme="minorHAnsi" w:hAnsiTheme="minorHAnsi" w:cstheme="minorHAnsi"/>
          <w:sz w:val="22"/>
          <w:szCs w:val="22"/>
        </w:rPr>
        <w:t>)</w:t>
      </w:r>
      <w:r w:rsidR="003614AB">
        <w:rPr>
          <w:rFonts w:asciiTheme="minorHAnsi" w:hAnsiTheme="minorHAnsi" w:cstheme="minorHAnsi"/>
          <w:sz w:val="22"/>
          <w:szCs w:val="22"/>
        </w:rPr>
        <w:t>.</w:t>
      </w:r>
    </w:p>
    <w:p w:rsidR="004E3281" w:rsidRPr="004E3281" w:rsidRDefault="004E3281" w:rsidP="004E3281">
      <w:pPr>
        <w:jc w:val="both"/>
        <w:rPr>
          <w:rFonts w:asciiTheme="minorHAnsi" w:hAnsiTheme="minorHAnsi" w:cstheme="minorHAnsi"/>
          <w:sz w:val="22"/>
          <w:szCs w:val="22"/>
        </w:rPr>
      </w:pPr>
    </w:p>
    <w:p w:rsidR="003614AB" w:rsidRDefault="008868DB" w:rsidP="002F04D1">
      <w:pPr>
        <w:pStyle w:val="Paragraphedeliste"/>
        <w:numPr>
          <w:ilvl w:val="0"/>
          <w:numId w:val="11"/>
        </w:numPr>
        <w:jc w:val="both"/>
        <w:rPr>
          <w:rFonts w:asciiTheme="minorHAnsi" w:hAnsiTheme="minorHAnsi" w:cstheme="minorHAnsi"/>
          <w:sz w:val="22"/>
          <w:szCs w:val="22"/>
        </w:rPr>
      </w:pPr>
      <w:r>
        <w:rPr>
          <w:rFonts w:asciiTheme="minorHAnsi" w:hAnsiTheme="minorHAnsi" w:cstheme="minorHAnsi"/>
          <w:sz w:val="22"/>
          <w:szCs w:val="22"/>
        </w:rPr>
        <w:t>Il n’a pas été te</w:t>
      </w:r>
      <w:r w:rsidR="008F701D">
        <w:rPr>
          <w:rFonts w:asciiTheme="minorHAnsi" w:hAnsiTheme="minorHAnsi" w:cstheme="minorHAnsi"/>
          <w:sz w:val="22"/>
          <w:szCs w:val="22"/>
        </w:rPr>
        <w:t>nu compte de la demande faite dans le rapport</w:t>
      </w:r>
      <w:r>
        <w:rPr>
          <w:rFonts w:asciiTheme="minorHAnsi" w:hAnsiTheme="minorHAnsi" w:cstheme="minorHAnsi"/>
          <w:sz w:val="22"/>
          <w:szCs w:val="22"/>
        </w:rPr>
        <w:t xml:space="preserve"> </w:t>
      </w:r>
      <w:r w:rsidR="005C3BD2">
        <w:rPr>
          <w:rFonts w:asciiTheme="minorHAnsi" w:hAnsiTheme="minorHAnsi" w:cstheme="minorHAnsi"/>
          <w:sz w:val="22"/>
          <w:szCs w:val="22"/>
        </w:rPr>
        <w:t>de l’année dernière</w:t>
      </w:r>
      <w:r>
        <w:rPr>
          <w:rFonts w:asciiTheme="minorHAnsi" w:hAnsiTheme="minorHAnsi" w:cstheme="minorHAnsi"/>
          <w:sz w:val="22"/>
          <w:szCs w:val="22"/>
        </w:rPr>
        <w:t xml:space="preserve"> pour modifier la formule de calcul du « taux d’absorption par secteur » : en effet, il convient de diviser </w:t>
      </w:r>
      <w:r w:rsidR="003259B6">
        <w:rPr>
          <w:rFonts w:asciiTheme="minorHAnsi" w:hAnsiTheme="minorHAnsi" w:cstheme="minorHAnsi"/>
          <w:sz w:val="22"/>
          <w:szCs w:val="22"/>
        </w:rPr>
        <w:t>le</w:t>
      </w:r>
      <w:r w:rsidR="008F701D">
        <w:rPr>
          <w:rFonts w:asciiTheme="minorHAnsi" w:hAnsiTheme="minorHAnsi" w:cstheme="minorHAnsi"/>
          <w:sz w:val="22"/>
          <w:szCs w:val="22"/>
        </w:rPr>
        <w:t xml:space="preserve"> montant engagé par secteur </w:t>
      </w:r>
      <w:r>
        <w:rPr>
          <w:rFonts w:asciiTheme="minorHAnsi" w:hAnsiTheme="minorHAnsi" w:cstheme="minorHAnsi"/>
          <w:sz w:val="22"/>
          <w:szCs w:val="22"/>
        </w:rPr>
        <w:t>par le montant total engagé (« investi »)</w:t>
      </w:r>
      <w:r w:rsidR="003259B6">
        <w:rPr>
          <w:rFonts w:asciiTheme="minorHAnsi" w:hAnsiTheme="minorHAnsi" w:cstheme="minorHAnsi"/>
          <w:sz w:val="22"/>
          <w:szCs w:val="22"/>
        </w:rPr>
        <w:t xml:space="preserve">, et non par le FRD total. Cela évitera à l’avenir d’avoir des pourcentages dont la somme pour un secteur peut dépasser les 100%, comme c’est actuellement le cas à chaque fois que les engagements, du fait des reliquats et d’autres sources de financement </w:t>
      </w:r>
      <w:r w:rsidR="008F701D">
        <w:rPr>
          <w:rFonts w:asciiTheme="minorHAnsi" w:hAnsiTheme="minorHAnsi" w:cstheme="minorHAnsi"/>
          <w:sz w:val="22"/>
          <w:szCs w:val="22"/>
        </w:rPr>
        <w:t xml:space="preserve">autres </w:t>
      </w:r>
      <w:r w:rsidR="003259B6">
        <w:rPr>
          <w:rFonts w:asciiTheme="minorHAnsi" w:hAnsiTheme="minorHAnsi" w:cstheme="minorHAnsi"/>
          <w:sz w:val="22"/>
          <w:szCs w:val="22"/>
        </w:rPr>
        <w:t>que le FRD</w:t>
      </w:r>
      <w:r w:rsidR="00272C9E">
        <w:rPr>
          <w:rFonts w:asciiTheme="minorHAnsi" w:hAnsiTheme="minorHAnsi" w:cstheme="minorHAnsi"/>
          <w:sz w:val="22"/>
          <w:szCs w:val="22"/>
        </w:rPr>
        <w:t>, dépassent le montant de la dotation annuelle</w:t>
      </w:r>
      <w:r w:rsidR="003259B6">
        <w:rPr>
          <w:rFonts w:asciiTheme="minorHAnsi" w:hAnsiTheme="minorHAnsi" w:cstheme="minorHAnsi"/>
          <w:sz w:val="22"/>
          <w:szCs w:val="22"/>
        </w:rPr>
        <w:t>.</w:t>
      </w:r>
    </w:p>
    <w:p w:rsidR="004E3281" w:rsidRPr="004E3281" w:rsidRDefault="004E3281" w:rsidP="004E3281">
      <w:pPr>
        <w:jc w:val="both"/>
        <w:rPr>
          <w:rFonts w:asciiTheme="minorHAnsi" w:hAnsiTheme="minorHAnsi" w:cstheme="minorHAnsi"/>
          <w:sz w:val="22"/>
          <w:szCs w:val="22"/>
        </w:rPr>
      </w:pPr>
    </w:p>
    <w:p w:rsidR="006E5B96" w:rsidRDefault="006E5B96" w:rsidP="002F04D1">
      <w:pPr>
        <w:pStyle w:val="Paragraphedeliste"/>
        <w:numPr>
          <w:ilvl w:val="0"/>
          <w:numId w:val="11"/>
        </w:numPr>
        <w:jc w:val="both"/>
        <w:rPr>
          <w:rFonts w:asciiTheme="minorHAnsi" w:hAnsiTheme="minorHAnsi" w:cstheme="minorHAnsi"/>
          <w:sz w:val="22"/>
          <w:szCs w:val="22"/>
        </w:rPr>
      </w:pPr>
      <w:r>
        <w:rPr>
          <w:rFonts w:asciiTheme="minorHAnsi" w:hAnsiTheme="minorHAnsi" w:cstheme="minorHAnsi"/>
          <w:sz w:val="22"/>
          <w:szCs w:val="22"/>
        </w:rPr>
        <w:t xml:space="preserve">Le taux d’absorption du FRD, eu égard au long développement qui lui a été consacré en première partie, doit être questionné dans son utilisation actuelle : garde-t-il en effet toute sa pertinence lorsqu’il a été démontré que les taux obtenus, en raison à la fois des </w:t>
      </w:r>
      <w:r w:rsidR="00A24AA2">
        <w:rPr>
          <w:rFonts w:asciiTheme="minorHAnsi" w:hAnsiTheme="minorHAnsi" w:cstheme="minorHAnsi"/>
          <w:sz w:val="22"/>
          <w:szCs w:val="22"/>
        </w:rPr>
        <w:t>reliquats et des autres source</w:t>
      </w:r>
      <w:r w:rsidR="0017359F">
        <w:rPr>
          <w:rFonts w:asciiTheme="minorHAnsi" w:hAnsiTheme="minorHAnsi" w:cstheme="minorHAnsi"/>
          <w:sz w:val="22"/>
          <w:szCs w:val="22"/>
        </w:rPr>
        <w:t>s de financement</w:t>
      </w:r>
      <w:r w:rsidR="008F701D">
        <w:rPr>
          <w:rFonts w:asciiTheme="minorHAnsi" w:hAnsiTheme="minorHAnsi" w:cstheme="minorHAnsi"/>
          <w:sz w:val="22"/>
          <w:szCs w:val="22"/>
        </w:rPr>
        <w:t>, sont sujets à polémique</w:t>
      </w:r>
      <w:r w:rsidR="00A24AA2">
        <w:rPr>
          <w:rFonts w:asciiTheme="minorHAnsi" w:hAnsiTheme="minorHAnsi" w:cstheme="minorHAnsi"/>
          <w:sz w:val="22"/>
          <w:szCs w:val="22"/>
        </w:rPr>
        <w:t> ?</w:t>
      </w:r>
      <w:r w:rsidR="001153B8">
        <w:rPr>
          <w:rFonts w:asciiTheme="minorHAnsi" w:hAnsiTheme="minorHAnsi" w:cstheme="minorHAnsi"/>
          <w:sz w:val="22"/>
          <w:szCs w:val="22"/>
        </w:rPr>
        <w:t xml:space="preserve"> Vu le coût et l’intérêt d’un suivi analytique de l’utilisation du FRD, le problème demeure entier.</w:t>
      </w:r>
    </w:p>
    <w:p w:rsidR="00A91725" w:rsidRPr="00A91725" w:rsidRDefault="00A91725" w:rsidP="00A91725">
      <w:pPr>
        <w:pStyle w:val="Paragraphedeliste"/>
        <w:rPr>
          <w:rFonts w:asciiTheme="minorHAnsi" w:hAnsiTheme="minorHAnsi" w:cstheme="minorHAnsi"/>
          <w:sz w:val="22"/>
          <w:szCs w:val="22"/>
        </w:rPr>
      </w:pPr>
    </w:p>
    <w:p w:rsidR="00A91725" w:rsidRPr="003B5FCE" w:rsidRDefault="00A91725" w:rsidP="00A91725">
      <w:pPr>
        <w:pStyle w:val="Paragraphedeliste"/>
        <w:jc w:val="both"/>
        <w:rPr>
          <w:rFonts w:asciiTheme="minorHAnsi" w:hAnsiTheme="minorHAnsi" w:cstheme="minorHAnsi"/>
          <w:b/>
          <w:sz w:val="22"/>
          <w:szCs w:val="22"/>
        </w:rPr>
      </w:pPr>
      <w:r>
        <w:rPr>
          <w:rFonts w:asciiTheme="minorHAnsi" w:hAnsiTheme="minorHAnsi" w:cstheme="minorHAnsi"/>
          <w:sz w:val="22"/>
          <w:szCs w:val="22"/>
        </w:rPr>
        <w:t>Le Comité Technique National de suivi-évaluation du FRD devra ainsi être sollicité pour donner ses orientations en la matière : vers quelle méthode de calcul du taux d’absorption va sa préférence </w:t>
      </w:r>
      <w:r w:rsidRPr="003B5FCE">
        <w:rPr>
          <w:rFonts w:asciiTheme="minorHAnsi" w:hAnsiTheme="minorHAnsi" w:cstheme="minorHAnsi"/>
          <w:b/>
          <w:sz w:val="22"/>
          <w:szCs w:val="22"/>
        </w:rPr>
        <w:t>?</w:t>
      </w:r>
      <w:r w:rsidR="003B5FCE" w:rsidRPr="003B5FCE">
        <w:rPr>
          <w:rFonts w:asciiTheme="minorHAnsi" w:hAnsiTheme="minorHAnsi" w:cstheme="minorHAnsi"/>
          <w:b/>
          <w:sz w:val="22"/>
          <w:szCs w:val="22"/>
        </w:rPr>
        <w:t xml:space="preserve"> Le taux d’absorption n’a-t-il d’intér</w:t>
      </w:r>
      <w:r w:rsidR="003B5FCE">
        <w:rPr>
          <w:rFonts w:asciiTheme="minorHAnsi" w:hAnsiTheme="minorHAnsi" w:cstheme="minorHAnsi"/>
          <w:b/>
          <w:sz w:val="22"/>
          <w:szCs w:val="22"/>
        </w:rPr>
        <w:t>êt que comme indicateur de</w:t>
      </w:r>
      <w:r w:rsidR="003B5FCE" w:rsidRPr="003B5FCE">
        <w:rPr>
          <w:rFonts w:asciiTheme="minorHAnsi" w:hAnsiTheme="minorHAnsi" w:cstheme="minorHAnsi"/>
          <w:b/>
          <w:sz w:val="22"/>
          <w:szCs w:val="22"/>
        </w:rPr>
        <w:t xml:space="preserve"> la </w:t>
      </w:r>
      <w:proofErr w:type="spellStart"/>
      <w:r w:rsidR="003B5FCE" w:rsidRPr="003B5FCE">
        <w:rPr>
          <w:rFonts w:asciiTheme="minorHAnsi" w:hAnsiTheme="minorHAnsi" w:cstheme="minorHAnsi"/>
          <w:b/>
          <w:sz w:val="22"/>
          <w:szCs w:val="22"/>
        </w:rPr>
        <w:t>sous-utilisation</w:t>
      </w:r>
      <w:proofErr w:type="spellEnd"/>
      <w:r w:rsidR="003B5FCE" w:rsidRPr="003B5FCE">
        <w:rPr>
          <w:rFonts w:asciiTheme="minorHAnsi" w:hAnsiTheme="minorHAnsi" w:cstheme="minorHAnsi"/>
          <w:b/>
          <w:sz w:val="22"/>
          <w:szCs w:val="22"/>
        </w:rPr>
        <w:t xml:space="preserve"> du FRD ?</w:t>
      </w:r>
    </w:p>
    <w:p w:rsidR="004E3281" w:rsidRPr="004E3281" w:rsidRDefault="004E3281" w:rsidP="004E3281">
      <w:pPr>
        <w:jc w:val="both"/>
        <w:rPr>
          <w:rFonts w:asciiTheme="minorHAnsi" w:hAnsiTheme="minorHAnsi" w:cstheme="minorHAnsi"/>
          <w:sz w:val="22"/>
          <w:szCs w:val="22"/>
        </w:rPr>
      </w:pPr>
    </w:p>
    <w:p w:rsidR="00A24AA2" w:rsidRPr="00A615FA" w:rsidRDefault="00A24AA2" w:rsidP="002F04D1">
      <w:pPr>
        <w:pStyle w:val="Paragraphedeliste"/>
        <w:numPr>
          <w:ilvl w:val="0"/>
          <w:numId w:val="11"/>
        </w:numPr>
        <w:jc w:val="both"/>
        <w:rPr>
          <w:rFonts w:asciiTheme="minorHAnsi" w:hAnsiTheme="minorHAnsi" w:cstheme="minorHAnsi"/>
          <w:sz w:val="22"/>
          <w:szCs w:val="22"/>
        </w:rPr>
      </w:pPr>
      <w:r>
        <w:rPr>
          <w:rFonts w:asciiTheme="minorHAnsi" w:hAnsiTheme="minorHAnsi" w:cstheme="minorHAnsi"/>
          <w:sz w:val="22"/>
          <w:szCs w:val="22"/>
        </w:rPr>
        <w:t xml:space="preserve">En matière de calcul du montant moyen </w:t>
      </w:r>
      <w:r w:rsidR="00272C9E">
        <w:rPr>
          <w:rFonts w:asciiTheme="minorHAnsi" w:hAnsiTheme="minorHAnsi" w:cstheme="minorHAnsi"/>
          <w:sz w:val="22"/>
          <w:szCs w:val="22"/>
        </w:rPr>
        <w:t>de l’investissement par projet, il faut également rester prudent compte tenu des réserves émises quant à l’appréciation de ce qui a été comptabilisé en tant que projet, sans parler du flou existant parfois en matière de l</w:t>
      </w:r>
      <w:r w:rsidR="00B05B3A">
        <w:rPr>
          <w:rFonts w:asciiTheme="minorHAnsi" w:hAnsiTheme="minorHAnsi" w:cstheme="minorHAnsi"/>
          <w:sz w:val="22"/>
          <w:szCs w:val="22"/>
        </w:rPr>
        <w:t xml:space="preserve">ibellé et de nature de dépense : </w:t>
      </w:r>
      <w:r w:rsidR="004514E3">
        <w:rPr>
          <w:rFonts w:asciiTheme="minorHAnsi" w:hAnsiTheme="minorHAnsi" w:cstheme="minorHAnsi"/>
          <w:sz w:val="22"/>
          <w:szCs w:val="22"/>
        </w:rPr>
        <w:t>confusion entre le secteur des transports et l’équipement en véhicules de la mairie,</w:t>
      </w:r>
      <w:r w:rsidR="00272C9E">
        <w:rPr>
          <w:rFonts w:asciiTheme="minorHAnsi" w:hAnsiTheme="minorHAnsi" w:cstheme="minorHAnsi"/>
          <w:sz w:val="22"/>
          <w:szCs w:val="22"/>
        </w:rPr>
        <w:t xml:space="preserve"> dépenses de maintenance </w:t>
      </w:r>
      <w:r w:rsidR="00B05B3A">
        <w:rPr>
          <w:rFonts w:asciiTheme="minorHAnsi" w:hAnsiTheme="minorHAnsi" w:cstheme="minorHAnsi"/>
          <w:sz w:val="22"/>
          <w:szCs w:val="22"/>
        </w:rPr>
        <w:t xml:space="preserve">ou de réparation de véhicules </w:t>
      </w:r>
      <w:r w:rsidR="00272C9E">
        <w:rPr>
          <w:rFonts w:asciiTheme="minorHAnsi" w:hAnsiTheme="minorHAnsi" w:cstheme="minorHAnsi"/>
          <w:sz w:val="22"/>
          <w:szCs w:val="22"/>
        </w:rPr>
        <w:t>qui n’ont aucune raison d’être immobilisées alors que des études afférentes à de véritables opérations d’investissement sont enregistrées en section de fonctionnement</w:t>
      </w:r>
      <w:r w:rsidR="00B05B3A">
        <w:rPr>
          <w:rFonts w:asciiTheme="minorHAnsi" w:hAnsiTheme="minorHAnsi" w:cstheme="minorHAnsi"/>
          <w:sz w:val="22"/>
          <w:szCs w:val="22"/>
        </w:rPr>
        <w:t>, subventions d’équipement octroyées pour le fonctionnement d’une association (</w:t>
      </w:r>
      <w:r w:rsidR="001D0FB0">
        <w:rPr>
          <w:rFonts w:asciiTheme="minorHAnsi" w:hAnsiTheme="minorHAnsi" w:cstheme="minorHAnsi"/>
          <w:sz w:val="22"/>
          <w:szCs w:val="22"/>
        </w:rPr>
        <w:t xml:space="preserve">exemple d’une </w:t>
      </w:r>
      <w:r w:rsidR="00B05B3A">
        <w:rPr>
          <w:rFonts w:asciiTheme="minorHAnsi" w:hAnsiTheme="minorHAnsi" w:cstheme="minorHAnsi"/>
          <w:sz w:val="22"/>
          <w:szCs w:val="22"/>
        </w:rPr>
        <w:t>organisation d’une semaine culturelle et sportive pour 4 348 302 MRO en faveur d’une association</w:t>
      </w:r>
      <w:r w:rsidR="0017359F">
        <w:rPr>
          <w:rFonts w:asciiTheme="minorHAnsi" w:hAnsiTheme="minorHAnsi" w:cstheme="minorHAnsi"/>
          <w:sz w:val="22"/>
          <w:szCs w:val="22"/>
        </w:rPr>
        <w:t xml:space="preserve"> de la Commune de Ksar avec </w:t>
      </w:r>
      <w:r w:rsidR="00B05B3A">
        <w:rPr>
          <w:rFonts w:asciiTheme="minorHAnsi" w:hAnsiTheme="minorHAnsi" w:cstheme="minorHAnsi"/>
          <w:sz w:val="22"/>
          <w:szCs w:val="22"/>
        </w:rPr>
        <w:t>prise en cha</w:t>
      </w:r>
      <w:r w:rsidR="0017359F">
        <w:rPr>
          <w:rFonts w:asciiTheme="minorHAnsi" w:hAnsiTheme="minorHAnsi" w:cstheme="minorHAnsi"/>
          <w:sz w:val="22"/>
          <w:szCs w:val="22"/>
        </w:rPr>
        <w:t>rge des frais d’hébergement à hauteur de</w:t>
      </w:r>
      <w:r w:rsidR="00B05B3A">
        <w:rPr>
          <w:rFonts w:asciiTheme="minorHAnsi" w:hAnsiTheme="minorHAnsi" w:cstheme="minorHAnsi"/>
          <w:sz w:val="22"/>
          <w:szCs w:val="22"/>
        </w:rPr>
        <w:t xml:space="preserve"> 1 800 000 MRO</w:t>
      </w:r>
      <w:r w:rsidR="00272C9E">
        <w:rPr>
          <w:rFonts w:asciiTheme="minorHAnsi" w:hAnsiTheme="minorHAnsi" w:cstheme="minorHAnsi"/>
          <w:sz w:val="22"/>
          <w:szCs w:val="22"/>
        </w:rPr>
        <w:t xml:space="preserve"> …).</w:t>
      </w:r>
    </w:p>
    <w:p w:rsidR="00272C9E" w:rsidRDefault="00272C9E" w:rsidP="00D747DF">
      <w:pPr>
        <w:jc w:val="both"/>
        <w:rPr>
          <w:rFonts w:asciiTheme="minorHAnsi" w:hAnsiTheme="minorHAnsi" w:cstheme="minorHAnsi"/>
          <w:b/>
          <w:sz w:val="22"/>
          <w:szCs w:val="22"/>
        </w:rPr>
      </w:pPr>
    </w:p>
    <w:p w:rsidR="00D747DF" w:rsidRDefault="00674164" w:rsidP="00D747DF">
      <w:pPr>
        <w:jc w:val="both"/>
        <w:rPr>
          <w:rFonts w:asciiTheme="minorHAnsi" w:hAnsiTheme="minorHAnsi" w:cstheme="minorHAnsi"/>
          <w:b/>
          <w:sz w:val="22"/>
          <w:szCs w:val="22"/>
        </w:rPr>
      </w:pPr>
      <w:r>
        <w:rPr>
          <w:rFonts w:asciiTheme="minorHAnsi" w:hAnsiTheme="minorHAnsi" w:cstheme="minorHAnsi"/>
          <w:b/>
          <w:sz w:val="22"/>
          <w:szCs w:val="22"/>
        </w:rPr>
        <w:t>La prise en compte</w:t>
      </w:r>
      <w:r w:rsidR="00D747DF">
        <w:rPr>
          <w:rFonts w:asciiTheme="minorHAnsi" w:hAnsiTheme="minorHAnsi" w:cstheme="minorHAnsi"/>
          <w:b/>
          <w:sz w:val="22"/>
          <w:szCs w:val="22"/>
        </w:rPr>
        <w:t xml:space="preserve"> du cycle de vie d’une opération d’investissement</w:t>
      </w:r>
      <w:r w:rsidR="0017359F">
        <w:rPr>
          <w:rFonts w:asciiTheme="minorHAnsi" w:hAnsiTheme="minorHAnsi" w:cstheme="minorHAnsi"/>
          <w:b/>
          <w:sz w:val="22"/>
          <w:szCs w:val="22"/>
        </w:rPr>
        <w:t xml:space="preserve"> pour une meilleure </w:t>
      </w:r>
      <w:r>
        <w:rPr>
          <w:rFonts w:asciiTheme="minorHAnsi" w:hAnsiTheme="minorHAnsi" w:cstheme="minorHAnsi"/>
          <w:b/>
          <w:sz w:val="22"/>
          <w:szCs w:val="22"/>
        </w:rPr>
        <w:t>gestion communale</w:t>
      </w:r>
      <w:r w:rsidR="00272C9E">
        <w:rPr>
          <w:rFonts w:asciiTheme="minorHAnsi" w:hAnsiTheme="minorHAnsi" w:cstheme="minorHAnsi"/>
          <w:b/>
          <w:sz w:val="22"/>
          <w:szCs w:val="22"/>
        </w:rPr>
        <w:t> :</w:t>
      </w:r>
    </w:p>
    <w:p w:rsidR="001D0FB0" w:rsidRDefault="001D0FB0" w:rsidP="00D747DF">
      <w:pPr>
        <w:jc w:val="both"/>
        <w:rPr>
          <w:rFonts w:asciiTheme="minorHAnsi" w:hAnsiTheme="minorHAnsi" w:cstheme="minorHAnsi"/>
          <w:b/>
          <w:sz w:val="22"/>
          <w:szCs w:val="22"/>
        </w:rPr>
      </w:pPr>
    </w:p>
    <w:p w:rsidR="00674164" w:rsidRDefault="00272C9E" w:rsidP="00D747DF">
      <w:pPr>
        <w:jc w:val="both"/>
        <w:rPr>
          <w:rFonts w:asciiTheme="minorHAnsi" w:hAnsiTheme="minorHAnsi" w:cstheme="minorHAnsi"/>
          <w:sz w:val="22"/>
          <w:szCs w:val="22"/>
        </w:rPr>
      </w:pPr>
      <w:r w:rsidRPr="00272C9E">
        <w:rPr>
          <w:rFonts w:asciiTheme="minorHAnsi" w:hAnsiTheme="minorHAnsi" w:cstheme="minorHAnsi"/>
          <w:sz w:val="22"/>
          <w:szCs w:val="22"/>
        </w:rPr>
        <w:t xml:space="preserve">Une opération d’investissement </w:t>
      </w:r>
      <w:r>
        <w:rPr>
          <w:rFonts w:asciiTheme="minorHAnsi" w:hAnsiTheme="minorHAnsi" w:cstheme="minorHAnsi"/>
          <w:sz w:val="22"/>
          <w:szCs w:val="22"/>
        </w:rPr>
        <w:t>a sa logique propre</w:t>
      </w:r>
      <w:r w:rsidR="004E3281">
        <w:rPr>
          <w:rFonts w:asciiTheme="minorHAnsi" w:hAnsiTheme="minorHAnsi" w:cstheme="minorHAnsi"/>
          <w:sz w:val="22"/>
          <w:szCs w:val="22"/>
        </w:rPr>
        <w:t>,</w:t>
      </w:r>
      <w:r>
        <w:rPr>
          <w:rFonts w:asciiTheme="minorHAnsi" w:hAnsiTheme="minorHAnsi" w:cstheme="minorHAnsi"/>
          <w:sz w:val="22"/>
          <w:szCs w:val="22"/>
        </w:rPr>
        <w:t xml:space="preserve"> souvent en contradiction avec le dispositif actuel en matière de traitement budgétaire et comptable, mais aussi en matière de financement.</w:t>
      </w:r>
    </w:p>
    <w:p w:rsidR="00272C9E" w:rsidRPr="00272C9E" w:rsidRDefault="00272C9E" w:rsidP="00D747DF">
      <w:pPr>
        <w:jc w:val="both"/>
        <w:rPr>
          <w:rFonts w:asciiTheme="minorHAnsi" w:hAnsiTheme="minorHAnsi" w:cstheme="minorHAnsi"/>
          <w:sz w:val="22"/>
          <w:szCs w:val="22"/>
        </w:rPr>
      </w:pPr>
      <w:r>
        <w:rPr>
          <w:rFonts w:asciiTheme="minorHAnsi" w:hAnsiTheme="minorHAnsi" w:cstheme="minorHAnsi"/>
          <w:sz w:val="22"/>
          <w:szCs w:val="22"/>
        </w:rPr>
        <w:t>Beaucoup d’éléments concourent actuellement à donner aux opérations d’inv</w:t>
      </w:r>
      <w:r w:rsidR="004514E3">
        <w:rPr>
          <w:rFonts w:asciiTheme="minorHAnsi" w:hAnsiTheme="minorHAnsi" w:cstheme="minorHAnsi"/>
          <w:sz w:val="22"/>
          <w:szCs w:val="22"/>
        </w:rPr>
        <w:t>estissement un cadre de mise en œuvre peu approprié : il a été dit que, pour avoir un impact significatif sur le développement local et répondre aux besoins des administrés, il fallait des opérations d’envergure. Mais pour ce faire, des études techniques préalables sont nécessaires pour définir notamment la faisabilité de l’opération ainsi que les coûts prévisionnels. La phase de réalisation peut requérir des mois, compte tenu des aléas à la fois socio-économiques, voire climatiques.</w:t>
      </w:r>
    </w:p>
    <w:p w:rsidR="00D205F6" w:rsidRDefault="004514E3" w:rsidP="00D747DF">
      <w:pPr>
        <w:jc w:val="both"/>
        <w:rPr>
          <w:rFonts w:asciiTheme="minorHAnsi" w:hAnsiTheme="minorHAnsi" w:cstheme="minorHAnsi"/>
          <w:sz w:val="22"/>
          <w:szCs w:val="22"/>
        </w:rPr>
      </w:pPr>
      <w:r w:rsidRPr="004514E3">
        <w:rPr>
          <w:rFonts w:asciiTheme="minorHAnsi" w:hAnsiTheme="minorHAnsi" w:cstheme="minorHAnsi"/>
          <w:sz w:val="22"/>
          <w:szCs w:val="22"/>
        </w:rPr>
        <w:t>Par conséquent</w:t>
      </w:r>
      <w:r>
        <w:rPr>
          <w:rFonts w:asciiTheme="minorHAnsi" w:hAnsiTheme="minorHAnsi" w:cstheme="minorHAnsi"/>
          <w:sz w:val="22"/>
          <w:szCs w:val="22"/>
        </w:rPr>
        <w:t>, le cycle de vie d’une opération d’investissement est pluriannuel</w:t>
      </w:r>
      <w:r w:rsidR="00B05B3A">
        <w:rPr>
          <w:rFonts w:asciiTheme="minorHAnsi" w:hAnsiTheme="minorHAnsi" w:cstheme="minorHAnsi"/>
          <w:sz w:val="22"/>
          <w:szCs w:val="22"/>
        </w:rPr>
        <w:t>, contrairement aux disp</w:t>
      </w:r>
      <w:r w:rsidR="0011396F">
        <w:rPr>
          <w:rFonts w:asciiTheme="minorHAnsi" w:hAnsiTheme="minorHAnsi" w:cstheme="minorHAnsi"/>
          <w:sz w:val="22"/>
          <w:szCs w:val="22"/>
        </w:rPr>
        <w:t xml:space="preserve">ositifs d’attribution du FRD, </w:t>
      </w:r>
      <w:r w:rsidR="00B05B3A">
        <w:rPr>
          <w:rFonts w:asciiTheme="minorHAnsi" w:hAnsiTheme="minorHAnsi" w:cstheme="minorHAnsi"/>
          <w:sz w:val="22"/>
          <w:szCs w:val="22"/>
        </w:rPr>
        <w:t>de gestion budgétaire et comptable</w:t>
      </w:r>
      <w:r w:rsidR="0017359F">
        <w:rPr>
          <w:rFonts w:asciiTheme="minorHAnsi" w:hAnsiTheme="minorHAnsi" w:cstheme="minorHAnsi"/>
          <w:sz w:val="22"/>
          <w:szCs w:val="22"/>
        </w:rPr>
        <w:t>,</w:t>
      </w:r>
      <w:r w:rsidR="00B05B3A">
        <w:rPr>
          <w:rFonts w:asciiTheme="minorHAnsi" w:hAnsiTheme="minorHAnsi" w:cstheme="minorHAnsi"/>
          <w:sz w:val="22"/>
          <w:szCs w:val="22"/>
        </w:rPr>
        <w:t xml:space="preserve"> marqués par le principe de l’annualité (absence de programmation pluriannu</w:t>
      </w:r>
      <w:r w:rsidR="0011396F">
        <w:rPr>
          <w:rFonts w:asciiTheme="minorHAnsi" w:hAnsiTheme="minorHAnsi" w:cstheme="minorHAnsi"/>
          <w:sz w:val="22"/>
          <w:szCs w:val="22"/>
        </w:rPr>
        <w:t xml:space="preserve">elle et d’outils </w:t>
      </w:r>
      <w:r w:rsidR="00B05B3A">
        <w:rPr>
          <w:rFonts w:asciiTheme="minorHAnsi" w:hAnsiTheme="minorHAnsi" w:cstheme="minorHAnsi"/>
          <w:sz w:val="22"/>
          <w:szCs w:val="22"/>
        </w:rPr>
        <w:t>permettant</w:t>
      </w:r>
      <w:r w:rsidR="0011396F">
        <w:rPr>
          <w:rFonts w:asciiTheme="minorHAnsi" w:hAnsiTheme="minorHAnsi" w:cstheme="minorHAnsi"/>
          <w:sz w:val="22"/>
          <w:szCs w:val="22"/>
        </w:rPr>
        <w:t xml:space="preserve"> de </w:t>
      </w:r>
      <w:r w:rsidR="00B05B3A">
        <w:rPr>
          <w:rFonts w:asciiTheme="minorHAnsi" w:hAnsiTheme="minorHAnsi" w:cstheme="minorHAnsi"/>
          <w:sz w:val="22"/>
          <w:szCs w:val="22"/>
        </w:rPr>
        <w:t>gérer</w:t>
      </w:r>
      <w:r w:rsidR="0011396F">
        <w:rPr>
          <w:rFonts w:asciiTheme="minorHAnsi" w:hAnsiTheme="minorHAnsi" w:cstheme="minorHAnsi"/>
          <w:sz w:val="22"/>
          <w:szCs w:val="22"/>
        </w:rPr>
        <w:t xml:space="preserve"> l’opérati</w:t>
      </w:r>
      <w:r w:rsidR="00B62AC0">
        <w:rPr>
          <w:rFonts w:asciiTheme="minorHAnsi" w:hAnsiTheme="minorHAnsi" w:cstheme="minorHAnsi"/>
          <w:sz w:val="22"/>
          <w:szCs w:val="22"/>
        </w:rPr>
        <w:t xml:space="preserve">on au-delà de l’exercice de </w:t>
      </w:r>
      <w:r w:rsidR="0011396F">
        <w:rPr>
          <w:rFonts w:asciiTheme="minorHAnsi" w:hAnsiTheme="minorHAnsi" w:cstheme="minorHAnsi"/>
          <w:sz w:val="22"/>
          <w:szCs w:val="22"/>
        </w:rPr>
        <w:t>démarrage</w:t>
      </w:r>
      <w:r w:rsidR="00B05B3A">
        <w:rPr>
          <w:rFonts w:asciiTheme="minorHAnsi" w:hAnsiTheme="minorHAnsi" w:cstheme="minorHAnsi"/>
          <w:sz w:val="22"/>
          <w:szCs w:val="22"/>
        </w:rPr>
        <w:t>, absence de restes à réaliser en section d’investissement pour éviter les nouvelles inscriptions à chaque début d’exercice</w:t>
      </w:r>
      <w:r w:rsidR="0011396F">
        <w:rPr>
          <w:rFonts w:asciiTheme="minorHAnsi" w:hAnsiTheme="minorHAnsi" w:cstheme="minorHAnsi"/>
          <w:sz w:val="22"/>
          <w:szCs w:val="22"/>
        </w:rPr>
        <w:t xml:space="preserve"> …</w:t>
      </w:r>
      <w:r w:rsidR="001D0FB0">
        <w:rPr>
          <w:rFonts w:asciiTheme="minorHAnsi" w:hAnsiTheme="minorHAnsi" w:cstheme="minorHAnsi"/>
          <w:sz w:val="22"/>
          <w:szCs w:val="22"/>
        </w:rPr>
        <w:t xml:space="preserve">). </w:t>
      </w:r>
    </w:p>
    <w:p w:rsidR="00D205F6" w:rsidRDefault="00D205F6" w:rsidP="00D747DF">
      <w:pPr>
        <w:jc w:val="both"/>
        <w:rPr>
          <w:rFonts w:asciiTheme="minorHAnsi" w:hAnsiTheme="minorHAnsi" w:cstheme="minorHAnsi"/>
          <w:sz w:val="22"/>
          <w:szCs w:val="22"/>
        </w:rPr>
      </w:pPr>
    </w:p>
    <w:p w:rsidR="00674164" w:rsidRDefault="001D0FB0" w:rsidP="00D747DF">
      <w:pPr>
        <w:jc w:val="both"/>
        <w:rPr>
          <w:rFonts w:asciiTheme="minorHAnsi" w:hAnsiTheme="minorHAnsi" w:cstheme="minorHAnsi"/>
          <w:sz w:val="22"/>
          <w:szCs w:val="22"/>
        </w:rPr>
      </w:pPr>
      <w:r>
        <w:rPr>
          <w:rFonts w:asciiTheme="minorHAnsi" w:hAnsiTheme="minorHAnsi" w:cstheme="minorHAnsi"/>
          <w:sz w:val="22"/>
          <w:szCs w:val="22"/>
        </w:rPr>
        <w:t>Les communes sont ainsi poussées, ne serait-ce qu’à la lecture du taux d’absorption, à consommer dans l’année les crédits octroyés au titre d’un exercice particulier.</w:t>
      </w:r>
    </w:p>
    <w:p w:rsidR="0024145A" w:rsidRPr="00CA042A" w:rsidRDefault="00D205F6" w:rsidP="0024145A">
      <w:pPr>
        <w:jc w:val="both"/>
        <w:rPr>
          <w:rFonts w:asciiTheme="minorHAnsi" w:hAnsiTheme="minorHAnsi" w:cstheme="minorHAnsi"/>
          <w:sz w:val="22"/>
          <w:szCs w:val="22"/>
        </w:rPr>
      </w:pPr>
      <w:r>
        <w:rPr>
          <w:rFonts w:asciiTheme="minorHAnsi" w:hAnsiTheme="minorHAnsi" w:cstheme="minorHAnsi"/>
          <w:sz w:val="22"/>
          <w:szCs w:val="22"/>
        </w:rPr>
        <w:t>La</w:t>
      </w:r>
      <w:r w:rsidR="0024145A" w:rsidRPr="00CA042A">
        <w:rPr>
          <w:rFonts w:asciiTheme="minorHAnsi" w:hAnsiTheme="minorHAnsi" w:cstheme="minorHAnsi"/>
          <w:sz w:val="22"/>
          <w:szCs w:val="22"/>
        </w:rPr>
        <w:t xml:space="preserve"> limitation de la parcellisation de</w:t>
      </w:r>
      <w:r>
        <w:rPr>
          <w:rFonts w:asciiTheme="minorHAnsi" w:hAnsiTheme="minorHAnsi" w:cstheme="minorHAnsi"/>
          <w:sz w:val="22"/>
          <w:szCs w:val="22"/>
        </w:rPr>
        <w:t xml:space="preserve"> l’investissement dépend</w:t>
      </w:r>
      <w:r w:rsidR="0024145A" w:rsidRPr="00CA042A">
        <w:rPr>
          <w:rFonts w:asciiTheme="minorHAnsi" w:hAnsiTheme="minorHAnsi" w:cstheme="minorHAnsi"/>
          <w:sz w:val="22"/>
          <w:szCs w:val="22"/>
        </w:rPr>
        <w:t xml:space="preserve"> </w:t>
      </w:r>
      <w:r>
        <w:rPr>
          <w:rFonts w:asciiTheme="minorHAnsi" w:hAnsiTheme="minorHAnsi" w:cstheme="minorHAnsi"/>
          <w:sz w:val="22"/>
          <w:szCs w:val="22"/>
        </w:rPr>
        <w:t xml:space="preserve">pour partie de </w:t>
      </w:r>
      <w:r w:rsidR="0024145A" w:rsidRPr="00CA042A">
        <w:rPr>
          <w:rFonts w:asciiTheme="minorHAnsi" w:hAnsiTheme="minorHAnsi" w:cstheme="minorHAnsi"/>
          <w:sz w:val="22"/>
          <w:szCs w:val="22"/>
        </w:rPr>
        <w:t>la capacité des communes à planifier leur</w:t>
      </w:r>
      <w:r>
        <w:rPr>
          <w:rFonts w:asciiTheme="minorHAnsi" w:hAnsiTheme="minorHAnsi" w:cstheme="minorHAnsi"/>
          <w:sz w:val="22"/>
          <w:szCs w:val="22"/>
        </w:rPr>
        <w:t>s</w:t>
      </w:r>
      <w:r w:rsidR="0024145A" w:rsidRPr="00CA042A">
        <w:rPr>
          <w:rFonts w:asciiTheme="minorHAnsi" w:hAnsiTheme="minorHAnsi" w:cstheme="minorHAnsi"/>
          <w:sz w:val="22"/>
          <w:szCs w:val="22"/>
        </w:rPr>
        <w:t xml:space="preserve"> investissement</w:t>
      </w:r>
      <w:r>
        <w:rPr>
          <w:rFonts w:asciiTheme="minorHAnsi" w:hAnsiTheme="minorHAnsi" w:cstheme="minorHAnsi"/>
          <w:sz w:val="22"/>
          <w:szCs w:val="22"/>
        </w:rPr>
        <w:t xml:space="preserve">s : </w:t>
      </w:r>
      <w:r w:rsidR="0024145A" w:rsidRPr="00CA042A">
        <w:rPr>
          <w:rFonts w:asciiTheme="minorHAnsi" w:hAnsiTheme="minorHAnsi" w:cstheme="minorHAnsi"/>
          <w:sz w:val="22"/>
          <w:szCs w:val="22"/>
        </w:rPr>
        <w:t>orienter les investissements sur des projets dont l’impact potentiel aur</w:t>
      </w:r>
      <w:r>
        <w:rPr>
          <w:rFonts w:asciiTheme="minorHAnsi" w:hAnsiTheme="minorHAnsi" w:cstheme="minorHAnsi"/>
          <w:sz w:val="22"/>
          <w:szCs w:val="22"/>
        </w:rPr>
        <w:t xml:space="preserve">a été mesuré, </w:t>
      </w:r>
      <w:r w:rsidR="0024145A" w:rsidRPr="00CA042A">
        <w:rPr>
          <w:rFonts w:asciiTheme="minorHAnsi" w:hAnsiTheme="minorHAnsi" w:cstheme="minorHAnsi"/>
          <w:sz w:val="22"/>
          <w:szCs w:val="22"/>
        </w:rPr>
        <w:t>limiter la multiplication d’</w:t>
      </w:r>
      <w:r>
        <w:rPr>
          <w:rFonts w:asciiTheme="minorHAnsi" w:hAnsiTheme="minorHAnsi" w:cstheme="minorHAnsi"/>
          <w:sz w:val="22"/>
          <w:szCs w:val="22"/>
        </w:rPr>
        <w:t>investissements « clientélistes »</w:t>
      </w:r>
      <w:r w:rsidR="0024145A" w:rsidRPr="00CA042A">
        <w:rPr>
          <w:rFonts w:asciiTheme="minorHAnsi" w:hAnsiTheme="minorHAnsi" w:cstheme="minorHAnsi"/>
          <w:sz w:val="22"/>
          <w:szCs w:val="22"/>
        </w:rPr>
        <w:t>.</w:t>
      </w:r>
      <w:r>
        <w:rPr>
          <w:rFonts w:asciiTheme="minorHAnsi" w:hAnsiTheme="minorHAnsi" w:cstheme="minorHAnsi"/>
          <w:sz w:val="22"/>
          <w:szCs w:val="22"/>
        </w:rPr>
        <w:t xml:space="preserve"> </w:t>
      </w:r>
      <w:r w:rsidR="0024145A" w:rsidRPr="00CA042A">
        <w:rPr>
          <w:rFonts w:asciiTheme="minorHAnsi" w:hAnsiTheme="minorHAnsi" w:cstheme="minorHAnsi"/>
          <w:sz w:val="22"/>
          <w:szCs w:val="22"/>
        </w:rPr>
        <w:t>C’est dans ce sens que vont les mesures du MIDEC/DGCT visant à la promotion de la planification participative : i) Arrêté n° 680/MIDEC du 17 avril 2011 « définissant les modalités de préparation et de mise en œuvre des plans de développement communal » qui prévoit la constitution dans chaque commune de Comités de Concertation Communale. ii) Publication récente de deux guides</w:t>
      </w:r>
      <w:r w:rsidR="0011396F">
        <w:rPr>
          <w:rFonts w:asciiTheme="minorHAnsi" w:hAnsiTheme="minorHAnsi" w:cstheme="minorHAnsi"/>
          <w:sz w:val="22"/>
          <w:szCs w:val="22"/>
        </w:rPr>
        <w:t>,</w:t>
      </w:r>
      <w:r w:rsidR="0024145A" w:rsidRPr="00CA042A">
        <w:rPr>
          <w:rFonts w:asciiTheme="minorHAnsi" w:hAnsiTheme="minorHAnsi" w:cstheme="minorHAnsi"/>
          <w:sz w:val="22"/>
          <w:szCs w:val="22"/>
        </w:rPr>
        <w:t xml:space="preserve"> l’un portant sur le Comité de Concertation Communale et l’autre sur le Plan de Développement Communal. </w:t>
      </w:r>
    </w:p>
    <w:p w:rsidR="0024145A" w:rsidRDefault="0024145A" w:rsidP="00D747DF">
      <w:pPr>
        <w:jc w:val="both"/>
        <w:rPr>
          <w:rFonts w:asciiTheme="minorHAnsi" w:hAnsiTheme="minorHAnsi" w:cstheme="minorHAnsi"/>
          <w:sz w:val="22"/>
          <w:szCs w:val="22"/>
        </w:rPr>
      </w:pPr>
    </w:p>
    <w:p w:rsidR="001D0FB0" w:rsidRDefault="001D0FB0" w:rsidP="00D747DF">
      <w:pPr>
        <w:jc w:val="both"/>
        <w:rPr>
          <w:rFonts w:asciiTheme="minorHAnsi" w:hAnsiTheme="minorHAnsi" w:cstheme="minorHAnsi"/>
          <w:sz w:val="22"/>
          <w:szCs w:val="22"/>
        </w:rPr>
      </w:pPr>
      <w:r>
        <w:rPr>
          <w:rFonts w:asciiTheme="minorHAnsi" w:hAnsiTheme="minorHAnsi" w:cstheme="minorHAnsi"/>
          <w:sz w:val="22"/>
          <w:szCs w:val="22"/>
        </w:rPr>
        <w:t>Quelles sont dès lors les marges de manœuvre d’une commune qui souhaite entreprendre une opération dont l’enveloppe représente dix fois son enveloppe annuelle de FRD ? Le recours à l’emprunt</w:t>
      </w:r>
      <w:r w:rsidR="00B62AC0">
        <w:rPr>
          <w:rFonts w:asciiTheme="minorHAnsi" w:hAnsiTheme="minorHAnsi" w:cstheme="minorHAnsi"/>
          <w:sz w:val="22"/>
          <w:szCs w:val="22"/>
        </w:rPr>
        <w:t xml:space="preserve"> n’étant pas encore possible</w:t>
      </w:r>
      <w:r>
        <w:rPr>
          <w:rFonts w:asciiTheme="minorHAnsi" w:hAnsiTheme="minorHAnsi" w:cstheme="minorHAnsi"/>
          <w:sz w:val="22"/>
          <w:szCs w:val="22"/>
        </w:rPr>
        <w:t xml:space="preserve">, l’accumulation des crédits au fil des exercices semble être la seule </w:t>
      </w:r>
      <w:r w:rsidR="00B62AC0">
        <w:rPr>
          <w:rFonts w:asciiTheme="minorHAnsi" w:hAnsiTheme="minorHAnsi" w:cstheme="minorHAnsi"/>
          <w:sz w:val="22"/>
          <w:szCs w:val="22"/>
        </w:rPr>
        <w:t>solution envisageable, au prix</w:t>
      </w:r>
      <w:r>
        <w:rPr>
          <w:rFonts w:asciiTheme="minorHAnsi" w:hAnsiTheme="minorHAnsi" w:cstheme="minorHAnsi"/>
          <w:sz w:val="22"/>
          <w:szCs w:val="22"/>
        </w:rPr>
        <w:t xml:space="preserve"> d’une stigmatisation par u</w:t>
      </w:r>
      <w:r w:rsidR="0011396F">
        <w:rPr>
          <w:rFonts w:asciiTheme="minorHAnsi" w:hAnsiTheme="minorHAnsi" w:cstheme="minorHAnsi"/>
          <w:sz w:val="22"/>
          <w:szCs w:val="22"/>
        </w:rPr>
        <w:t>n taux d’absorption jugé comme non satisfaisant.</w:t>
      </w:r>
    </w:p>
    <w:p w:rsidR="001D0FB0" w:rsidRDefault="001D0FB0" w:rsidP="00D747DF">
      <w:pPr>
        <w:jc w:val="both"/>
        <w:rPr>
          <w:rFonts w:asciiTheme="minorHAnsi" w:hAnsiTheme="minorHAnsi" w:cstheme="minorHAnsi"/>
          <w:sz w:val="22"/>
          <w:szCs w:val="22"/>
        </w:rPr>
      </w:pPr>
      <w:r>
        <w:rPr>
          <w:rFonts w:asciiTheme="minorHAnsi" w:hAnsiTheme="minorHAnsi" w:cstheme="minorHAnsi"/>
          <w:sz w:val="22"/>
          <w:szCs w:val="22"/>
        </w:rPr>
        <w:t>Pour mémoire, il convient de rappeler que les communes, une foi</w:t>
      </w:r>
      <w:r w:rsidR="0011396F">
        <w:rPr>
          <w:rFonts w:asciiTheme="minorHAnsi" w:hAnsiTheme="minorHAnsi" w:cstheme="minorHAnsi"/>
          <w:sz w:val="22"/>
          <w:szCs w:val="22"/>
        </w:rPr>
        <w:t>s leurs</w:t>
      </w:r>
      <w:r>
        <w:rPr>
          <w:rFonts w:asciiTheme="minorHAnsi" w:hAnsiTheme="minorHAnsi" w:cstheme="minorHAnsi"/>
          <w:sz w:val="22"/>
          <w:szCs w:val="22"/>
        </w:rPr>
        <w:t xml:space="preserve"> principaux besoin</w:t>
      </w:r>
      <w:r w:rsidR="0011396F">
        <w:rPr>
          <w:rFonts w:asciiTheme="minorHAnsi" w:hAnsiTheme="minorHAnsi" w:cstheme="minorHAnsi"/>
          <w:sz w:val="22"/>
          <w:szCs w:val="22"/>
        </w:rPr>
        <w:t>s en matière de construction de bâtiments communaux et d’</w:t>
      </w:r>
      <w:r>
        <w:rPr>
          <w:rFonts w:asciiTheme="minorHAnsi" w:hAnsiTheme="minorHAnsi" w:cstheme="minorHAnsi"/>
          <w:sz w:val="22"/>
          <w:szCs w:val="22"/>
        </w:rPr>
        <w:t xml:space="preserve">équipement satisfaits, entreront </w:t>
      </w:r>
      <w:r w:rsidR="002B31EC">
        <w:rPr>
          <w:rFonts w:asciiTheme="minorHAnsi" w:hAnsiTheme="minorHAnsi" w:cstheme="minorHAnsi"/>
          <w:sz w:val="22"/>
          <w:szCs w:val="22"/>
        </w:rPr>
        <w:t>de plain-pied dans une dimension à laquelle elles n’avaient pas à faire face.</w:t>
      </w:r>
    </w:p>
    <w:p w:rsidR="002B31EC" w:rsidRPr="004514E3" w:rsidRDefault="002B31EC" w:rsidP="00D747DF">
      <w:pPr>
        <w:jc w:val="both"/>
        <w:rPr>
          <w:rFonts w:asciiTheme="minorHAnsi" w:hAnsiTheme="minorHAnsi" w:cstheme="minorHAnsi"/>
          <w:sz w:val="22"/>
          <w:szCs w:val="22"/>
        </w:rPr>
      </w:pPr>
      <w:r>
        <w:rPr>
          <w:rFonts w:asciiTheme="minorHAnsi" w:hAnsiTheme="minorHAnsi" w:cstheme="minorHAnsi"/>
          <w:sz w:val="22"/>
          <w:szCs w:val="22"/>
        </w:rPr>
        <w:t xml:space="preserve">Une réflexion doit par conséquent être menée pour la gestion et le suivi des opérations d’investissement : définition des critères pour accorder à une action d’équipement le caractère d’opération, lui attribuer un numéro millésimé pour le suivre à travers sa durée de vie (de sa conception </w:t>
      </w:r>
      <w:r w:rsidR="00B468A3">
        <w:rPr>
          <w:rFonts w:asciiTheme="minorHAnsi" w:hAnsiTheme="minorHAnsi" w:cstheme="minorHAnsi"/>
          <w:sz w:val="22"/>
          <w:szCs w:val="22"/>
        </w:rPr>
        <w:t>jusqu’</w:t>
      </w:r>
      <w:r>
        <w:rPr>
          <w:rFonts w:asciiTheme="minorHAnsi" w:hAnsiTheme="minorHAnsi" w:cstheme="minorHAnsi"/>
          <w:sz w:val="22"/>
          <w:szCs w:val="22"/>
        </w:rPr>
        <w:t>à son incorporation dans l’inventaire à la fois comptable et patrimonial), développer les outils budgétaires et comptables idoines pour traiter sa gestion administrative, technique et budgétaire.</w:t>
      </w:r>
    </w:p>
    <w:p w:rsidR="00674164" w:rsidRDefault="00B468A3" w:rsidP="00D747DF">
      <w:pPr>
        <w:jc w:val="both"/>
        <w:rPr>
          <w:rFonts w:asciiTheme="minorHAnsi" w:hAnsiTheme="minorHAnsi" w:cstheme="minorHAnsi"/>
          <w:i/>
          <w:sz w:val="22"/>
          <w:szCs w:val="22"/>
        </w:rPr>
      </w:pPr>
      <w:r w:rsidRPr="00B468A3">
        <w:rPr>
          <w:rFonts w:asciiTheme="minorHAnsi" w:hAnsiTheme="minorHAnsi" w:cstheme="minorHAnsi"/>
          <w:i/>
          <w:sz w:val="22"/>
          <w:szCs w:val="22"/>
        </w:rPr>
        <w:t>Enfin, il fau</w:t>
      </w:r>
      <w:r w:rsidR="0011396F">
        <w:rPr>
          <w:rFonts w:asciiTheme="minorHAnsi" w:hAnsiTheme="minorHAnsi" w:cstheme="minorHAnsi"/>
          <w:i/>
          <w:sz w:val="22"/>
          <w:szCs w:val="22"/>
        </w:rPr>
        <w:t>t également intégrer dans les prévisions budgétaires</w:t>
      </w:r>
      <w:r w:rsidRPr="00B468A3">
        <w:rPr>
          <w:rFonts w:asciiTheme="minorHAnsi" w:hAnsiTheme="minorHAnsi" w:cstheme="minorHAnsi"/>
          <w:i/>
          <w:sz w:val="22"/>
          <w:szCs w:val="22"/>
        </w:rPr>
        <w:t xml:space="preserve"> les charges de fonctionnement induites par l’entretien du nouvel équipement (personnel, maintenance, fluides, assurances …).</w:t>
      </w:r>
      <w:r w:rsidR="0011396F">
        <w:rPr>
          <w:rFonts w:asciiTheme="minorHAnsi" w:hAnsiTheme="minorHAnsi" w:cstheme="minorHAnsi"/>
          <w:i/>
          <w:sz w:val="22"/>
          <w:szCs w:val="22"/>
        </w:rPr>
        <w:t xml:space="preserve"> </w:t>
      </w:r>
      <w:r>
        <w:rPr>
          <w:rFonts w:asciiTheme="minorHAnsi" w:hAnsiTheme="minorHAnsi" w:cstheme="minorHAnsi"/>
          <w:i/>
          <w:sz w:val="22"/>
          <w:szCs w:val="22"/>
        </w:rPr>
        <w:t xml:space="preserve">L’augmentation du patrimoine communal n’est donc pas sans incidence </w:t>
      </w:r>
      <w:r w:rsidR="00B005A5">
        <w:rPr>
          <w:rFonts w:asciiTheme="minorHAnsi" w:hAnsiTheme="minorHAnsi" w:cstheme="minorHAnsi"/>
          <w:i/>
          <w:sz w:val="22"/>
          <w:szCs w:val="22"/>
        </w:rPr>
        <w:t>s</w:t>
      </w:r>
      <w:r>
        <w:rPr>
          <w:rFonts w:asciiTheme="minorHAnsi" w:hAnsiTheme="minorHAnsi" w:cstheme="minorHAnsi"/>
          <w:i/>
          <w:sz w:val="22"/>
          <w:szCs w:val="22"/>
        </w:rPr>
        <w:t>ur la section de fonctionnement censé</w:t>
      </w:r>
      <w:r w:rsidR="00B005A5">
        <w:rPr>
          <w:rFonts w:asciiTheme="minorHAnsi" w:hAnsiTheme="minorHAnsi" w:cstheme="minorHAnsi"/>
          <w:i/>
          <w:sz w:val="22"/>
          <w:szCs w:val="22"/>
        </w:rPr>
        <w:t>e de surcroît générer de l’autofinancement pour amoindrir la dépendance des communes vis-à-vis du FRD.</w:t>
      </w:r>
    </w:p>
    <w:p w:rsidR="00B005A5" w:rsidRPr="00B468A3" w:rsidRDefault="00B005A5" w:rsidP="00D747DF">
      <w:pPr>
        <w:jc w:val="both"/>
        <w:rPr>
          <w:rFonts w:asciiTheme="minorHAnsi" w:hAnsiTheme="minorHAnsi" w:cstheme="minorHAnsi"/>
          <w:i/>
          <w:sz w:val="22"/>
          <w:szCs w:val="22"/>
        </w:rPr>
      </w:pPr>
    </w:p>
    <w:p w:rsidR="00674164" w:rsidRDefault="00674164" w:rsidP="00D747DF">
      <w:pPr>
        <w:jc w:val="both"/>
        <w:rPr>
          <w:rFonts w:asciiTheme="minorHAnsi" w:hAnsiTheme="minorHAnsi" w:cstheme="minorHAnsi"/>
          <w:b/>
          <w:sz w:val="22"/>
          <w:szCs w:val="22"/>
        </w:rPr>
      </w:pPr>
      <w:r>
        <w:rPr>
          <w:rFonts w:asciiTheme="minorHAnsi" w:hAnsiTheme="minorHAnsi" w:cstheme="minorHAnsi"/>
          <w:b/>
          <w:sz w:val="22"/>
          <w:szCs w:val="22"/>
        </w:rPr>
        <w:t>L’évaluation de l’impact du dispositif actuel sur le développement local</w:t>
      </w:r>
      <w:r w:rsidR="0011396F">
        <w:rPr>
          <w:rFonts w:asciiTheme="minorHAnsi" w:hAnsiTheme="minorHAnsi" w:cstheme="minorHAnsi"/>
          <w:b/>
          <w:sz w:val="22"/>
          <w:szCs w:val="22"/>
        </w:rPr>
        <w:t> :</w:t>
      </w:r>
    </w:p>
    <w:p w:rsidR="00674164" w:rsidRDefault="00674164" w:rsidP="00D747DF">
      <w:pPr>
        <w:jc w:val="both"/>
        <w:rPr>
          <w:rFonts w:asciiTheme="minorHAnsi" w:hAnsiTheme="minorHAnsi" w:cstheme="minorHAnsi"/>
          <w:b/>
          <w:sz w:val="22"/>
          <w:szCs w:val="22"/>
        </w:rPr>
      </w:pPr>
    </w:p>
    <w:p w:rsidR="00B005A5" w:rsidRPr="00E46643" w:rsidRDefault="001153B8" w:rsidP="00B005A5">
      <w:pPr>
        <w:jc w:val="both"/>
        <w:rPr>
          <w:rFonts w:asciiTheme="minorHAnsi" w:hAnsiTheme="minorHAnsi" w:cstheme="minorHAnsi"/>
          <w:sz w:val="22"/>
          <w:szCs w:val="22"/>
        </w:rPr>
      </w:pPr>
      <w:r>
        <w:rPr>
          <w:rFonts w:asciiTheme="minorHAnsi" w:hAnsiTheme="minorHAnsi" w:cstheme="minorHAnsi"/>
          <w:sz w:val="22"/>
          <w:szCs w:val="22"/>
        </w:rPr>
        <w:t>Bien que l</w:t>
      </w:r>
      <w:r w:rsidR="00B005A5" w:rsidRPr="00B005A5">
        <w:rPr>
          <w:rFonts w:asciiTheme="minorHAnsi" w:hAnsiTheme="minorHAnsi" w:cstheme="minorHAnsi"/>
          <w:sz w:val="22"/>
          <w:szCs w:val="22"/>
        </w:rPr>
        <w:t xml:space="preserve">es </w:t>
      </w:r>
      <w:r>
        <w:rPr>
          <w:rFonts w:asciiTheme="minorHAnsi" w:hAnsiTheme="minorHAnsi" w:cstheme="minorHAnsi"/>
          <w:sz w:val="22"/>
          <w:szCs w:val="22"/>
        </w:rPr>
        <w:t>communes soient</w:t>
      </w:r>
      <w:r w:rsidR="00B005A5">
        <w:rPr>
          <w:rFonts w:asciiTheme="minorHAnsi" w:hAnsiTheme="minorHAnsi" w:cstheme="minorHAnsi"/>
          <w:sz w:val="22"/>
          <w:szCs w:val="22"/>
        </w:rPr>
        <w:t xml:space="preserve"> souveraines en matière de stratégies d’investissement, force est de constater que, pour la première fois cette année, </w:t>
      </w:r>
      <w:r w:rsidR="00B005A5" w:rsidRPr="00B005A5">
        <w:rPr>
          <w:rFonts w:asciiTheme="minorHAnsi" w:hAnsiTheme="minorHAnsi" w:cstheme="minorHAnsi"/>
          <w:sz w:val="22"/>
          <w:szCs w:val="22"/>
        </w:rPr>
        <w:t>le premier secteur d’investissement pour les communes mauritaniennes en 2012 est celui des bâtiments communaux (3</w:t>
      </w:r>
      <w:r w:rsidR="00B005A5" w:rsidRPr="00B005A5">
        <w:rPr>
          <w:rFonts w:asciiTheme="minorHAnsi" w:hAnsiTheme="minorHAnsi" w:cstheme="minorHAnsi"/>
          <w:sz w:val="22"/>
          <w:szCs w:val="22"/>
          <w:vertAlign w:val="superscript"/>
        </w:rPr>
        <w:t>ème</w:t>
      </w:r>
      <w:r w:rsidR="00B005A5" w:rsidRPr="00B005A5">
        <w:rPr>
          <w:rFonts w:asciiTheme="minorHAnsi" w:hAnsiTheme="minorHAnsi" w:cstheme="minorHAnsi"/>
          <w:sz w:val="22"/>
          <w:szCs w:val="22"/>
        </w:rPr>
        <w:t xml:space="preserve"> en 2011). Il représente plus de 20% de l’investissement total.</w:t>
      </w:r>
      <w:r w:rsidR="00B005A5">
        <w:rPr>
          <w:rFonts w:asciiTheme="minorHAnsi" w:hAnsiTheme="minorHAnsi" w:cstheme="minorHAnsi"/>
          <w:sz w:val="22"/>
          <w:szCs w:val="22"/>
        </w:rPr>
        <w:t xml:space="preserve"> À ces 20% s’ajoutent les 6,53% du secteur de l’équipement des mairies qui arrive </w:t>
      </w:r>
      <w:r w:rsidR="00B005A5" w:rsidRPr="00E46643">
        <w:rPr>
          <w:rFonts w:asciiTheme="minorHAnsi" w:hAnsiTheme="minorHAnsi" w:cstheme="minorHAnsi"/>
          <w:sz w:val="22"/>
          <w:szCs w:val="22"/>
        </w:rPr>
        <w:t>en 5</w:t>
      </w:r>
      <w:r w:rsidR="00B005A5" w:rsidRPr="00E46643">
        <w:rPr>
          <w:rFonts w:asciiTheme="minorHAnsi" w:hAnsiTheme="minorHAnsi" w:cstheme="minorHAnsi"/>
          <w:sz w:val="22"/>
          <w:szCs w:val="22"/>
          <w:vertAlign w:val="superscript"/>
        </w:rPr>
        <w:t>ème</w:t>
      </w:r>
      <w:r w:rsidR="00B005A5">
        <w:rPr>
          <w:rFonts w:asciiTheme="minorHAnsi" w:hAnsiTheme="minorHAnsi" w:cstheme="minorHAnsi"/>
          <w:sz w:val="22"/>
          <w:szCs w:val="22"/>
        </w:rPr>
        <w:t xml:space="preserve"> position (4</w:t>
      </w:r>
      <w:r w:rsidR="00B005A5" w:rsidRPr="004B4F76">
        <w:rPr>
          <w:rFonts w:asciiTheme="minorHAnsi" w:hAnsiTheme="minorHAnsi" w:cstheme="minorHAnsi"/>
          <w:sz w:val="22"/>
          <w:szCs w:val="22"/>
          <w:vertAlign w:val="superscript"/>
        </w:rPr>
        <w:t>ème</w:t>
      </w:r>
      <w:r>
        <w:rPr>
          <w:rFonts w:asciiTheme="minorHAnsi" w:hAnsiTheme="minorHAnsi" w:cstheme="minorHAnsi"/>
          <w:sz w:val="22"/>
          <w:szCs w:val="22"/>
        </w:rPr>
        <w:t xml:space="preserve"> en 2011), </w:t>
      </w:r>
      <w:r w:rsidR="00B005A5">
        <w:rPr>
          <w:rFonts w:asciiTheme="minorHAnsi" w:hAnsiTheme="minorHAnsi" w:cstheme="minorHAnsi"/>
          <w:sz w:val="22"/>
          <w:szCs w:val="22"/>
        </w:rPr>
        <w:t>ainsi qu’</w:t>
      </w:r>
      <w:r>
        <w:rPr>
          <w:rFonts w:asciiTheme="minorHAnsi" w:hAnsiTheme="minorHAnsi" w:cstheme="minorHAnsi"/>
          <w:sz w:val="22"/>
          <w:szCs w:val="22"/>
        </w:rPr>
        <w:t>une part</w:t>
      </w:r>
      <w:r w:rsidR="00B005A5">
        <w:rPr>
          <w:rFonts w:asciiTheme="minorHAnsi" w:hAnsiTheme="minorHAnsi" w:cstheme="minorHAnsi"/>
          <w:sz w:val="22"/>
          <w:szCs w:val="22"/>
        </w:rPr>
        <w:t xml:space="preserve"> non négligeable du secteur des transports dont les dépenses sont souvent des acquisitions de véhicules pour </w:t>
      </w:r>
      <w:r>
        <w:rPr>
          <w:rFonts w:asciiTheme="minorHAnsi" w:hAnsiTheme="minorHAnsi" w:cstheme="minorHAnsi"/>
          <w:sz w:val="22"/>
          <w:szCs w:val="22"/>
        </w:rPr>
        <w:t>le fonctionnement de la Mairie.</w:t>
      </w:r>
    </w:p>
    <w:p w:rsidR="00B005A5" w:rsidRPr="001153B8" w:rsidRDefault="00B005A5" w:rsidP="00B005A5">
      <w:pPr>
        <w:jc w:val="both"/>
        <w:rPr>
          <w:rFonts w:asciiTheme="minorHAnsi" w:hAnsiTheme="minorHAnsi" w:cstheme="minorHAnsi"/>
          <w:sz w:val="22"/>
          <w:szCs w:val="22"/>
        </w:rPr>
      </w:pPr>
      <w:r w:rsidRPr="001153B8">
        <w:rPr>
          <w:rFonts w:asciiTheme="minorHAnsi" w:hAnsiTheme="minorHAnsi" w:cstheme="minorHAnsi"/>
          <w:sz w:val="22"/>
          <w:szCs w:val="22"/>
        </w:rPr>
        <w:t xml:space="preserve">Il détrône ainsi le secteur de l’éducation qui occupait en 2010 et 2012 </w:t>
      </w:r>
      <w:r w:rsidR="0011396F">
        <w:rPr>
          <w:rFonts w:asciiTheme="minorHAnsi" w:hAnsiTheme="minorHAnsi" w:cstheme="minorHAnsi"/>
          <w:sz w:val="22"/>
          <w:szCs w:val="22"/>
        </w:rPr>
        <w:t xml:space="preserve">la première place, relégué </w:t>
      </w:r>
      <w:r w:rsidRPr="001153B8">
        <w:rPr>
          <w:rFonts w:asciiTheme="minorHAnsi" w:hAnsiTheme="minorHAnsi" w:cstheme="minorHAnsi"/>
          <w:sz w:val="22"/>
          <w:szCs w:val="22"/>
        </w:rPr>
        <w:t>en deuxième position avec 19,78% des engagements.</w:t>
      </w:r>
      <w:r w:rsidR="001153B8">
        <w:rPr>
          <w:rFonts w:asciiTheme="minorHAnsi" w:hAnsiTheme="minorHAnsi" w:cstheme="minorHAnsi"/>
          <w:sz w:val="22"/>
          <w:szCs w:val="22"/>
        </w:rPr>
        <w:t xml:space="preserve"> </w:t>
      </w:r>
      <w:r w:rsidR="00B62AC0">
        <w:rPr>
          <w:rFonts w:asciiTheme="minorHAnsi" w:hAnsiTheme="minorHAnsi" w:cstheme="minorHAnsi"/>
          <w:sz w:val="22"/>
          <w:szCs w:val="22"/>
        </w:rPr>
        <w:t xml:space="preserve">Le secteur de l’hydraulique </w:t>
      </w:r>
      <w:r w:rsidRPr="001153B8">
        <w:rPr>
          <w:rFonts w:asciiTheme="minorHAnsi" w:hAnsiTheme="minorHAnsi" w:cstheme="minorHAnsi"/>
          <w:sz w:val="22"/>
          <w:szCs w:val="22"/>
        </w:rPr>
        <w:t>arrive en troisième position (2</w:t>
      </w:r>
      <w:r w:rsidRPr="001153B8">
        <w:rPr>
          <w:rFonts w:asciiTheme="minorHAnsi" w:hAnsiTheme="minorHAnsi" w:cstheme="minorHAnsi"/>
          <w:sz w:val="22"/>
          <w:szCs w:val="22"/>
          <w:vertAlign w:val="superscript"/>
        </w:rPr>
        <w:t>ème</w:t>
      </w:r>
      <w:r w:rsidRPr="001153B8">
        <w:rPr>
          <w:rFonts w:asciiTheme="minorHAnsi" w:hAnsiTheme="minorHAnsi" w:cstheme="minorHAnsi"/>
          <w:sz w:val="22"/>
          <w:szCs w:val="22"/>
        </w:rPr>
        <w:t xml:space="preserve"> en 2011) avec pratiquement 18,76% de l’investissement total. </w:t>
      </w:r>
    </w:p>
    <w:p w:rsidR="00A27296" w:rsidRPr="00B43C12" w:rsidRDefault="001153B8" w:rsidP="00B43C12">
      <w:pPr>
        <w:jc w:val="both"/>
        <w:rPr>
          <w:rFonts w:asciiTheme="minorHAnsi" w:hAnsiTheme="minorHAnsi" w:cstheme="minorHAnsi"/>
          <w:sz w:val="22"/>
          <w:szCs w:val="22"/>
        </w:rPr>
      </w:pPr>
      <w:r>
        <w:rPr>
          <w:rFonts w:asciiTheme="minorHAnsi" w:hAnsiTheme="minorHAnsi" w:cstheme="minorHAnsi"/>
          <w:sz w:val="22"/>
          <w:szCs w:val="22"/>
        </w:rPr>
        <w:t xml:space="preserve">Faut-il craindre une dérive au détriment des usagers ou bien considérer ces dépenses comme un passage obligé, une satisfaction des besoins primaires communaux avant d’entamer </w:t>
      </w:r>
      <w:r w:rsidR="0011396F">
        <w:rPr>
          <w:rFonts w:asciiTheme="minorHAnsi" w:hAnsiTheme="minorHAnsi" w:cstheme="minorHAnsi"/>
          <w:sz w:val="22"/>
          <w:szCs w:val="22"/>
        </w:rPr>
        <w:t xml:space="preserve">véritablement </w:t>
      </w:r>
      <w:r>
        <w:rPr>
          <w:rFonts w:asciiTheme="minorHAnsi" w:hAnsiTheme="minorHAnsi" w:cstheme="minorHAnsi"/>
          <w:sz w:val="22"/>
          <w:szCs w:val="22"/>
        </w:rPr>
        <w:t>la lutte pour le développement local ? Les stratégies des communes les plus avancées, souvent les mieux dotées, sont en la matière plutôt rassurantes : des projets dotés de moyens importants, et visant des secteurs impactant durablement le bien-être des administrés (assainissement</w:t>
      </w:r>
      <w:r w:rsidR="00B43C12">
        <w:rPr>
          <w:rFonts w:asciiTheme="minorHAnsi" w:hAnsiTheme="minorHAnsi" w:cstheme="minorHAnsi"/>
          <w:sz w:val="22"/>
          <w:szCs w:val="22"/>
        </w:rPr>
        <w:t>, hydraulique, santé</w:t>
      </w:r>
      <w:r>
        <w:rPr>
          <w:rFonts w:asciiTheme="minorHAnsi" w:hAnsiTheme="minorHAnsi" w:cstheme="minorHAnsi"/>
          <w:sz w:val="22"/>
          <w:szCs w:val="22"/>
        </w:rPr>
        <w:t xml:space="preserve"> …)</w:t>
      </w:r>
      <w:r w:rsidR="00B43C12">
        <w:rPr>
          <w:rFonts w:asciiTheme="minorHAnsi" w:hAnsiTheme="minorHAnsi" w:cstheme="minorHAnsi"/>
          <w:sz w:val="22"/>
          <w:szCs w:val="22"/>
        </w:rPr>
        <w:t xml:space="preserve">. D’autre part, </w:t>
      </w:r>
      <w:r w:rsidR="00A27296" w:rsidRPr="00B43C12">
        <w:rPr>
          <w:rFonts w:asciiTheme="minorHAnsi" w:hAnsiTheme="minorHAnsi" w:cstheme="minorHAnsi"/>
          <w:sz w:val="22"/>
          <w:szCs w:val="22"/>
        </w:rPr>
        <w:t>le montant moyen des investissements par pr</w:t>
      </w:r>
      <w:r w:rsidR="00B43C12">
        <w:rPr>
          <w:rFonts w:asciiTheme="minorHAnsi" w:hAnsiTheme="minorHAnsi" w:cstheme="minorHAnsi"/>
          <w:sz w:val="22"/>
          <w:szCs w:val="22"/>
        </w:rPr>
        <w:t xml:space="preserve">ojet demeure faible, malgré une légère augmentation constatée en 2012 (+13,80%, passant de 1 094 531 MRO en 2011 à 1 245 534 </w:t>
      </w:r>
      <w:r w:rsidR="00C86F02">
        <w:rPr>
          <w:rFonts w:asciiTheme="minorHAnsi" w:hAnsiTheme="minorHAnsi" w:cstheme="minorHAnsi"/>
          <w:sz w:val="22"/>
          <w:szCs w:val="22"/>
        </w:rPr>
        <w:t>MRO en 2012), bien en deçà des montants généralement admis pour avoir un véritable impact durable et perceptible sur le développement à l’échelle locale.</w:t>
      </w:r>
    </w:p>
    <w:p w:rsidR="00C86F02" w:rsidRPr="00B63AE9" w:rsidRDefault="00C86F02" w:rsidP="00C86F02">
      <w:pPr>
        <w:jc w:val="both"/>
        <w:rPr>
          <w:rFonts w:asciiTheme="minorHAnsi" w:hAnsiTheme="minorHAnsi" w:cstheme="minorHAnsi"/>
          <w:sz w:val="22"/>
          <w:szCs w:val="22"/>
        </w:rPr>
      </w:pPr>
      <w:r>
        <w:rPr>
          <w:rFonts w:asciiTheme="minorHAnsi" w:hAnsiTheme="minorHAnsi" w:cstheme="minorHAnsi"/>
          <w:sz w:val="22"/>
          <w:szCs w:val="22"/>
        </w:rPr>
        <w:t>Il ne s’agit bien entendu que d’un montant moyen et l’on trouvera de temps à autre des projets d’une certaine envergure, mais il démontre une tendance forte de la part des communes à privilégier le nombre de projets plutôt que leur ampleur, voire leur qualité. On pourrait donc penser qu’accroître les capacités financières des communes n’aurait que peu d’impact sur la diminution de la parc</w:t>
      </w:r>
      <w:r w:rsidR="007C3C0C">
        <w:rPr>
          <w:rFonts w:asciiTheme="minorHAnsi" w:hAnsiTheme="minorHAnsi" w:cstheme="minorHAnsi"/>
          <w:sz w:val="22"/>
          <w:szCs w:val="22"/>
        </w:rPr>
        <w:t>ellisation de l’investissement.</w:t>
      </w:r>
    </w:p>
    <w:p w:rsidR="007C3C0C" w:rsidRDefault="007C3C0C" w:rsidP="00A27296">
      <w:pPr>
        <w:jc w:val="both"/>
        <w:rPr>
          <w:rFonts w:asciiTheme="minorHAnsi" w:hAnsiTheme="minorHAnsi" w:cstheme="minorHAnsi"/>
          <w:sz w:val="22"/>
          <w:szCs w:val="22"/>
        </w:rPr>
      </w:pPr>
    </w:p>
    <w:p w:rsidR="007C3C0C" w:rsidRDefault="00B43C12" w:rsidP="00A27296">
      <w:pPr>
        <w:jc w:val="both"/>
        <w:rPr>
          <w:rFonts w:asciiTheme="minorHAnsi" w:hAnsiTheme="minorHAnsi" w:cstheme="minorHAnsi"/>
          <w:sz w:val="22"/>
          <w:szCs w:val="22"/>
        </w:rPr>
      </w:pPr>
      <w:r>
        <w:rPr>
          <w:rFonts w:asciiTheme="minorHAnsi" w:hAnsiTheme="minorHAnsi" w:cstheme="minorHAnsi"/>
          <w:sz w:val="22"/>
          <w:szCs w:val="22"/>
        </w:rPr>
        <w:t>Comme cela a été souligné l’année dernière</w:t>
      </w:r>
      <w:r w:rsidR="007C3C0C">
        <w:rPr>
          <w:rFonts w:asciiTheme="minorHAnsi" w:hAnsiTheme="minorHAnsi" w:cstheme="minorHAnsi"/>
          <w:sz w:val="22"/>
          <w:szCs w:val="22"/>
        </w:rPr>
        <w:t>, il est certain</w:t>
      </w:r>
      <w:r w:rsidR="00A27296">
        <w:rPr>
          <w:rFonts w:asciiTheme="minorHAnsi" w:hAnsiTheme="minorHAnsi" w:cstheme="minorHAnsi"/>
          <w:sz w:val="22"/>
          <w:szCs w:val="22"/>
        </w:rPr>
        <w:t xml:space="preserve"> que les program</w:t>
      </w:r>
      <w:r w:rsidR="00CA645F">
        <w:rPr>
          <w:rFonts w:asciiTheme="minorHAnsi" w:hAnsiTheme="minorHAnsi" w:cstheme="minorHAnsi"/>
          <w:sz w:val="22"/>
          <w:szCs w:val="22"/>
        </w:rPr>
        <w:t>mes sectoriels gérés par les m</w:t>
      </w:r>
      <w:r w:rsidR="00A27296">
        <w:rPr>
          <w:rFonts w:asciiTheme="minorHAnsi" w:hAnsiTheme="minorHAnsi" w:cstheme="minorHAnsi"/>
          <w:sz w:val="22"/>
          <w:szCs w:val="22"/>
        </w:rPr>
        <w:t>inistères réalisent le principal d</w:t>
      </w:r>
      <w:r w:rsidR="00CA645F">
        <w:rPr>
          <w:rFonts w:asciiTheme="minorHAnsi" w:hAnsiTheme="minorHAnsi" w:cstheme="minorHAnsi"/>
          <w:sz w:val="22"/>
          <w:szCs w:val="22"/>
        </w:rPr>
        <w:t>es investissements : l</w:t>
      </w:r>
      <w:r w:rsidR="00A27296">
        <w:rPr>
          <w:rFonts w:asciiTheme="minorHAnsi" w:hAnsiTheme="minorHAnsi" w:cstheme="minorHAnsi"/>
          <w:sz w:val="22"/>
          <w:szCs w:val="22"/>
        </w:rPr>
        <w:t>es projets communaux se limitant à de la réfection, de l’équipement</w:t>
      </w:r>
      <w:r>
        <w:rPr>
          <w:rFonts w:asciiTheme="minorHAnsi" w:hAnsiTheme="minorHAnsi" w:cstheme="minorHAnsi"/>
          <w:sz w:val="22"/>
          <w:szCs w:val="22"/>
        </w:rPr>
        <w:t xml:space="preserve"> et de la construction de micro-</w:t>
      </w:r>
      <w:r w:rsidR="00A27296">
        <w:rPr>
          <w:rFonts w:asciiTheme="minorHAnsi" w:hAnsiTheme="minorHAnsi" w:cstheme="minorHAnsi"/>
          <w:sz w:val="22"/>
          <w:szCs w:val="22"/>
        </w:rPr>
        <w:t>infrastructures</w:t>
      </w:r>
      <w:r w:rsidR="007C3C0C">
        <w:rPr>
          <w:rFonts w:asciiTheme="minorHAnsi" w:hAnsiTheme="minorHAnsi" w:cstheme="minorHAnsi"/>
          <w:sz w:val="22"/>
          <w:szCs w:val="22"/>
        </w:rPr>
        <w:t xml:space="preserve">. </w:t>
      </w:r>
    </w:p>
    <w:p w:rsidR="00A27296" w:rsidRDefault="00202877" w:rsidP="00A27296">
      <w:pPr>
        <w:jc w:val="both"/>
        <w:rPr>
          <w:rFonts w:asciiTheme="minorHAnsi" w:hAnsiTheme="minorHAnsi" w:cstheme="minorHAnsi"/>
          <w:sz w:val="22"/>
          <w:szCs w:val="22"/>
        </w:rPr>
      </w:pPr>
      <w:r>
        <w:rPr>
          <w:rFonts w:asciiTheme="minorHAnsi" w:hAnsiTheme="minorHAnsi" w:cstheme="minorHAnsi"/>
          <w:sz w:val="22"/>
          <w:szCs w:val="22"/>
        </w:rPr>
        <w:t>Une évaluation de l’impact du FRD, financée par sa part « suivi-évaluation</w:t>
      </w:r>
      <w:r w:rsidR="00CA645F">
        <w:rPr>
          <w:rFonts w:asciiTheme="minorHAnsi" w:hAnsiTheme="minorHAnsi" w:cstheme="minorHAnsi"/>
          <w:sz w:val="22"/>
          <w:szCs w:val="22"/>
        </w:rPr>
        <w:t> »</w:t>
      </w:r>
      <w:r>
        <w:rPr>
          <w:rFonts w:asciiTheme="minorHAnsi" w:hAnsiTheme="minorHAnsi" w:cstheme="minorHAnsi"/>
          <w:sz w:val="22"/>
          <w:szCs w:val="22"/>
        </w:rPr>
        <w:t xml:space="preserve"> dotée de 70 millions d’ouguiya</w:t>
      </w:r>
      <w:r w:rsidR="007C319A">
        <w:rPr>
          <w:rFonts w:asciiTheme="minorHAnsi" w:hAnsiTheme="minorHAnsi" w:cstheme="minorHAnsi"/>
          <w:sz w:val="22"/>
          <w:szCs w:val="22"/>
        </w:rPr>
        <w:t>, sur le</w:t>
      </w:r>
      <w:r>
        <w:rPr>
          <w:rFonts w:asciiTheme="minorHAnsi" w:hAnsiTheme="minorHAnsi" w:cstheme="minorHAnsi"/>
          <w:sz w:val="22"/>
          <w:szCs w:val="22"/>
        </w:rPr>
        <w:t xml:space="preserve"> développement local, à travers notamment l’atteinte des objectifs du Millénaire pour le développement, pourra ainsi nous éclairer sur les actions à mener pour augmenter l’efficacité de l’instrument</w:t>
      </w:r>
      <w:r w:rsidR="00E01FD0">
        <w:rPr>
          <w:rFonts w:asciiTheme="minorHAnsi" w:hAnsiTheme="minorHAnsi" w:cstheme="minorHAnsi"/>
          <w:sz w:val="22"/>
          <w:szCs w:val="22"/>
        </w:rPr>
        <w:t xml:space="preserve"> ainsi que la qualité des équipements construits ou acquis</w:t>
      </w:r>
      <w:r w:rsidR="00CA645F">
        <w:rPr>
          <w:rFonts w:asciiTheme="minorHAnsi" w:hAnsiTheme="minorHAnsi" w:cstheme="minorHAnsi"/>
          <w:sz w:val="22"/>
          <w:szCs w:val="22"/>
        </w:rPr>
        <w:t xml:space="preserve"> à titre onéreux (à raison</w:t>
      </w:r>
      <w:r w:rsidR="00E01FD0">
        <w:rPr>
          <w:rFonts w:asciiTheme="minorHAnsi" w:hAnsiTheme="minorHAnsi" w:cstheme="minorHAnsi"/>
          <w:sz w:val="22"/>
          <w:szCs w:val="22"/>
        </w:rPr>
        <w:t xml:space="preserve"> des procédures de mise en concurrence, des études, de la qualité du suivi des travaux et de leur réception …)</w:t>
      </w:r>
      <w:r>
        <w:rPr>
          <w:rFonts w:asciiTheme="minorHAnsi" w:hAnsiTheme="minorHAnsi" w:cstheme="minorHAnsi"/>
          <w:sz w:val="22"/>
          <w:szCs w:val="22"/>
        </w:rPr>
        <w:t>.</w:t>
      </w:r>
    </w:p>
    <w:p w:rsidR="007C319A" w:rsidRDefault="007C319A" w:rsidP="00A27296">
      <w:pPr>
        <w:jc w:val="both"/>
        <w:rPr>
          <w:rFonts w:asciiTheme="minorHAnsi" w:hAnsiTheme="minorHAnsi" w:cstheme="minorHAnsi"/>
          <w:sz w:val="22"/>
          <w:szCs w:val="22"/>
        </w:rPr>
      </w:pPr>
    </w:p>
    <w:p w:rsidR="00A27296" w:rsidRPr="00CA042A" w:rsidRDefault="00A27296" w:rsidP="00A27296">
      <w:pPr>
        <w:pStyle w:val="Paragraphedeliste"/>
        <w:ind w:left="1440"/>
        <w:jc w:val="both"/>
        <w:rPr>
          <w:rFonts w:asciiTheme="minorHAnsi" w:hAnsiTheme="minorHAnsi" w:cstheme="minorHAnsi"/>
          <w:sz w:val="22"/>
          <w:szCs w:val="22"/>
        </w:rPr>
      </w:pPr>
    </w:p>
    <w:p w:rsidR="00A27296" w:rsidRPr="00757E75" w:rsidRDefault="00A27296" w:rsidP="002F04D1">
      <w:pPr>
        <w:pStyle w:val="Paragraphedeliste"/>
        <w:numPr>
          <w:ilvl w:val="0"/>
          <w:numId w:val="6"/>
        </w:numPr>
        <w:jc w:val="both"/>
        <w:rPr>
          <w:rFonts w:asciiTheme="minorHAnsi" w:hAnsiTheme="minorHAnsi" w:cstheme="minorHAnsi"/>
          <w:b/>
        </w:rPr>
      </w:pPr>
      <w:r w:rsidRPr="00757E75">
        <w:rPr>
          <w:rFonts w:asciiTheme="minorHAnsi" w:hAnsiTheme="minorHAnsi" w:cstheme="minorHAnsi"/>
          <w:b/>
        </w:rPr>
        <w:t>Propositions et recommandations générales</w:t>
      </w:r>
    </w:p>
    <w:p w:rsidR="00A27296" w:rsidRPr="00757E75" w:rsidRDefault="00A27296" w:rsidP="00A27296">
      <w:pPr>
        <w:jc w:val="both"/>
        <w:rPr>
          <w:rFonts w:asciiTheme="minorHAnsi" w:hAnsiTheme="minorHAnsi" w:cstheme="minorHAnsi"/>
        </w:rPr>
      </w:pPr>
    </w:p>
    <w:p w:rsidR="00A27296" w:rsidRPr="00CA042A" w:rsidRDefault="00FB2ADD" w:rsidP="00A27296">
      <w:pPr>
        <w:jc w:val="both"/>
        <w:rPr>
          <w:rFonts w:asciiTheme="minorHAnsi" w:hAnsiTheme="minorHAnsi" w:cstheme="minorHAnsi"/>
          <w:sz w:val="22"/>
          <w:szCs w:val="22"/>
        </w:rPr>
      </w:pPr>
      <w:r>
        <w:rPr>
          <w:rFonts w:asciiTheme="minorHAnsi" w:hAnsiTheme="minorHAnsi" w:cstheme="minorHAnsi"/>
          <w:sz w:val="22"/>
          <w:szCs w:val="22"/>
        </w:rPr>
        <w:t xml:space="preserve">Investissement communal faible, dispersé, et </w:t>
      </w:r>
      <w:r w:rsidR="00A27296" w:rsidRPr="00CA042A">
        <w:rPr>
          <w:rFonts w:asciiTheme="minorHAnsi" w:hAnsiTheme="minorHAnsi" w:cstheme="minorHAnsi"/>
          <w:sz w:val="22"/>
          <w:szCs w:val="22"/>
        </w:rPr>
        <w:t>impact limité</w:t>
      </w:r>
      <w:r>
        <w:rPr>
          <w:rFonts w:asciiTheme="minorHAnsi" w:hAnsiTheme="minorHAnsi" w:cstheme="minorHAnsi"/>
          <w:sz w:val="22"/>
          <w:szCs w:val="22"/>
        </w:rPr>
        <w:t> : le constat n’a malheureusement pas varié</w:t>
      </w:r>
      <w:r w:rsidR="00324204">
        <w:rPr>
          <w:rFonts w:asciiTheme="minorHAnsi" w:hAnsiTheme="minorHAnsi" w:cstheme="minorHAnsi"/>
          <w:sz w:val="22"/>
          <w:szCs w:val="22"/>
        </w:rPr>
        <w:t xml:space="preserve">, malgré les </w:t>
      </w:r>
      <w:r w:rsidR="007C3C0C">
        <w:rPr>
          <w:rFonts w:asciiTheme="minorHAnsi" w:hAnsiTheme="minorHAnsi" w:cstheme="minorHAnsi"/>
          <w:sz w:val="22"/>
          <w:szCs w:val="22"/>
        </w:rPr>
        <w:t>340 millions d’ouguiya</w:t>
      </w:r>
      <w:r w:rsidR="00A06A72">
        <w:rPr>
          <w:rFonts w:asciiTheme="minorHAnsi" w:hAnsiTheme="minorHAnsi" w:cstheme="minorHAnsi"/>
          <w:sz w:val="22"/>
          <w:szCs w:val="22"/>
        </w:rPr>
        <w:t xml:space="preserve"> supplémentaires au titre de l’exercice 2012 (+16,67%)</w:t>
      </w:r>
      <w:r>
        <w:rPr>
          <w:rFonts w:asciiTheme="minorHAnsi" w:hAnsiTheme="minorHAnsi" w:cstheme="minorHAnsi"/>
          <w:sz w:val="22"/>
          <w:szCs w:val="22"/>
        </w:rPr>
        <w:t>. Toutefois, des</w:t>
      </w:r>
      <w:r w:rsidR="000E62A6">
        <w:rPr>
          <w:rFonts w:asciiTheme="minorHAnsi" w:hAnsiTheme="minorHAnsi" w:cstheme="minorHAnsi"/>
          <w:sz w:val="22"/>
          <w:szCs w:val="22"/>
        </w:rPr>
        <w:t xml:space="preserve"> réflexions continuent d’être </w:t>
      </w:r>
      <w:r w:rsidR="00A27296" w:rsidRPr="00CA042A">
        <w:rPr>
          <w:rFonts w:asciiTheme="minorHAnsi" w:hAnsiTheme="minorHAnsi" w:cstheme="minorHAnsi"/>
          <w:sz w:val="22"/>
          <w:szCs w:val="22"/>
        </w:rPr>
        <w:t>menées pour y remédier :</w:t>
      </w:r>
    </w:p>
    <w:p w:rsidR="00A27296" w:rsidRPr="00CA042A" w:rsidRDefault="00A27296" w:rsidP="00A27296">
      <w:pPr>
        <w:jc w:val="both"/>
        <w:rPr>
          <w:rFonts w:asciiTheme="minorHAnsi" w:hAnsiTheme="minorHAnsi" w:cstheme="minorHAnsi"/>
          <w:sz w:val="22"/>
          <w:szCs w:val="22"/>
        </w:rPr>
      </w:pPr>
    </w:p>
    <w:p w:rsidR="00A27296" w:rsidRPr="00CE20FD" w:rsidRDefault="00A27296" w:rsidP="002F04D1">
      <w:pPr>
        <w:pStyle w:val="Paragraphedeliste"/>
        <w:numPr>
          <w:ilvl w:val="0"/>
          <w:numId w:val="7"/>
        </w:numPr>
        <w:jc w:val="both"/>
        <w:rPr>
          <w:rFonts w:asciiTheme="minorHAnsi" w:hAnsiTheme="minorHAnsi" w:cstheme="minorHAnsi"/>
          <w:b/>
          <w:sz w:val="22"/>
          <w:szCs w:val="22"/>
        </w:rPr>
      </w:pPr>
      <w:r w:rsidRPr="00CE20FD">
        <w:rPr>
          <w:rFonts w:asciiTheme="minorHAnsi" w:hAnsiTheme="minorHAnsi" w:cstheme="minorHAnsi"/>
          <w:b/>
          <w:sz w:val="22"/>
          <w:szCs w:val="22"/>
        </w:rPr>
        <w:t>Renforcement de la capacité financière des communes</w:t>
      </w:r>
      <w:r w:rsidR="007C3C0C">
        <w:rPr>
          <w:rFonts w:asciiTheme="minorHAnsi" w:hAnsiTheme="minorHAnsi" w:cstheme="minorHAnsi"/>
          <w:b/>
          <w:sz w:val="22"/>
          <w:szCs w:val="22"/>
        </w:rPr>
        <w:t> :</w:t>
      </w:r>
    </w:p>
    <w:p w:rsidR="00A27296" w:rsidRPr="00CA042A" w:rsidRDefault="00A27296" w:rsidP="00A27296">
      <w:pPr>
        <w:jc w:val="both"/>
        <w:rPr>
          <w:rFonts w:asciiTheme="minorHAnsi" w:hAnsiTheme="minorHAnsi" w:cstheme="minorHAnsi"/>
          <w:sz w:val="22"/>
          <w:szCs w:val="22"/>
        </w:rPr>
      </w:pPr>
    </w:p>
    <w:p w:rsidR="009C1346" w:rsidRDefault="009C1346" w:rsidP="00A27296">
      <w:pPr>
        <w:jc w:val="both"/>
        <w:rPr>
          <w:rFonts w:asciiTheme="minorHAnsi" w:hAnsiTheme="minorHAnsi" w:cstheme="minorHAnsi"/>
          <w:sz w:val="22"/>
          <w:szCs w:val="22"/>
        </w:rPr>
      </w:pPr>
      <w:r>
        <w:rPr>
          <w:rFonts w:asciiTheme="minorHAnsi" w:hAnsiTheme="minorHAnsi" w:cstheme="minorHAnsi"/>
          <w:sz w:val="22"/>
          <w:szCs w:val="22"/>
        </w:rPr>
        <w:t>Pour lutter efficacement contre la dispersion de l’investissement</w:t>
      </w:r>
      <w:r w:rsidR="007C319A">
        <w:rPr>
          <w:rFonts w:asciiTheme="minorHAnsi" w:hAnsiTheme="minorHAnsi" w:cstheme="minorHAnsi"/>
          <w:sz w:val="22"/>
          <w:szCs w:val="22"/>
        </w:rPr>
        <w:t>, il faudrait pouvoir mettre sur pied</w:t>
      </w:r>
      <w:r>
        <w:rPr>
          <w:rFonts w:asciiTheme="minorHAnsi" w:hAnsiTheme="minorHAnsi" w:cstheme="minorHAnsi"/>
          <w:sz w:val="22"/>
          <w:szCs w:val="22"/>
        </w:rPr>
        <w:t>, en complément du système actuel d’attribution du FRD</w:t>
      </w:r>
      <w:r w:rsidR="004C610C">
        <w:rPr>
          <w:rFonts w:asciiTheme="minorHAnsi" w:hAnsiTheme="minorHAnsi" w:cstheme="minorHAnsi"/>
          <w:sz w:val="22"/>
          <w:szCs w:val="22"/>
        </w:rPr>
        <w:t xml:space="preserve"> que certains taxent de « passivité »</w:t>
      </w:r>
      <w:r>
        <w:rPr>
          <w:rFonts w:asciiTheme="minorHAnsi" w:hAnsiTheme="minorHAnsi" w:cstheme="minorHAnsi"/>
          <w:sz w:val="22"/>
          <w:szCs w:val="22"/>
        </w:rPr>
        <w:t xml:space="preserve">, </w:t>
      </w:r>
      <w:r w:rsidR="007C319A">
        <w:rPr>
          <w:rFonts w:asciiTheme="minorHAnsi" w:hAnsiTheme="minorHAnsi" w:cstheme="minorHAnsi"/>
          <w:sz w:val="22"/>
          <w:szCs w:val="22"/>
        </w:rPr>
        <w:t>un mécanisme de financement per</w:t>
      </w:r>
      <w:r w:rsidR="000E62A6">
        <w:rPr>
          <w:rFonts w:asciiTheme="minorHAnsi" w:hAnsiTheme="minorHAnsi" w:cstheme="minorHAnsi"/>
          <w:sz w:val="22"/>
          <w:szCs w:val="22"/>
        </w:rPr>
        <w:t xml:space="preserve">mettant aux communes </w:t>
      </w:r>
      <w:r w:rsidR="00A06A72">
        <w:rPr>
          <w:rFonts w:asciiTheme="minorHAnsi" w:hAnsiTheme="minorHAnsi" w:cstheme="minorHAnsi"/>
          <w:sz w:val="22"/>
          <w:szCs w:val="22"/>
        </w:rPr>
        <w:t xml:space="preserve">qui le souhaitent </w:t>
      </w:r>
      <w:r w:rsidR="000E62A6">
        <w:rPr>
          <w:rFonts w:asciiTheme="minorHAnsi" w:hAnsiTheme="minorHAnsi" w:cstheme="minorHAnsi"/>
          <w:sz w:val="22"/>
          <w:szCs w:val="22"/>
        </w:rPr>
        <w:t>d’</w:t>
      </w:r>
      <w:r w:rsidR="007C319A">
        <w:rPr>
          <w:rFonts w:asciiTheme="minorHAnsi" w:hAnsiTheme="minorHAnsi" w:cstheme="minorHAnsi"/>
          <w:sz w:val="22"/>
          <w:szCs w:val="22"/>
        </w:rPr>
        <w:t>entreprendre des opérations d’investissement de grande ampleur</w:t>
      </w:r>
      <w:r w:rsidR="000E62A6">
        <w:rPr>
          <w:rFonts w:asciiTheme="minorHAnsi" w:hAnsiTheme="minorHAnsi" w:cstheme="minorHAnsi"/>
          <w:sz w:val="22"/>
          <w:szCs w:val="22"/>
        </w:rPr>
        <w:t xml:space="preserve"> sans avoir à accumuler sur plusieurs exercices les crédits suffisants</w:t>
      </w:r>
      <w:r w:rsidR="007C319A">
        <w:rPr>
          <w:rFonts w:asciiTheme="minorHAnsi" w:hAnsiTheme="minorHAnsi" w:cstheme="minorHAnsi"/>
          <w:sz w:val="22"/>
          <w:szCs w:val="22"/>
        </w:rPr>
        <w:t xml:space="preserve">. </w:t>
      </w:r>
    </w:p>
    <w:p w:rsidR="009F1957" w:rsidRDefault="009F1957" w:rsidP="009C1346">
      <w:pPr>
        <w:jc w:val="both"/>
        <w:rPr>
          <w:rFonts w:asciiTheme="minorHAnsi" w:hAnsiTheme="minorHAnsi" w:cstheme="minorHAnsi"/>
          <w:sz w:val="22"/>
          <w:szCs w:val="22"/>
        </w:rPr>
      </w:pPr>
    </w:p>
    <w:p w:rsidR="009F1957" w:rsidRDefault="009C1346" w:rsidP="009C1346">
      <w:pPr>
        <w:jc w:val="both"/>
        <w:rPr>
          <w:rFonts w:asciiTheme="minorHAnsi" w:hAnsiTheme="minorHAnsi" w:cstheme="minorHAnsi"/>
          <w:sz w:val="22"/>
          <w:szCs w:val="22"/>
        </w:rPr>
      </w:pPr>
      <w:r>
        <w:rPr>
          <w:rFonts w:asciiTheme="minorHAnsi" w:hAnsiTheme="minorHAnsi" w:cstheme="minorHAnsi"/>
          <w:sz w:val="22"/>
          <w:szCs w:val="22"/>
        </w:rPr>
        <w:t>Pour ce faire, plusieurs pistes peuvent être envisagées :</w:t>
      </w:r>
    </w:p>
    <w:p w:rsidR="009F1957" w:rsidRDefault="009F1957" w:rsidP="009C1346">
      <w:pPr>
        <w:jc w:val="both"/>
        <w:rPr>
          <w:rFonts w:asciiTheme="minorHAnsi" w:hAnsiTheme="minorHAnsi" w:cstheme="minorHAnsi"/>
          <w:sz w:val="22"/>
          <w:szCs w:val="22"/>
        </w:rPr>
      </w:pPr>
    </w:p>
    <w:p w:rsidR="009C1346" w:rsidRPr="00001DD3" w:rsidRDefault="009F1957" w:rsidP="002F04D1">
      <w:pPr>
        <w:pStyle w:val="Paragraphedeliste"/>
        <w:numPr>
          <w:ilvl w:val="0"/>
          <w:numId w:val="11"/>
        </w:numPr>
        <w:jc w:val="both"/>
        <w:rPr>
          <w:rFonts w:asciiTheme="minorHAnsi" w:hAnsiTheme="minorHAnsi" w:cstheme="minorHAnsi"/>
          <w:b/>
          <w:i/>
          <w:sz w:val="22"/>
          <w:szCs w:val="22"/>
        </w:rPr>
      </w:pPr>
      <w:r w:rsidRPr="00001DD3">
        <w:rPr>
          <w:rFonts w:asciiTheme="minorHAnsi" w:hAnsiTheme="minorHAnsi" w:cstheme="minorHAnsi"/>
          <w:b/>
          <w:i/>
          <w:sz w:val="22"/>
          <w:szCs w:val="22"/>
        </w:rPr>
        <w:t>Nouvelle c</w:t>
      </w:r>
      <w:r w:rsidR="009C1346" w:rsidRPr="00001DD3">
        <w:rPr>
          <w:rFonts w:asciiTheme="minorHAnsi" w:hAnsiTheme="minorHAnsi" w:cstheme="minorHAnsi"/>
          <w:b/>
          <w:i/>
          <w:sz w:val="22"/>
          <w:szCs w:val="22"/>
        </w:rPr>
        <w:t>omposante du FRD qui, après sélec</w:t>
      </w:r>
      <w:r w:rsidRPr="00001DD3">
        <w:rPr>
          <w:rFonts w:asciiTheme="minorHAnsi" w:hAnsiTheme="minorHAnsi" w:cstheme="minorHAnsi"/>
          <w:b/>
          <w:i/>
          <w:sz w:val="22"/>
          <w:szCs w:val="22"/>
        </w:rPr>
        <w:t>tion des dossiers, p</w:t>
      </w:r>
      <w:r w:rsidR="009B63C8" w:rsidRPr="00001DD3">
        <w:rPr>
          <w:rFonts w:asciiTheme="minorHAnsi" w:hAnsiTheme="minorHAnsi" w:cstheme="minorHAnsi"/>
          <w:b/>
          <w:i/>
          <w:sz w:val="22"/>
          <w:szCs w:val="22"/>
        </w:rPr>
        <w:t>ermet</w:t>
      </w:r>
      <w:r w:rsidR="009C1346" w:rsidRPr="00001DD3">
        <w:rPr>
          <w:rFonts w:asciiTheme="minorHAnsi" w:hAnsiTheme="minorHAnsi" w:cstheme="minorHAnsi"/>
          <w:b/>
          <w:i/>
          <w:sz w:val="22"/>
          <w:szCs w:val="22"/>
        </w:rPr>
        <w:t xml:space="preserve"> une avance des fonds cor</w:t>
      </w:r>
      <w:r w:rsidR="009B63C8" w:rsidRPr="00001DD3">
        <w:rPr>
          <w:rFonts w:asciiTheme="minorHAnsi" w:hAnsiTheme="minorHAnsi" w:cstheme="minorHAnsi"/>
          <w:b/>
          <w:i/>
          <w:sz w:val="22"/>
          <w:szCs w:val="22"/>
        </w:rPr>
        <w:t>respondant à plusieurs dotations annuelles</w:t>
      </w:r>
      <w:r w:rsidR="009C1346" w:rsidRPr="00001DD3">
        <w:rPr>
          <w:rFonts w:asciiTheme="minorHAnsi" w:hAnsiTheme="minorHAnsi" w:cstheme="minorHAnsi"/>
          <w:b/>
          <w:i/>
          <w:sz w:val="22"/>
          <w:szCs w:val="22"/>
        </w:rPr>
        <w:t>.</w:t>
      </w:r>
      <w:r w:rsidR="009B63C8" w:rsidRPr="00001DD3">
        <w:rPr>
          <w:rFonts w:asciiTheme="minorHAnsi" w:hAnsiTheme="minorHAnsi" w:cstheme="minorHAnsi"/>
          <w:b/>
          <w:i/>
          <w:sz w:val="22"/>
          <w:szCs w:val="22"/>
        </w:rPr>
        <w:t xml:space="preserve"> Le montant avancé sera défalqué année après année </w:t>
      </w:r>
      <w:r w:rsidR="004C610C" w:rsidRPr="00001DD3">
        <w:rPr>
          <w:rFonts w:asciiTheme="minorHAnsi" w:hAnsiTheme="minorHAnsi" w:cstheme="minorHAnsi"/>
          <w:b/>
          <w:i/>
          <w:sz w:val="22"/>
          <w:szCs w:val="22"/>
        </w:rPr>
        <w:t xml:space="preserve">au minimum </w:t>
      </w:r>
      <w:r w:rsidR="009B63C8" w:rsidRPr="00001DD3">
        <w:rPr>
          <w:rFonts w:asciiTheme="minorHAnsi" w:hAnsiTheme="minorHAnsi" w:cstheme="minorHAnsi"/>
          <w:b/>
          <w:i/>
          <w:sz w:val="22"/>
          <w:szCs w:val="22"/>
        </w:rPr>
        <w:t xml:space="preserve">de </w:t>
      </w:r>
      <w:r w:rsidR="004C610C" w:rsidRPr="00001DD3">
        <w:rPr>
          <w:rFonts w:asciiTheme="minorHAnsi" w:hAnsiTheme="minorHAnsi" w:cstheme="minorHAnsi"/>
          <w:b/>
          <w:i/>
          <w:sz w:val="22"/>
          <w:szCs w:val="22"/>
        </w:rPr>
        <w:t>la dotation annuelle, ainsi que de toute autre forme de « remboursement » issu par exemple de l’autofinancement</w:t>
      </w:r>
      <w:r w:rsidR="009B63C8" w:rsidRPr="00001DD3">
        <w:rPr>
          <w:rFonts w:asciiTheme="minorHAnsi" w:hAnsiTheme="minorHAnsi" w:cstheme="minorHAnsi"/>
          <w:b/>
          <w:i/>
          <w:sz w:val="22"/>
          <w:szCs w:val="22"/>
        </w:rPr>
        <w:t>.</w:t>
      </w:r>
      <w:r w:rsidR="00C10763" w:rsidRPr="00001DD3">
        <w:rPr>
          <w:rFonts w:asciiTheme="minorHAnsi" w:hAnsiTheme="minorHAnsi" w:cstheme="minorHAnsi"/>
          <w:b/>
          <w:i/>
          <w:sz w:val="22"/>
          <w:szCs w:val="22"/>
        </w:rPr>
        <w:t xml:space="preserve"> C’est en quelque sorte u</w:t>
      </w:r>
      <w:r w:rsidR="009C1346" w:rsidRPr="00001DD3">
        <w:rPr>
          <w:rFonts w:asciiTheme="minorHAnsi" w:hAnsiTheme="minorHAnsi" w:cstheme="minorHAnsi"/>
          <w:b/>
          <w:i/>
          <w:sz w:val="22"/>
          <w:szCs w:val="22"/>
        </w:rPr>
        <w:t xml:space="preserve">n prêt sans intérêts accordé dans </w:t>
      </w:r>
      <w:r w:rsidRPr="00001DD3">
        <w:rPr>
          <w:rFonts w:asciiTheme="minorHAnsi" w:hAnsiTheme="minorHAnsi" w:cstheme="minorHAnsi"/>
          <w:b/>
          <w:i/>
          <w:sz w:val="22"/>
          <w:szCs w:val="22"/>
        </w:rPr>
        <w:t>le cadre du FRD</w:t>
      </w:r>
      <w:r w:rsidR="009C1346" w:rsidRPr="00001DD3">
        <w:rPr>
          <w:rFonts w:asciiTheme="minorHAnsi" w:hAnsiTheme="minorHAnsi" w:cstheme="minorHAnsi"/>
          <w:b/>
          <w:i/>
          <w:sz w:val="22"/>
          <w:szCs w:val="22"/>
        </w:rPr>
        <w:t>.</w:t>
      </w:r>
    </w:p>
    <w:p w:rsidR="00C10763" w:rsidRPr="00C10763" w:rsidRDefault="00C10763" w:rsidP="00C10763">
      <w:pPr>
        <w:pStyle w:val="Paragraphedeliste"/>
        <w:rPr>
          <w:rFonts w:asciiTheme="minorHAnsi" w:hAnsiTheme="minorHAnsi" w:cstheme="minorHAnsi"/>
          <w:sz w:val="22"/>
          <w:szCs w:val="22"/>
        </w:rPr>
      </w:pPr>
    </w:p>
    <w:p w:rsidR="00C10763" w:rsidRDefault="00C10763" w:rsidP="002F04D1">
      <w:pPr>
        <w:pStyle w:val="Paragraphedeliste"/>
        <w:numPr>
          <w:ilvl w:val="0"/>
          <w:numId w:val="11"/>
        </w:numPr>
        <w:jc w:val="both"/>
        <w:rPr>
          <w:rFonts w:asciiTheme="minorHAnsi" w:hAnsiTheme="minorHAnsi" w:cstheme="minorHAnsi"/>
          <w:sz w:val="22"/>
          <w:szCs w:val="22"/>
        </w:rPr>
      </w:pPr>
      <w:r>
        <w:rPr>
          <w:rFonts w:asciiTheme="minorHAnsi" w:hAnsiTheme="minorHAnsi" w:cstheme="minorHAnsi"/>
          <w:sz w:val="22"/>
          <w:szCs w:val="22"/>
        </w:rPr>
        <w:t xml:space="preserve">Une mutualisation du FRD </w:t>
      </w:r>
      <w:r w:rsidR="00CA645F">
        <w:rPr>
          <w:rFonts w:asciiTheme="minorHAnsi" w:hAnsiTheme="minorHAnsi" w:cstheme="minorHAnsi"/>
          <w:sz w:val="22"/>
          <w:szCs w:val="22"/>
        </w:rPr>
        <w:t xml:space="preserve">au profit de plusieurs communes désirant s’associer pour la mise en œuvre d’un projet commun d’investissement, </w:t>
      </w:r>
      <w:r>
        <w:rPr>
          <w:rFonts w:asciiTheme="minorHAnsi" w:hAnsiTheme="minorHAnsi" w:cstheme="minorHAnsi"/>
          <w:sz w:val="22"/>
          <w:szCs w:val="22"/>
        </w:rPr>
        <w:t>avec abondement du Fonds</w:t>
      </w:r>
      <w:r w:rsidR="00CA645F">
        <w:rPr>
          <w:rFonts w:asciiTheme="minorHAnsi" w:hAnsiTheme="minorHAnsi" w:cstheme="minorHAnsi"/>
          <w:sz w:val="22"/>
          <w:szCs w:val="22"/>
        </w:rPr>
        <w:t>, par exemple</w:t>
      </w:r>
      <w:r>
        <w:rPr>
          <w:rFonts w:asciiTheme="minorHAnsi" w:hAnsiTheme="minorHAnsi" w:cstheme="minorHAnsi"/>
          <w:sz w:val="22"/>
          <w:szCs w:val="22"/>
        </w:rPr>
        <w:t xml:space="preserve"> dans le cadre d’un regroupement intercommunal pour financer un équipement à vocation communautaire.</w:t>
      </w:r>
    </w:p>
    <w:p w:rsidR="009F1957" w:rsidRPr="009F1957" w:rsidRDefault="009F1957" w:rsidP="009F1957">
      <w:pPr>
        <w:jc w:val="both"/>
        <w:rPr>
          <w:rFonts w:asciiTheme="minorHAnsi" w:hAnsiTheme="minorHAnsi" w:cstheme="minorHAnsi"/>
          <w:sz w:val="22"/>
          <w:szCs w:val="22"/>
        </w:rPr>
      </w:pPr>
    </w:p>
    <w:p w:rsidR="009F1957" w:rsidRPr="009F1957" w:rsidRDefault="009F1957" w:rsidP="002F04D1">
      <w:pPr>
        <w:pStyle w:val="Paragraphedeliste"/>
        <w:numPr>
          <w:ilvl w:val="0"/>
          <w:numId w:val="11"/>
        </w:numPr>
        <w:jc w:val="both"/>
        <w:rPr>
          <w:rFonts w:asciiTheme="minorHAnsi" w:hAnsiTheme="minorHAnsi" w:cstheme="minorHAnsi"/>
          <w:sz w:val="22"/>
          <w:szCs w:val="22"/>
        </w:rPr>
      </w:pPr>
      <w:r>
        <w:rPr>
          <w:rFonts w:asciiTheme="minorHAnsi" w:hAnsiTheme="minorHAnsi" w:cstheme="minorHAnsi"/>
          <w:sz w:val="22"/>
          <w:szCs w:val="22"/>
        </w:rPr>
        <w:t>U</w:t>
      </w:r>
      <w:r w:rsidRPr="009F1957">
        <w:rPr>
          <w:rFonts w:asciiTheme="minorHAnsi" w:hAnsiTheme="minorHAnsi" w:cstheme="minorHAnsi"/>
          <w:sz w:val="22"/>
          <w:szCs w:val="22"/>
        </w:rPr>
        <w:t xml:space="preserve">n </w:t>
      </w:r>
      <w:r w:rsidR="009B63C8">
        <w:rPr>
          <w:rFonts w:asciiTheme="minorHAnsi" w:hAnsiTheme="minorHAnsi" w:cstheme="minorHAnsi"/>
          <w:sz w:val="22"/>
          <w:szCs w:val="22"/>
        </w:rPr>
        <w:t xml:space="preserve">système de subventions </w:t>
      </w:r>
      <w:r w:rsidRPr="009F1957">
        <w:rPr>
          <w:rFonts w:asciiTheme="minorHAnsi" w:hAnsiTheme="minorHAnsi" w:cstheme="minorHAnsi"/>
          <w:sz w:val="22"/>
          <w:szCs w:val="22"/>
        </w:rPr>
        <w:t>d’équipement avec des taux modulables selon des critères précis (type d’équipement, existence de cofinancement par d’autres bailleurs institutionnels, secteur d’intervention</w:t>
      </w:r>
      <w:r w:rsidR="00C10763">
        <w:rPr>
          <w:rFonts w:asciiTheme="minorHAnsi" w:hAnsiTheme="minorHAnsi" w:cstheme="minorHAnsi"/>
          <w:sz w:val="22"/>
          <w:szCs w:val="22"/>
        </w:rPr>
        <w:t xml:space="preserve"> visé</w:t>
      </w:r>
      <w:r w:rsidRPr="009F1957">
        <w:rPr>
          <w:rFonts w:asciiTheme="minorHAnsi" w:hAnsiTheme="minorHAnsi" w:cstheme="minorHAnsi"/>
          <w:sz w:val="22"/>
          <w:szCs w:val="22"/>
        </w:rPr>
        <w:t xml:space="preserve">, impact attendu sur le développement local …) </w:t>
      </w:r>
      <w:r>
        <w:rPr>
          <w:rFonts w:asciiTheme="minorHAnsi" w:hAnsiTheme="minorHAnsi" w:cstheme="minorHAnsi"/>
          <w:sz w:val="22"/>
          <w:szCs w:val="22"/>
        </w:rPr>
        <w:t>co</w:t>
      </w:r>
      <w:r w:rsidRPr="009F1957">
        <w:rPr>
          <w:rFonts w:asciiTheme="minorHAnsi" w:hAnsiTheme="minorHAnsi" w:cstheme="minorHAnsi"/>
          <w:sz w:val="22"/>
          <w:szCs w:val="22"/>
        </w:rPr>
        <w:t>financé et contrôlé notamment par les ministères et partenaires institutionnels cherchant à mettre en œuvre sur le plan local des politiques publiques de développement, avec un versement des fonds sur justificatifs et selon les phases contractuelles d’avancement des travaux.</w:t>
      </w:r>
    </w:p>
    <w:p w:rsidR="009B63C8" w:rsidRDefault="009B63C8" w:rsidP="009B63C8">
      <w:pPr>
        <w:ind w:left="708"/>
        <w:jc w:val="both"/>
        <w:rPr>
          <w:rFonts w:asciiTheme="minorHAnsi" w:hAnsiTheme="minorHAnsi" w:cstheme="minorHAnsi"/>
          <w:sz w:val="22"/>
          <w:szCs w:val="22"/>
        </w:rPr>
      </w:pPr>
    </w:p>
    <w:p w:rsidR="009B63C8" w:rsidRDefault="000E62A6" w:rsidP="009B63C8">
      <w:pPr>
        <w:ind w:left="708"/>
        <w:jc w:val="both"/>
        <w:rPr>
          <w:rFonts w:asciiTheme="minorHAnsi" w:hAnsiTheme="minorHAnsi" w:cstheme="minorHAnsi"/>
          <w:sz w:val="22"/>
          <w:szCs w:val="22"/>
        </w:rPr>
      </w:pPr>
      <w:r w:rsidRPr="00001DD3">
        <w:rPr>
          <w:rFonts w:asciiTheme="minorHAnsi" w:hAnsiTheme="minorHAnsi" w:cstheme="minorHAnsi"/>
          <w:b/>
          <w:i/>
          <w:sz w:val="22"/>
          <w:szCs w:val="22"/>
        </w:rPr>
        <w:t>En somme, u</w:t>
      </w:r>
      <w:r w:rsidR="00222B54" w:rsidRPr="00001DD3">
        <w:rPr>
          <w:rFonts w:asciiTheme="minorHAnsi" w:hAnsiTheme="minorHAnsi" w:cstheme="minorHAnsi"/>
          <w:b/>
          <w:i/>
          <w:sz w:val="22"/>
          <w:szCs w:val="22"/>
        </w:rPr>
        <w:t xml:space="preserve">n fonds complémentaire en faveur des communes les plus volontaristes en matière d’investissement </w:t>
      </w:r>
      <w:r w:rsidR="007C319A" w:rsidRPr="00001DD3">
        <w:rPr>
          <w:rFonts w:asciiTheme="minorHAnsi" w:hAnsiTheme="minorHAnsi" w:cstheme="minorHAnsi"/>
          <w:b/>
          <w:i/>
          <w:sz w:val="22"/>
          <w:szCs w:val="22"/>
        </w:rPr>
        <w:t>qui privilégierait les orientations sectorielles prioritaires en matière de développement</w:t>
      </w:r>
      <w:r w:rsidR="007C319A">
        <w:rPr>
          <w:rFonts w:asciiTheme="minorHAnsi" w:hAnsiTheme="minorHAnsi" w:cstheme="minorHAnsi"/>
          <w:sz w:val="22"/>
          <w:szCs w:val="22"/>
        </w:rPr>
        <w:t xml:space="preserve"> local, en synergie avec les actions des services déconcentrés de l’État</w:t>
      </w:r>
      <w:r>
        <w:rPr>
          <w:rFonts w:asciiTheme="minorHAnsi" w:hAnsiTheme="minorHAnsi" w:cstheme="minorHAnsi"/>
          <w:sz w:val="22"/>
          <w:szCs w:val="22"/>
        </w:rPr>
        <w:t xml:space="preserve"> et leurs ministères de tutelle</w:t>
      </w:r>
      <w:r w:rsidR="007C319A">
        <w:rPr>
          <w:rFonts w:asciiTheme="minorHAnsi" w:hAnsiTheme="minorHAnsi" w:cstheme="minorHAnsi"/>
          <w:sz w:val="22"/>
          <w:szCs w:val="22"/>
        </w:rPr>
        <w:t>.</w:t>
      </w:r>
      <w:r w:rsidR="009C1346">
        <w:rPr>
          <w:rFonts w:asciiTheme="minorHAnsi" w:hAnsiTheme="minorHAnsi" w:cstheme="minorHAnsi"/>
          <w:sz w:val="22"/>
          <w:szCs w:val="22"/>
        </w:rPr>
        <w:t xml:space="preserve"> </w:t>
      </w:r>
    </w:p>
    <w:p w:rsidR="009B63C8" w:rsidRDefault="009B63C8" w:rsidP="009B63C8">
      <w:pPr>
        <w:ind w:left="708"/>
        <w:jc w:val="both"/>
        <w:rPr>
          <w:rFonts w:asciiTheme="minorHAnsi" w:hAnsiTheme="minorHAnsi" w:cstheme="minorHAnsi"/>
          <w:sz w:val="22"/>
          <w:szCs w:val="22"/>
        </w:rPr>
      </w:pPr>
    </w:p>
    <w:p w:rsidR="00A27296" w:rsidRPr="00CA042A" w:rsidRDefault="00A06A72" w:rsidP="009B63C8">
      <w:pPr>
        <w:ind w:left="708"/>
        <w:jc w:val="both"/>
        <w:rPr>
          <w:rFonts w:asciiTheme="minorHAnsi" w:hAnsiTheme="minorHAnsi" w:cstheme="minorHAnsi"/>
          <w:sz w:val="22"/>
          <w:szCs w:val="22"/>
        </w:rPr>
      </w:pPr>
      <w:r>
        <w:rPr>
          <w:rFonts w:asciiTheme="minorHAnsi" w:hAnsiTheme="minorHAnsi" w:cstheme="minorHAnsi"/>
          <w:sz w:val="22"/>
          <w:szCs w:val="22"/>
        </w:rPr>
        <w:t>Les communes intéressées pourraient a</w:t>
      </w:r>
      <w:r w:rsidR="009B63C8">
        <w:rPr>
          <w:rFonts w:asciiTheme="minorHAnsi" w:hAnsiTheme="minorHAnsi" w:cstheme="minorHAnsi"/>
          <w:sz w:val="22"/>
          <w:szCs w:val="22"/>
        </w:rPr>
        <w:t>insi présenter et défendre leur</w:t>
      </w:r>
      <w:r>
        <w:rPr>
          <w:rFonts w:asciiTheme="minorHAnsi" w:hAnsiTheme="minorHAnsi" w:cstheme="minorHAnsi"/>
          <w:sz w:val="22"/>
          <w:szCs w:val="22"/>
        </w:rPr>
        <w:t xml:space="preserve"> do</w:t>
      </w:r>
      <w:r w:rsidR="009B63C8">
        <w:rPr>
          <w:rFonts w:asciiTheme="minorHAnsi" w:hAnsiTheme="minorHAnsi" w:cstheme="minorHAnsi"/>
          <w:sz w:val="22"/>
          <w:szCs w:val="22"/>
        </w:rPr>
        <w:t>ssier</w:t>
      </w:r>
      <w:r w:rsidR="00C10763">
        <w:rPr>
          <w:rFonts w:asciiTheme="minorHAnsi" w:hAnsiTheme="minorHAnsi" w:cstheme="minorHAnsi"/>
          <w:sz w:val="22"/>
          <w:szCs w:val="22"/>
        </w:rPr>
        <w:t xml:space="preserve">, </w:t>
      </w:r>
      <w:r w:rsidR="006C73BE">
        <w:rPr>
          <w:rFonts w:asciiTheme="minorHAnsi" w:hAnsiTheme="minorHAnsi" w:cstheme="minorHAnsi"/>
          <w:sz w:val="22"/>
          <w:szCs w:val="22"/>
        </w:rPr>
        <w:t xml:space="preserve">selon leurs besoins de financement. Ce système </w:t>
      </w:r>
      <w:r w:rsidR="00C10763">
        <w:rPr>
          <w:rFonts w:asciiTheme="minorHAnsi" w:hAnsiTheme="minorHAnsi" w:cstheme="minorHAnsi"/>
          <w:sz w:val="22"/>
          <w:szCs w:val="22"/>
        </w:rPr>
        <w:t>leur procure ainsi de l’</w:t>
      </w:r>
      <w:r w:rsidR="006C73BE">
        <w:rPr>
          <w:rFonts w:asciiTheme="minorHAnsi" w:hAnsiTheme="minorHAnsi" w:cstheme="minorHAnsi"/>
          <w:sz w:val="22"/>
          <w:szCs w:val="22"/>
        </w:rPr>
        <w:t>autonomie, et une certaine flexibilité par rapport à un système de dotations</w:t>
      </w:r>
      <w:r w:rsidR="00C10763">
        <w:rPr>
          <w:rFonts w:asciiTheme="minorHAnsi" w:hAnsiTheme="minorHAnsi" w:cstheme="minorHAnsi"/>
          <w:sz w:val="22"/>
          <w:szCs w:val="22"/>
        </w:rPr>
        <w:t xml:space="preserve"> annuelles</w:t>
      </w:r>
      <w:r w:rsidR="00001DD3">
        <w:rPr>
          <w:rFonts w:asciiTheme="minorHAnsi" w:hAnsiTheme="minorHAnsi" w:cstheme="minorHAnsi"/>
          <w:sz w:val="22"/>
          <w:szCs w:val="22"/>
        </w:rPr>
        <w:t xml:space="preserve"> </w:t>
      </w:r>
      <w:r w:rsidR="00001DD3" w:rsidRPr="00001DD3">
        <w:rPr>
          <w:rFonts w:asciiTheme="minorHAnsi" w:hAnsiTheme="minorHAnsi" w:cstheme="minorHAnsi"/>
          <w:b/>
          <w:sz w:val="22"/>
          <w:szCs w:val="22"/>
        </w:rPr>
        <w:t>sans véritablement de contrepartie</w:t>
      </w:r>
      <w:r w:rsidR="006C73BE">
        <w:rPr>
          <w:rFonts w:asciiTheme="minorHAnsi" w:hAnsiTheme="minorHAnsi" w:cstheme="minorHAnsi"/>
          <w:sz w:val="22"/>
          <w:szCs w:val="22"/>
        </w:rPr>
        <w:t>.</w:t>
      </w:r>
      <w:r w:rsidR="00890AFD">
        <w:rPr>
          <w:rFonts w:asciiTheme="minorHAnsi" w:hAnsiTheme="minorHAnsi" w:cstheme="minorHAnsi"/>
          <w:sz w:val="22"/>
          <w:szCs w:val="22"/>
        </w:rPr>
        <w:t xml:space="preserve"> Il a pour principal intérêt de pouvoir orienter les choix d’investissement au moyen d’une carotte financière. On ne peut pas empêcher les décideurs locaux de faire l’acquisition de véhicules équipant la Mairie, avec peu d’impact sur le développement local, mais une incitation financière bien ciblée peut permettre à une commune d’envisager plutôt le creusement d’un puits ou la création d’un dispensaire.</w:t>
      </w:r>
    </w:p>
    <w:p w:rsidR="006C73BE" w:rsidRDefault="006C73BE" w:rsidP="00A27296">
      <w:pPr>
        <w:jc w:val="both"/>
        <w:rPr>
          <w:rFonts w:asciiTheme="minorHAnsi" w:hAnsiTheme="minorHAnsi" w:cstheme="minorHAnsi"/>
          <w:sz w:val="22"/>
          <w:szCs w:val="22"/>
        </w:rPr>
      </w:pPr>
    </w:p>
    <w:p w:rsidR="00A27296" w:rsidRPr="00CA042A" w:rsidRDefault="006C73BE" w:rsidP="00A27296">
      <w:pPr>
        <w:jc w:val="both"/>
        <w:rPr>
          <w:rFonts w:asciiTheme="minorHAnsi" w:hAnsiTheme="minorHAnsi" w:cstheme="minorHAnsi"/>
          <w:sz w:val="22"/>
          <w:szCs w:val="22"/>
        </w:rPr>
      </w:pPr>
      <w:r>
        <w:rPr>
          <w:rFonts w:asciiTheme="minorHAnsi" w:hAnsiTheme="minorHAnsi" w:cstheme="minorHAnsi"/>
          <w:sz w:val="22"/>
          <w:szCs w:val="22"/>
        </w:rPr>
        <w:t>Serait-il envisageable d’</w:t>
      </w:r>
      <w:r w:rsidR="00C10763">
        <w:rPr>
          <w:rFonts w:asciiTheme="minorHAnsi" w:hAnsiTheme="minorHAnsi" w:cstheme="minorHAnsi"/>
          <w:sz w:val="22"/>
          <w:szCs w:val="22"/>
        </w:rPr>
        <w:t xml:space="preserve">introduire ces </w:t>
      </w:r>
      <w:r>
        <w:rPr>
          <w:rFonts w:asciiTheme="minorHAnsi" w:hAnsiTheme="minorHAnsi" w:cstheme="minorHAnsi"/>
          <w:sz w:val="22"/>
          <w:szCs w:val="22"/>
        </w:rPr>
        <w:t>mécanisme</w:t>
      </w:r>
      <w:r w:rsidR="00C10763">
        <w:rPr>
          <w:rFonts w:asciiTheme="minorHAnsi" w:hAnsiTheme="minorHAnsi" w:cstheme="minorHAnsi"/>
          <w:sz w:val="22"/>
          <w:szCs w:val="22"/>
        </w:rPr>
        <w:t>s</w:t>
      </w:r>
      <w:r>
        <w:rPr>
          <w:rFonts w:asciiTheme="minorHAnsi" w:hAnsiTheme="minorHAnsi" w:cstheme="minorHAnsi"/>
          <w:sz w:val="22"/>
          <w:szCs w:val="22"/>
        </w:rPr>
        <w:t xml:space="preserve"> au sein du Guichet conditionnel du </w:t>
      </w:r>
      <w:r w:rsidR="001E66E7">
        <w:rPr>
          <w:rFonts w:asciiTheme="minorHAnsi" w:hAnsiTheme="minorHAnsi" w:cstheme="minorHAnsi"/>
          <w:sz w:val="22"/>
          <w:szCs w:val="22"/>
        </w:rPr>
        <w:t>PNIDDLE</w:t>
      </w:r>
      <w:r>
        <w:rPr>
          <w:rFonts w:asciiTheme="minorHAnsi" w:hAnsiTheme="minorHAnsi" w:cstheme="minorHAnsi"/>
          <w:sz w:val="22"/>
          <w:szCs w:val="22"/>
        </w:rPr>
        <w:t> ?</w:t>
      </w:r>
      <w:r w:rsidR="00A06A72">
        <w:rPr>
          <w:rFonts w:asciiTheme="minorHAnsi" w:hAnsiTheme="minorHAnsi" w:cstheme="minorHAnsi"/>
          <w:sz w:val="22"/>
          <w:szCs w:val="22"/>
        </w:rPr>
        <w:t xml:space="preserve"> </w:t>
      </w:r>
      <w:r w:rsidR="00A27296" w:rsidRPr="00CA042A">
        <w:rPr>
          <w:rFonts w:asciiTheme="minorHAnsi" w:hAnsiTheme="minorHAnsi" w:cstheme="minorHAnsi"/>
          <w:sz w:val="22"/>
          <w:szCs w:val="22"/>
        </w:rPr>
        <w:t>En effet</w:t>
      </w:r>
      <w:r>
        <w:rPr>
          <w:rFonts w:asciiTheme="minorHAnsi" w:hAnsiTheme="minorHAnsi" w:cstheme="minorHAnsi"/>
          <w:sz w:val="22"/>
          <w:szCs w:val="22"/>
        </w:rPr>
        <w:t>,</w:t>
      </w:r>
      <w:r w:rsidR="00A27296" w:rsidRPr="00CA042A">
        <w:rPr>
          <w:rFonts w:asciiTheme="minorHAnsi" w:hAnsiTheme="minorHAnsi" w:cstheme="minorHAnsi"/>
          <w:sz w:val="22"/>
          <w:szCs w:val="22"/>
        </w:rPr>
        <w:t xml:space="preserve"> une troisième part du FRD doit être créée. Elle va constituer un guichet conditionnel dont les montants importants seront attribués à certaine</w:t>
      </w:r>
      <w:r w:rsidR="00A27296">
        <w:rPr>
          <w:rFonts w:asciiTheme="minorHAnsi" w:hAnsiTheme="minorHAnsi" w:cstheme="minorHAnsi"/>
          <w:sz w:val="22"/>
          <w:szCs w:val="22"/>
        </w:rPr>
        <w:t>s</w:t>
      </w:r>
      <w:r w:rsidR="00A27296" w:rsidRPr="00CA042A">
        <w:rPr>
          <w:rFonts w:asciiTheme="minorHAnsi" w:hAnsiTheme="minorHAnsi" w:cstheme="minorHAnsi"/>
          <w:sz w:val="22"/>
          <w:szCs w:val="22"/>
        </w:rPr>
        <w:t xml:space="preserve"> communes en fonction de l’évolution de leurs performances (administ</w:t>
      </w:r>
      <w:r w:rsidR="00F5444E">
        <w:rPr>
          <w:rFonts w:asciiTheme="minorHAnsi" w:hAnsiTheme="minorHAnsi" w:cstheme="minorHAnsi"/>
          <w:sz w:val="22"/>
          <w:szCs w:val="22"/>
        </w:rPr>
        <w:t>rative</w:t>
      </w:r>
      <w:r w:rsidR="00A06A72">
        <w:rPr>
          <w:rFonts w:asciiTheme="minorHAnsi" w:hAnsiTheme="minorHAnsi" w:cstheme="minorHAnsi"/>
          <w:sz w:val="22"/>
          <w:szCs w:val="22"/>
        </w:rPr>
        <w:t>, fiscale …</w:t>
      </w:r>
      <w:r w:rsidR="00A27296" w:rsidRPr="00CA042A">
        <w:rPr>
          <w:rFonts w:asciiTheme="minorHAnsi" w:hAnsiTheme="minorHAnsi" w:cstheme="minorHAnsi"/>
          <w:sz w:val="22"/>
          <w:szCs w:val="22"/>
        </w:rPr>
        <w:t>)</w:t>
      </w:r>
      <w:r w:rsidR="00A06A72">
        <w:rPr>
          <w:rFonts w:asciiTheme="minorHAnsi" w:hAnsiTheme="minorHAnsi" w:cstheme="minorHAnsi"/>
          <w:sz w:val="22"/>
          <w:szCs w:val="22"/>
        </w:rPr>
        <w:t>.</w:t>
      </w:r>
    </w:p>
    <w:p w:rsidR="00A27296" w:rsidRDefault="00A27296" w:rsidP="00A27296">
      <w:pPr>
        <w:jc w:val="both"/>
        <w:rPr>
          <w:rFonts w:asciiTheme="minorHAnsi" w:hAnsiTheme="minorHAnsi" w:cstheme="minorHAnsi"/>
          <w:sz w:val="22"/>
          <w:szCs w:val="22"/>
        </w:rPr>
      </w:pPr>
    </w:p>
    <w:p w:rsidR="00425A18" w:rsidRDefault="007A15B9" w:rsidP="00A27296">
      <w:pPr>
        <w:jc w:val="both"/>
        <w:rPr>
          <w:rFonts w:asciiTheme="minorHAnsi" w:hAnsiTheme="minorHAnsi" w:cstheme="minorHAnsi"/>
          <w:sz w:val="22"/>
          <w:szCs w:val="22"/>
        </w:rPr>
      </w:pPr>
      <w:r>
        <w:rPr>
          <w:rFonts w:asciiTheme="minorHAnsi" w:hAnsiTheme="minorHAnsi" w:cstheme="minorHAnsi"/>
          <w:sz w:val="22"/>
          <w:szCs w:val="22"/>
        </w:rPr>
        <w:t xml:space="preserve">De manière plus générale, une réflexion </w:t>
      </w:r>
      <w:r w:rsidR="002C5A0B">
        <w:rPr>
          <w:rFonts w:asciiTheme="minorHAnsi" w:hAnsiTheme="minorHAnsi" w:cstheme="minorHAnsi"/>
          <w:sz w:val="22"/>
          <w:szCs w:val="22"/>
        </w:rPr>
        <w:t xml:space="preserve">globale </w:t>
      </w:r>
      <w:r>
        <w:rPr>
          <w:rFonts w:asciiTheme="minorHAnsi" w:hAnsiTheme="minorHAnsi" w:cstheme="minorHAnsi"/>
          <w:sz w:val="22"/>
          <w:szCs w:val="22"/>
        </w:rPr>
        <w:t>sur les modes de financeme</w:t>
      </w:r>
      <w:r w:rsidR="008E5F52">
        <w:rPr>
          <w:rFonts w:asciiTheme="minorHAnsi" w:hAnsiTheme="minorHAnsi" w:cstheme="minorHAnsi"/>
          <w:sz w:val="22"/>
          <w:szCs w:val="22"/>
        </w:rPr>
        <w:t>nt de la décentralisation et de mobilisation des</w:t>
      </w:r>
      <w:r>
        <w:rPr>
          <w:rFonts w:asciiTheme="minorHAnsi" w:hAnsiTheme="minorHAnsi" w:cstheme="minorHAnsi"/>
          <w:sz w:val="22"/>
          <w:szCs w:val="22"/>
        </w:rPr>
        <w:t xml:space="preserve"> finances locales devra être menée à l’aune des résultats obtenus suite à la mise en œuvre </w:t>
      </w:r>
      <w:r w:rsidR="002C5A0B">
        <w:rPr>
          <w:rFonts w:asciiTheme="minorHAnsi" w:hAnsiTheme="minorHAnsi" w:cstheme="minorHAnsi"/>
          <w:sz w:val="22"/>
          <w:szCs w:val="22"/>
        </w:rPr>
        <w:t>du FRD</w:t>
      </w:r>
      <w:r w:rsidR="00425A18">
        <w:rPr>
          <w:rFonts w:asciiTheme="minorHAnsi" w:hAnsiTheme="minorHAnsi" w:cstheme="minorHAnsi"/>
          <w:sz w:val="22"/>
          <w:szCs w:val="22"/>
        </w:rPr>
        <w:t> : les instruments actuels, à l’instar du FRD, parviennent-ils à atteindre les objectifs assignés et dans quelle mesure ?</w:t>
      </w:r>
    </w:p>
    <w:p w:rsidR="00AB4AF0" w:rsidRDefault="00425A18" w:rsidP="00A27296">
      <w:pPr>
        <w:jc w:val="both"/>
        <w:rPr>
          <w:rFonts w:asciiTheme="minorHAnsi" w:hAnsiTheme="minorHAnsi" w:cstheme="minorHAnsi"/>
          <w:sz w:val="22"/>
          <w:szCs w:val="22"/>
        </w:rPr>
      </w:pPr>
      <w:r>
        <w:rPr>
          <w:rFonts w:asciiTheme="minorHAnsi" w:hAnsiTheme="minorHAnsi" w:cstheme="minorHAnsi"/>
          <w:sz w:val="22"/>
          <w:szCs w:val="22"/>
        </w:rPr>
        <w:t>Outre la problématique des transferts de compétences et des ressources y afférentes, des études ciblées devront permettre de définir, quantifier, chiffrer le niveau d’équipement communal souhaité, ne serait-ce que pour atteindre les objectifs du Millénaire pour le d</w:t>
      </w:r>
      <w:r w:rsidR="00CA645F">
        <w:rPr>
          <w:rFonts w:asciiTheme="minorHAnsi" w:hAnsiTheme="minorHAnsi" w:cstheme="minorHAnsi"/>
          <w:sz w:val="22"/>
          <w:szCs w:val="22"/>
        </w:rPr>
        <w:t>éveloppement à l’horizon 2015. Et d</w:t>
      </w:r>
      <w:r>
        <w:rPr>
          <w:rFonts w:asciiTheme="minorHAnsi" w:hAnsiTheme="minorHAnsi" w:cstheme="minorHAnsi"/>
          <w:sz w:val="22"/>
          <w:szCs w:val="22"/>
        </w:rPr>
        <w:t xml:space="preserve">éfinir, le cas échéant, de nouvelles pistes de financement plus adaptées au contexte actuel des communes mauritaniennes. </w:t>
      </w:r>
    </w:p>
    <w:p w:rsidR="00C10763" w:rsidRDefault="00C10763" w:rsidP="00A27296">
      <w:pPr>
        <w:jc w:val="both"/>
        <w:rPr>
          <w:rFonts w:asciiTheme="minorHAnsi" w:hAnsiTheme="minorHAnsi" w:cstheme="minorHAnsi"/>
          <w:sz w:val="22"/>
          <w:szCs w:val="22"/>
        </w:rPr>
      </w:pPr>
    </w:p>
    <w:p w:rsidR="007A15B9" w:rsidRDefault="00425A18" w:rsidP="00A27296">
      <w:pPr>
        <w:jc w:val="both"/>
        <w:rPr>
          <w:rFonts w:asciiTheme="minorHAnsi" w:hAnsiTheme="minorHAnsi" w:cstheme="minorHAnsi"/>
          <w:sz w:val="22"/>
          <w:szCs w:val="22"/>
        </w:rPr>
      </w:pPr>
      <w:r>
        <w:rPr>
          <w:rFonts w:asciiTheme="minorHAnsi" w:hAnsiTheme="minorHAnsi" w:cstheme="minorHAnsi"/>
          <w:sz w:val="22"/>
          <w:szCs w:val="22"/>
        </w:rPr>
        <w:t>La mise en place d’un Comité des Fina</w:t>
      </w:r>
      <w:r w:rsidR="00AB4AF0">
        <w:rPr>
          <w:rFonts w:asciiTheme="minorHAnsi" w:hAnsiTheme="minorHAnsi" w:cstheme="minorHAnsi"/>
          <w:sz w:val="22"/>
          <w:szCs w:val="22"/>
        </w:rPr>
        <w:t>nces Locales permettra ainsi d’embrasser ces problématiques cruciales et imbriquées pour définir des stratégies claires et a</w:t>
      </w:r>
      <w:r w:rsidR="00F42A89">
        <w:rPr>
          <w:rFonts w:asciiTheme="minorHAnsi" w:hAnsiTheme="minorHAnsi" w:cstheme="minorHAnsi"/>
          <w:sz w:val="22"/>
          <w:szCs w:val="22"/>
        </w:rPr>
        <w:t>rgumentées, partant d’une défini</w:t>
      </w:r>
      <w:r w:rsidR="00AB4AF0">
        <w:rPr>
          <w:rFonts w:asciiTheme="minorHAnsi" w:hAnsiTheme="minorHAnsi" w:cstheme="minorHAnsi"/>
          <w:sz w:val="22"/>
          <w:szCs w:val="22"/>
        </w:rPr>
        <w:t xml:space="preserve">tion précise des </w:t>
      </w:r>
      <w:r w:rsidR="008E5F52">
        <w:rPr>
          <w:rFonts w:asciiTheme="minorHAnsi" w:hAnsiTheme="minorHAnsi" w:cstheme="minorHAnsi"/>
          <w:sz w:val="22"/>
          <w:szCs w:val="22"/>
        </w:rPr>
        <w:t xml:space="preserve">objectifs à atteindre et des </w:t>
      </w:r>
      <w:r w:rsidR="00AB4AF0">
        <w:rPr>
          <w:rFonts w:asciiTheme="minorHAnsi" w:hAnsiTheme="minorHAnsi" w:cstheme="minorHAnsi"/>
          <w:sz w:val="22"/>
          <w:szCs w:val="22"/>
        </w:rPr>
        <w:t>res</w:t>
      </w:r>
      <w:r w:rsidR="008E5F52">
        <w:rPr>
          <w:rFonts w:asciiTheme="minorHAnsi" w:hAnsiTheme="minorHAnsi" w:cstheme="minorHAnsi"/>
          <w:sz w:val="22"/>
          <w:szCs w:val="22"/>
        </w:rPr>
        <w:t>sources nécessaires pour ce faire</w:t>
      </w:r>
      <w:r w:rsidR="00AB4AF0">
        <w:rPr>
          <w:rFonts w:asciiTheme="minorHAnsi" w:hAnsiTheme="minorHAnsi" w:cstheme="minorHAnsi"/>
          <w:sz w:val="22"/>
          <w:szCs w:val="22"/>
        </w:rPr>
        <w:t>.</w:t>
      </w:r>
    </w:p>
    <w:p w:rsidR="008E5F52" w:rsidRDefault="008E5F52" w:rsidP="00A27296">
      <w:pPr>
        <w:jc w:val="both"/>
        <w:rPr>
          <w:rFonts w:asciiTheme="minorHAnsi" w:hAnsiTheme="minorHAnsi" w:cstheme="minorHAnsi"/>
          <w:sz w:val="22"/>
          <w:szCs w:val="22"/>
        </w:rPr>
      </w:pPr>
    </w:p>
    <w:p w:rsidR="00A27296" w:rsidRPr="0024145A" w:rsidRDefault="005328B0" w:rsidP="002F04D1">
      <w:pPr>
        <w:pStyle w:val="Paragraphedeliste"/>
        <w:numPr>
          <w:ilvl w:val="0"/>
          <w:numId w:val="7"/>
        </w:numPr>
        <w:jc w:val="both"/>
        <w:rPr>
          <w:rFonts w:asciiTheme="minorHAnsi" w:hAnsiTheme="minorHAnsi" w:cstheme="minorHAnsi"/>
          <w:b/>
          <w:sz w:val="22"/>
          <w:szCs w:val="22"/>
        </w:rPr>
      </w:pPr>
      <w:r w:rsidRPr="0024145A">
        <w:rPr>
          <w:rFonts w:asciiTheme="minorHAnsi" w:hAnsiTheme="minorHAnsi" w:cstheme="minorHAnsi"/>
          <w:b/>
          <w:sz w:val="22"/>
          <w:szCs w:val="22"/>
        </w:rPr>
        <w:t xml:space="preserve">Renforcement des échanges avec les communes en matière d’élaboration et de </w:t>
      </w:r>
      <w:r w:rsidR="002C7C13" w:rsidRPr="0024145A">
        <w:rPr>
          <w:rFonts w:asciiTheme="minorHAnsi" w:hAnsiTheme="minorHAnsi" w:cstheme="minorHAnsi"/>
          <w:b/>
          <w:sz w:val="22"/>
          <w:szCs w:val="22"/>
        </w:rPr>
        <w:t>suivi des opérations d’investissement</w:t>
      </w:r>
      <w:r w:rsidR="007C3C0C">
        <w:rPr>
          <w:rFonts w:asciiTheme="minorHAnsi" w:hAnsiTheme="minorHAnsi" w:cstheme="minorHAnsi"/>
          <w:b/>
          <w:sz w:val="22"/>
          <w:szCs w:val="22"/>
        </w:rPr>
        <w:t> :</w:t>
      </w:r>
    </w:p>
    <w:p w:rsidR="00A27296" w:rsidRPr="00CA042A" w:rsidRDefault="00A27296" w:rsidP="00A27296">
      <w:pPr>
        <w:pStyle w:val="Paragraphedeliste"/>
        <w:ind w:left="1440"/>
        <w:jc w:val="both"/>
        <w:rPr>
          <w:rFonts w:asciiTheme="minorHAnsi" w:hAnsiTheme="minorHAnsi" w:cstheme="minorHAnsi"/>
          <w:sz w:val="22"/>
          <w:szCs w:val="22"/>
        </w:rPr>
      </w:pPr>
    </w:p>
    <w:p w:rsidR="002C7C13" w:rsidRDefault="00E01FD0" w:rsidP="00A27296">
      <w:pPr>
        <w:jc w:val="both"/>
        <w:rPr>
          <w:rFonts w:asciiTheme="minorHAnsi" w:hAnsiTheme="minorHAnsi" w:cstheme="minorHAnsi"/>
          <w:sz w:val="22"/>
          <w:szCs w:val="22"/>
        </w:rPr>
      </w:pPr>
      <w:r>
        <w:rPr>
          <w:rFonts w:asciiTheme="minorHAnsi" w:hAnsiTheme="minorHAnsi" w:cstheme="minorHAnsi"/>
          <w:sz w:val="22"/>
          <w:szCs w:val="22"/>
        </w:rPr>
        <w:t xml:space="preserve">Accompagner </w:t>
      </w:r>
      <w:r w:rsidR="00F5444E">
        <w:rPr>
          <w:rFonts w:asciiTheme="minorHAnsi" w:hAnsiTheme="minorHAnsi" w:cstheme="minorHAnsi"/>
          <w:sz w:val="22"/>
          <w:szCs w:val="22"/>
        </w:rPr>
        <w:t xml:space="preserve">et échanger avec </w:t>
      </w:r>
      <w:r>
        <w:rPr>
          <w:rFonts w:asciiTheme="minorHAnsi" w:hAnsiTheme="minorHAnsi" w:cstheme="minorHAnsi"/>
          <w:sz w:val="22"/>
          <w:szCs w:val="22"/>
        </w:rPr>
        <w:t>les com</w:t>
      </w:r>
      <w:r w:rsidR="00F5444E">
        <w:rPr>
          <w:rFonts w:asciiTheme="minorHAnsi" w:hAnsiTheme="minorHAnsi" w:cstheme="minorHAnsi"/>
          <w:sz w:val="22"/>
          <w:szCs w:val="22"/>
        </w:rPr>
        <w:t>munes sur</w:t>
      </w:r>
      <w:r>
        <w:rPr>
          <w:rFonts w:asciiTheme="minorHAnsi" w:hAnsiTheme="minorHAnsi" w:cstheme="minorHAnsi"/>
          <w:sz w:val="22"/>
          <w:szCs w:val="22"/>
        </w:rPr>
        <w:t xml:space="preserve"> l’élaboration</w:t>
      </w:r>
      <w:r w:rsidR="002C7C13">
        <w:rPr>
          <w:rFonts w:asciiTheme="minorHAnsi" w:hAnsiTheme="minorHAnsi" w:cstheme="minorHAnsi"/>
          <w:sz w:val="22"/>
          <w:szCs w:val="22"/>
        </w:rPr>
        <w:t xml:space="preserve">, notamment </w:t>
      </w:r>
      <w:r w:rsidR="00F5444E">
        <w:rPr>
          <w:rFonts w:asciiTheme="minorHAnsi" w:hAnsiTheme="minorHAnsi" w:cstheme="minorHAnsi"/>
          <w:sz w:val="22"/>
          <w:szCs w:val="22"/>
        </w:rPr>
        <w:t>s</w:t>
      </w:r>
      <w:r>
        <w:rPr>
          <w:rFonts w:asciiTheme="minorHAnsi" w:hAnsiTheme="minorHAnsi" w:cstheme="minorHAnsi"/>
          <w:sz w:val="22"/>
          <w:szCs w:val="22"/>
        </w:rPr>
        <w:t xml:space="preserve">a composante </w:t>
      </w:r>
      <w:r w:rsidR="00A93BE3">
        <w:rPr>
          <w:rFonts w:asciiTheme="minorHAnsi" w:hAnsiTheme="minorHAnsi" w:cstheme="minorHAnsi"/>
          <w:sz w:val="22"/>
          <w:szCs w:val="22"/>
        </w:rPr>
        <w:t>« </w:t>
      </w:r>
      <w:r>
        <w:rPr>
          <w:rFonts w:asciiTheme="minorHAnsi" w:hAnsiTheme="minorHAnsi" w:cstheme="minorHAnsi"/>
          <w:sz w:val="22"/>
          <w:szCs w:val="22"/>
        </w:rPr>
        <w:t>financement</w:t>
      </w:r>
      <w:r w:rsidR="00A93BE3">
        <w:rPr>
          <w:rFonts w:asciiTheme="minorHAnsi" w:hAnsiTheme="minorHAnsi" w:cstheme="minorHAnsi"/>
          <w:sz w:val="22"/>
          <w:szCs w:val="22"/>
        </w:rPr>
        <w:t> »</w:t>
      </w:r>
      <w:r>
        <w:rPr>
          <w:rFonts w:asciiTheme="minorHAnsi" w:hAnsiTheme="minorHAnsi" w:cstheme="minorHAnsi"/>
          <w:sz w:val="22"/>
          <w:szCs w:val="22"/>
        </w:rPr>
        <w:t>, et la mise en œuvre des stratégies d’in</w:t>
      </w:r>
      <w:r w:rsidR="007C3C0C">
        <w:rPr>
          <w:rFonts w:asciiTheme="minorHAnsi" w:hAnsiTheme="minorHAnsi" w:cstheme="minorHAnsi"/>
          <w:sz w:val="22"/>
          <w:szCs w:val="22"/>
        </w:rPr>
        <w:t>vestissement pourront</w:t>
      </w:r>
      <w:r>
        <w:rPr>
          <w:rFonts w:asciiTheme="minorHAnsi" w:hAnsiTheme="minorHAnsi" w:cstheme="minorHAnsi"/>
          <w:sz w:val="22"/>
          <w:szCs w:val="22"/>
        </w:rPr>
        <w:t xml:space="preserve"> également permettre d’affiner les stratégies d’</w:t>
      </w:r>
      <w:r w:rsidR="002C7C13">
        <w:rPr>
          <w:rFonts w:asciiTheme="minorHAnsi" w:hAnsiTheme="minorHAnsi" w:cstheme="minorHAnsi"/>
          <w:sz w:val="22"/>
          <w:szCs w:val="22"/>
        </w:rPr>
        <w:t>optimisation du FRD.</w:t>
      </w:r>
    </w:p>
    <w:p w:rsidR="005328B0" w:rsidRDefault="00E01FD0" w:rsidP="00A27296">
      <w:pPr>
        <w:jc w:val="both"/>
        <w:rPr>
          <w:rFonts w:asciiTheme="minorHAnsi" w:hAnsiTheme="minorHAnsi" w:cstheme="minorHAnsi"/>
          <w:sz w:val="22"/>
          <w:szCs w:val="22"/>
        </w:rPr>
      </w:pPr>
      <w:r>
        <w:rPr>
          <w:rFonts w:asciiTheme="minorHAnsi" w:hAnsiTheme="minorHAnsi" w:cstheme="minorHAnsi"/>
          <w:sz w:val="22"/>
          <w:szCs w:val="22"/>
        </w:rPr>
        <w:t xml:space="preserve">Le manque de fiabilité des données </w:t>
      </w:r>
      <w:r w:rsidR="00F5444E">
        <w:rPr>
          <w:rFonts w:asciiTheme="minorHAnsi" w:hAnsiTheme="minorHAnsi" w:cstheme="minorHAnsi"/>
          <w:sz w:val="22"/>
          <w:szCs w:val="22"/>
        </w:rPr>
        <w:t>est dû</w:t>
      </w:r>
      <w:r>
        <w:rPr>
          <w:rFonts w:asciiTheme="minorHAnsi" w:hAnsiTheme="minorHAnsi" w:cstheme="minorHAnsi"/>
          <w:sz w:val="22"/>
          <w:szCs w:val="22"/>
        </w:rPr>
        <w:t xml:space="preserve"> pour partie à la méconnaissance des règles et au manque de communication avec les services chargés de collecter les données.</w:t>
      </w:r>
      <w:r w:rsidR="002C7C13">
        <w:rPr>
          <w:rFonts w:asciiTheme="minorHAnsi" w:hAnsiTheme="minorHAnsi" w:cstheme="minorHAnsi"/>
          <w:sz w:val="22"/>
          <w:szCs w:val="22"/>
        </w:rPr>
        <w:t xml:space="preserve"> </w:t>
      </w:r>
    </w:p>
    <w:p w:rsidR="005328B0" w:rsidRDefault="005328B0" w:rsidP="00A27296">
      <w:pPr>
        <w:jc w:val="both"/>
        <w:rPr>
          <w:rFonts w:asciiTheme="minorHAnsi" w:hAnsiTheme="minorHAnsi" w:cstheme="minorHAnsi"/>
          <w:sz w:val="22"/>
          <w:szCs w:val="22"/>
        </w:rPr>
      </w:pPr>
      <w:r>
        <w:rPr>
          <w:rFonts w:asciiTheme="minorHAnsi" w:hAnsiTheme="minorHAnsi" w:cstheme="minorHAnsi"/>
          <w:sz w:val="22"/>
          <w:szCs w:val="22"/>
        </w:rPr>
        <w:t>Il faudra ainsi au sein de la DGCT mettre en place une cellule chargée du suivi du FRD et s’assurer que la totalité des communes dispose de moye</w:t>
      </w:r>
      <w:r w:rsidR="00CA2FA0">
        <w:rPr>
          <w:rFonts w:asciiTheme="minorHAnsi" w:hAnsiTheme="minorHAnsi" w:cstheme="minorHAnsi"/>
          <w:sz w:val="22"/>
          <w:szCs w:val="22"/>
        </w:rPr>
        <w:t xml:space="preserve">ns </w:t>
      </w:r>
      <w:r w:rsidR="00A93BE3">
        <w:rPr>
          <w:rFonts w:asciiTheme="minorHAnsi" w:hAnsiTheme="minorHAnsi" w:cstheme="minorHAnsi"/>
          <w:sz w:val="22"/>
          <w:szCs w:val="22"/>
        </w:rPr>
        <w:t xml:space="preserve">performants </w:t>
      </w:r>
      <w:r w:rsidR="00CA2FA0">
        <w:rPr>
          <w:rFonts w:asciiTheme="minorHAnsi" w:hAnsiTheme="minorHAnsi" w:cstheme="minorHAnsi"/>
          <w:sz w:val="22"/>
          <w:szCs w:val="22"/>
        </w:rPr>
        <w:t>de communication et de transmission des données par voie électroniq</w:t>
      </w:r>
      <w:r w:rsidR="00C10763">
        <w:rPr>
          <w:rFonts w:asciiTheme="minorHAnsi" w:hAnsiTheme="minorHAnsi" w:cstheme="minorHAnsi"/>
          <w:sz w:val="22"/>
          <w:szCs w:val="22"/>
        </w:rPr>
        <w:t>u</w:t>
      </w:r>
      <w:r w:rsidR="00CA2FA0">
        <w:rPr>
          <w:rFonts w:asciiTheme="minorHAnsi" w:hAnsiTheme="minorHAnsi" w:cstheme="minorHAnsi"/>
          <w:sz w:val="22"/>
          <w:szCs w:val="22"/>
        </w:rPr>
        <w:t>e</w:t>
      </w:r>
      <w:r>
        <w:rPr>
          <w:rFonts w:asciiTheme="minorHAnsi" w:hAnsiTheme="minorHAnsi" w:cstheme="minorHAnsi"/>
          <w:sz w:val="22"/>
          <w:szCs w:val="22"/>
        </w:rPr>
        <w:t xml:space="preserve"> pour assurer un minimum de fluidité dans les échanges.</w:t>
      </w:r>
      <w:r w:rsidR="000A4B72">
        <w:rPr>
          <w:rFonts w:asciiTheme="minorHAnsi" w:hAnsiTheme="minorHAnsi" w:cstheme="minorHAnsi"/>
          <w:sz w:val="22"/>
          <w:szCs w:val="22"/>
        </w:rPr>
        <w:t xml:space="preserve"> Il y a</w:t>
      </w:r>
      <w:r w:rsidR="000A4B72" w:rsidRPr="007A15B9">
        <w:rPr>
          <w:rFonts w:asciiTheme="minorHAnsi" w:hAnsiTheme="minorHAnsi" w:cstheme="minorHAnsi"/>
          <w:b/>
          <w:sz w:val="22"/>
          <w:szCs w:val="22"/>
        </w:rPr>
        <w:t xml:space="preserve"> </w:t>
      </w:r>
      <w:r w:rsidR="000A4B72">
        <w:rPr>
          <w:rFonts w:asciiTheme="minorHAnsi" w:hAnsiTheme="minorHAnsi" w:cstheme="minorHAnsi"/>
          <w:sz w:val="22"/>
          <w:szCs w:val="22"/>
        </w:rPr>
        <w:t xml:space="preserve">un certain nombre de sujets </w:t>
      </w:r>
      <w:r w:rsidR="008E5F52">
        <w:rPr>
          <w:rFonts w:asciiTheme="minorHAnsi" w:hAnsiTheme="minorHAnsi" w:cstheme="minorHAnsi"/>
          <w:sz w:val="22"/>
          <w:szCs w:val="22"/>
        </w:rPr>
        <w:t xml:space="preserve">(terminologie employée, </w:t>
      </w:r>
      <w:r w:rsidR="00CA2FA0">
        <w:rPr>
          <w:rFonts w:asciiTheme="minorHAnsi" w:hAnsiTheme="minorHAnsi" w:cstheme="minorHAnsi"/>
          <w:sz w:val="22"/>
          <w:szCs w:val="22"/>
        </w:rPr>
        <w:t>compréhension</w:t>
      </w:r>
      <w:r w:rsidR="000A4B72">
        <w:rPr>
          <w:rFonts w:asciiTheme="minorHAnsi" w:hAnsiTheme="minorHAnsi" w:cstheme="minorHAnsi"/>
          <w:sz w:val="22"/>
          <w:szCs w:val="22"/>
        </w:rPr>
        <w:t xml:space="preserve"> des canevas, comptabilisation des projets, éligibilité des dépenses au FRD …) nécessitant immanquablement</w:t>
      </w:r>
      <w:r w:rsidR="00CA323B">
        <w:rPr>
          <w:rFonts w:asciiTheme="minorHAnsi" w:hAnsiTheme="minorHAnsi" w:cstheme="minorHAnsi"/>
          <w:sz w:val="22"/>
          <w:szCs w:val="22"/>
        </w:rPr>
        <w:t xml:space="preserve"> un partage des interprétations et des choix opérés.</w:t>
      </w:r>
      <w:r w:rsidR="008E5F52">
        <w:rPr>
          <w:rFonts w:asciiTheme="minorHAnsi" w:hAnsiTheme="minorHAnsi" w:cstheme="minorHAnsi"/>
          <w:sz w:val="22"/>
          <w:szCs w:val="22"/>
        </w:rPr>
        <w:t xml:space="preserve"> L’</w:t>
      </w:r>
      <w:r w:rsidR="007A15B9">
        <w:rPr>
          <w:rFonts w:asciiTheme="minorHAnsi" w:hAnsiTheme="minorHAnsi" w:cstheme="minorHAnsi"/>
          <w:sz w:val="22"/>
          <w:szCs w:val="22"/>
        </w:rPr>
        <w:t>interactivité doit donc être de mise de part et d’autre.</w:t>
      </w:r>
    </w:p>
    <w:p w:rsidR="005328B0" w:rsidRDefault="005328B0" w:rsidP="00A27296">
      <w:pPr>
        <w:jc w:val="both"/>
        <w:rPr>
          <w:rFonts w:asciiTheme="minorHAnsi" w:hAnsiTheme="minorHAnsi" w:cstheme="minorHAnsi"/>
          <w:sz w:val="22"/>
          <w:szCs w:val="22"/>
        </w:rPr>
      </w:pPr>
      <w:r>
        <w:rPr>
          <w:rFonts w:asciiTheme="minorHAnsi" w:hAnsiTheme="minorHAnsi" w:cstheme="minorHAnsi"/>
          <w:sz w:val="22"/>
          <w:szCs w:val="22"/>
        </w:rPr>
        <w:t xml:space="preserve">Pour ce faire, il sera </w:t>
      </w:r>
      <w:r w:rsidR="008E5F52">
        <w:rPr>
          <w:rFonts w:asciiTheme="minorHAnsi" w:hAnsiTheme="minorHAnsi" w:cstheme="minorHAnsi"/>
          <w:sz w:val="22"/>
          <w:szCs w:val="22"/>
        </w:rPr>
        <w:t xml:space="preserve">par exemple </w:t>
      </w:r>
      <w:r>
        <w:rPr>
          <w:rFonts w:asciiTheme="minorHAnsi" w:hAnsiTheme="minorHAnsi" w:cstheme="minorHAnsi"/>
          <w:sz w:val="22"/>
          <w:szCs w:val="22"/>
        </w:rPr>
        <w:t xml:space="preserve">demandé aux communes : </w:t>
      </w:r>
    </w:p>
    <w:p w:rsidR="00A10A82" w:rsidRDefault="00A10A82" w:rsidP="00A27296">
      <w:pPr>
        <w:jc w:val="both"/>
        <w:rPr>
          <w:rFonts w:asciiTheme="minorHAnsi" w:hAnsiTheme="minorHAnsi" w:cstheme="minorHAnsi"/>
          <w:sz w:val="22"/>
          <w:szCs w:val="22"/>
        </w:rPr>
      </w:pPr>
    </w:p>
    <w:p w:rsidR="00A10A82" w:rsidRDefault="005328B0" w:rsidP="002F04D1">
      <w:pPr>
        <w:pStyle w:val="Paragraphedeliste"/>
        <w:numPr>
          <w:ilvl w:val="0"/>
          <w:numId w:val="11"/>
        </w:numPr>
        <w:jc w:val="both"/>
        <w:rPr>
          <w:rFonts w:asciiTheme="minorHAnsi" w:hAnsiTheme="minorHAnsi" w:cstheme="minorHAnsi"/>
          <w:sz w:val="22"/>
          <w:szCs w:val="22"/>
        </w:rPr>
      </w:pPr>
      <w:r>
        <w:rPr>
          <w:rFonts w:asciiTheme="minorHAnsi" w:hAnsiTheme="minorHAnsi" w:cstheme="minorHAnsi"/>
          <w:sz w:val="22"/>
          <w:szCs w:val="22"/>
        </w:rPr>
        <w:t>D’attribuer un numéro d’opération millésimé</w:t>
      </w:r>
      <w:r w:rsidR="00DF65D9">
        <w:rPr>
          <w:rFonts w:asciiTheme="minorHAnsi" w:hAnsiTheme="minorHAnsi" w:cstheme="minorHAnsi"/>
          <w:sz w:val="22"/>
          <w:szCs w:val="22"/>
        </w:rPr>
        <w:t xml:space="preserve"> pour permettre un meilleur suivi des opérations d’investissement au cours de leur cycle de vie</w:t>
      </w:r>
      <w:r w:rsidR="004162A4">
        <w:rPr>
          <w:rFonts w:asciiTheme="minorHAnsi" w:hAnsiTheme="minorHAnsi" w:cstheme="minorHAnsi"/>
          <w:sz w:val="22"/>
          <w:szCs w:val="22"/>
        </w:rPr>
        <w:t>, au-delà de l’exercice budgétaire au cours duquel a démarré l’opération</w:t>
      </w:r>
      <w:r w:rsidR="00DF65D9">
        <w:rPr>
          <w:rFonts w:asciiTheme="minorHAnsi" w:hAnsiTheme="minorHAnsi" w:cstheme="minorHAnsi"/>
          <w:sz w:val="22"/>
          <w:szCs w:val="22"/>
        </w:rPr>
        <w:t>.</w:t>
      </w:r>
    </w:p>
    <w:p w:rsidR="00A10A82" w:rsidRPr="00A10A82" w:rsidRDefault="00A10A82" w:rsidP="00A10A82">
      <w:pPr>
        <w:pStyle w:val="Paragraphedeliste"/>
        <w:jc w:val="both"/>
        <w:rPr>
          <w:rFonts w:asciiTheme="minorHAnsi" w:hAnsiTheme="minorHAnsi" w:cstheme="minorHAnsi"/>
          <w:sz w:val="22"/>
          <w:szCs w:val="22"/>
        </w:rPr>
      </w:pPr>
    </w:p>
    <w:p w:rsidR="00A10A82" w:rsidRDefault="00DF65D9" w:rsidP="002F04D1">
      <w:pPr>
        <w:pStyle w:val="Paragraphedeliste"/>
        <w:numPr>
          <w:ilvl w:val="0"/>
          <w:numId w:val="11"/>
        </w:numPr>
        <w:jc w:val="both"/>
        <w:rPr>
          <w:rFonts w:asciiTheme="minorHAnsi" w:hAnsiTheme="minorHAnsi" w:cstheme="minorHAnsi"/>
          <w:sz w:val="22"/>
          <w:szCs w:val="22"/>
        </w:rPr>
      </w:pPr>
      <w:r>
        <w:rPr>
          <w:rFonts w:asciiTheme="minorHAnsi" w:hAnsiTheme="minorHAnsi" w:cstheme="minorHAnsi"/>
          <w:sz w:val="22"/>
          <w:szCs w:val="22"/>
        </w:rPr>
        <w:t>De faire préciser par chaque commune le volume des reliquats de crédits</w:t>
      </w:r>
      <w:r w:rsidR="008E5F52">
        <w:rPr>
          <w:rFonts w:asciiTheme="minorHAnsi" w:hAnsiTheme="minorHAnsi" w:cstheme="minorHAnsi"/>
          <w:sz w:val="22"/>
          <w:szCs w:val="22"/>
        </w:rPr>
        <w:t xml:space="preserve"> dont elle </w:t>
      </w:r>
      <w:r w:rsidR="00A93BE3">
        <w:rPr>
          <w:rFonts w:asciiTheme="minorHAnsi" w:hAnsiTheme="minorHAnsi" w:cstheme="minorHAnsi"/>
          <w:sz w:val="22"/>
          <w:szCs w:val="22"/>
        </w:rPr>
        <w:t xml:space="preserve">pense </w:t>
      </w:r>
      <w:r w:rsidR="008E5F52">
        <w:rPr>
          <w:rFonts w:asciiTheme="minorHAnsi" w:hAnsiTheme="minorHAnsi" w:cstheme="minorHAnsi"/>
          <w:sz w:val="22"/>
          <w:szCs w:val="22"/>
        </w:rPr>
        <w:t>dispose</w:t>
      </w:r>
      <w:r w:rsidR="00A93BE3">
        <w:rPr>
          <w:rFonts w:asciiTheme="minorHAnsi" w:hAnsiTheme="minorHAnsi" w:cstheme="minorHAnsi"/>
          <w:sz w:val="22"/>
          <w:szCs w:val="22"/>
        </w:rPr>
        <w:t>r</w:t>
      </w:r>
      <w:r w:rsidR="00AD5F1B">
        <w:rPr>
          <w:rFonts w:asciiTheme="minorHAnsi" w:hAnsiTheme="minorHAnsi" w:cstheme="minorHAnsi"/>
          <w:sz w:val="22"/>
          <w:szCs w:val="22"/>
        </w:rPr>
        <w:t>, et son calcul le cas échéant</w:t>
      </w:r>
      <w:r>
        <w:rPr>
          <w:rFonts w:asciiTheme="minorHAnsi" w:hAnsiTheme="minorHAnsi" w:cstheme="minorHAnsi"/>
          <w:sz w:val="22"/>
          <w:szCs w:val="22"/>
        </w:rPr>
        <w:t>.</w:t>
      </w:r>
    </w:p>
    <w:p w:rsidR="00A10A82" w:rsidRPr="00A10A82" w:rsidRDefault="00A10A82" w:rsidP="00A10A82">
      <w:pPr>
        <w:jc w:val="both"/>
        <w:rPr>
          <w:rFonts w:asciiTheme="minorHAnsi" w:hAnsiTheme="minorHAnsi" w:cstheme="minorHAnsi"/>
          <w:sz w:val="22"/>
          <w:szCs w:val="22"/>
        </w:rPr>
      </w:pPr>
    </w:p>
    <w:p w:rsidR="00DF65D9" w:rsidRDefault="00DF65D9" w:rsidP="002F04D1">
      <w:pPr>
        <w:pStyle w:val="Paragraphedeliste"/>
        <w:numPr>
          <w:ilvl w:val="0"/>
          <w:numId w:val="11"/>
        </w:numPr>
        <w:jc w:val="both"/>
        <w:rPr>
          <w:rFonts w:asciiTheme="minorHAnsi" w:hAnsiTheme="minorHAnsi" w:cstheme="minorHAnsi"/>
          <w:sz w:val="22"/>
          <w:szCs w:val="22"/>
        </w:rPr>
      </w:pPr>
      <w:r>
        <w:rPr>
          <w:rFonts w:asciiTheme="minorHAnsi" w:hAnsiTheme="minorHAnsi" w:cstheme="minorHAnsi"/>
          <w:sz w:val="22"/>
          <w:szCs w:val="22"/>
        </w:rPr>
        <w:t>De remplir une présentation simplifiée de leur compte administratif (tenant sur une feuille A4).</w:t>
      </w:r>
    </w:p>
    <w:p w:rsidR="000A7850" w:rsidRPr="000A7850" w:rsidRDefault="000A7850" w:rsidP="000A7850">
      <w:pPr>
        <w:pStyle w:val="Paragraphedeliste"/>
        <w:rPr>
          <w:rFonts w:asciiTheme="minorHAnsi" w:hAnsiTheme="minorHAnsi" w:cstheme="minorHAnsi"/>
          <w:sz w:val="22"/>
          <w:szCs w:val="22"/>
        </w:rPr>
      </w:pPr>
    </w:p>
    <w:p w:rsidR="00222B54" w:rsidRPr="00001DD3" w:rsidRDefault="000A7850" w:rsidP="00222B54">
      <w:pPr>
        <w:pStyle w:val="Paragraphedeliste"/>
        <w:numPr>
          <w:ilvl w:val="0"/>
          <w:numId w:val="11"/>
        </w:numPr>
        <w:jc w:val="both"/>
        <w:rPr>
          <w:rFonts w:asciiTheme="minorHAnsi" w:hAnsiTheme="minorHAnsi" w:cstheme="minorHAnsi"/>
          <w:b/>
          <w:sz w:val="22"/>
          <w:szCs w:val="22"/>
        </w:rPr>
      </w:pPr>
      <w:r w:rsidRPr="00001DD3">
        <w:rPr>
          <w:rFonts w:asciiTheme="minorHAnsi" w:hAnsiTheme="minorHAnsi" w:cstheme="minorHAnsi"/>
          <w:b/>
          <w:sz w:val="22"/>
          <w:szCs w:val="22"/>
        </w:rPr>
        <w:t>D’indiquer les autres sources de financement de ses opérations d’investissement en cours ou à venir (montant, origine, équipement financé, conditions d’octroi …).</w:t>
      </w:r>
    </w:p>
    <w:p w:rsidR="00222B54" w:rsidRPr="00001DD3" w:rsidRDefault="00222B54" w:rsidP="00222B54">
      <w:pPr>
        <w:pStyle w:val="Paragraphedeliste"/>
        <w:rPr>
          <w:rFonts w:asciiTheme="minorHAnsi" w:hAnsiTheme="minorHAnsi" w:cstheme="minorHAnsi"/>
          <w:b/>
          <w:sz w:val="22"/>
          <w:szCs w:val="22"/>
        </w:rPr>
      </w:pPr>
    </w:p>
    <w:p w:rsidR="00222B54" w:rsidRPr="00001DD3" w:rsidRDefault="00222B54" w:rsidP="00222B54">
      <w:pPr>
        <w:pStyle w:val="Paragraphedeliste"/>
        <w:numPr>
          <w:ilvl w:val="0"/>
          <w:numId w:val="11"/>
        </w:numPr>
        <w:jc w:val="both"/>
        <w:rPr>
          <w:rFonts w:asciiTheme="minorHAnsi" w:hAnsiTheme="minorHAnsi" w:cstheme="minorHAnsi"/>
          <w:b/>
          <w:sz w:val="22"/>
          <w:szCs w:val="22"/>
        </w:rPr>
      </w:pPr>
      <w:r w:rsidRPr="00001DD3">
        <w:rPr>
          <w:rFonts w:asciiTheme="minorHAnsi" w:hAnsiTheme="minorHAnsi" w:cstheme="minorHAnsi"/>
          <w:b/>
          <w:sz w:val="22"/>
          <w:szCs w:val="22"/>
        </w:rPr>
        <w:t>L</w:t>
      </w:r>
      <w:r w:rsidR="003B5FCE">
        <w:rPr>
          <w:rFonts w:asciiTheme="minorHAnsi" w:hAnsiTheme="minorHAnsi" w:cstheme="minorHAnsi"/>
          <w:b/>
          <w:sz w:val="22"/>
          <w:szCs w:val="22"/>
        </w:rPr>
        <w:t>a programmation des</w:t>
      </w:r>
      <w:r w:rsidRPr="00001DD3">
        <w:rPr>
          <w:rFonts w:asciiTheme="minorHAnsi" w:hAnsiTheme="minorHAnsi" w:cstheme="minorHAnsi"/>
          <w:b/>
          <w:sz w:val="22"/>
          <w:szCs w:val="22"/>
        </w:rPr>
        <w:t xml:space="preserve"> investissements et </w:t>
      </w:r>
      <w:r w:rsidR="00001DD3">
        <w:rPr>
          <w:rFonts w:asciiTheme="minorHAnsi" w:hAnsiTheme="minorHAnsi" w:cstheme="minorHAnsi"/>
          <w:b/>
          <w:sz w:val="22"/>
          <w:szCs w:val="22"/>
        </w:rPr>
        <w:t>de leurs coû</w:t>
      </w:r>
      <w:r w:rsidRPr="00001DD3">
        <w:rPr>
          <w:rFonts w:asciiTheme="minorHAnsi" w:hAnsiTheme="minorHAnsi" w:cstheme="minorHAnsi"/>
          <w:b/>
          <w:sz w:val="22"/>
          <w:szCs w:val="22"/>
        </w:rPr>
        <w:t>ts prévisionnels le cas échéant.</w:t>
      </w:r>
    </w:p>
    <w:p w:rsidR="00A10A82" w:rsidRDefault="00A10A82" w:rsidP="00A10A82">
      <w:pPr>
        <w:pStyle w:val="Paragraphedeliste"/>
        <w:jc w:val="both"/>
        <w:rPr>
          <w:rFonts w:asciiTheme="minorHAnsi" w:hAnsiTheme="minorHAnsi" w:cstheme="minorHAnsi"/>
          <w:sz w:val="22"/>
          <w:szCs w:val="22"/>
        </w:rPr>
      </w:pPr>
    </w:p>
    <w:p w:rsidR="000A4B72" w:rsidRPr="000A4B72" w:rsidRDefault="000A4B72" w:rsidP="000A4B72">
      <w:pPr>
        <w:jc w:val="both"/>
        <w:rPr>
          <w:rFonts w:asciiTheme="minorHAnsi" w:hAnsiTheme="minorHAnsi" w:cstheme="minorHAnsi"/>
          <w:sz w:val="22"/>
          <w:szCs w:val="22"/>
        </w:rPr>
      </w:pPr>
      <w:r>
        <w:rPr>
          <w:rFonts w:asciiTheme="minorHAnsi" w:hAnsiTheme="minorHAnsi" w:cstheme="minorHAnsi"/>
          <w:sz w:val="22"/>
          <w:szCs w:val="22"/>
        </w:rPr>
        <w:t>Dans le même ordre d’</w:t>
      </w:r>
      <w:r w:rsidR="008E5F52">
        <w:rPr>
          <w:rFonts w:asciiTheme="minorHAnsi" w:hAnsiTheme="minorHAnsi" w:cstheme="minorHAnsi"/>
          <w:sz w:val="22"/>
          <w:szCs w:val="22"/>
        </w:rPr>
        <w:t>idées, des</w:t>
      </w:r>
      <w:r w:rsidR="00CA2FA0">
        <w:rPr>
          <w:rFonts w:asciiTheme="minorHAnsi" w:hAnsiTheme="minorHAnsi" w:cstheme="minorHAnsi"/>
          <w:sz w:val="22"/>
          <w:szCs w:val="22"/>
        </w:rPr>
        <w:t xml:space="preserve"> </w:t>
      </w:r>
      <w:r w:rsidR="008E5F52">
        <w:rPr>
          <w:rFonts w:asciiTheme="minorHAnsi" w:hAnsiTheme="minorHAnsi" w:cstheme="minorHAnsi"/>
          <w:sz w:val="22"/>
          <w:szCs w:val="22"/>
        </w:rPr>
        <w:t xml:space="preserve">questionnaires </w:t>
      </w:r>
      <w:r>
        <w:rPr>
          <w:rFonts w:asciiTheme="minorHAnsi" w:hAnsiTheme="minorHAnsi" w:cstheme="minorHAnsi"/>
          <w:sz w:val="22"/>
          <w:szCs w:val="22"/>
        </w:rPr>
        <w:t>permettant d’avoir le retour des communes sur l’utilisation du F</w:t>
      </w:r>
      <w:r w:rsidR="008E5F52">
        <w:rPr>
          <w:rFonts w:asciiTheme="minorHAnsi" w:hAnsiTheme="minorHAnsi" w:cstheme="minorHAnsi"/>
          <w:sz w:val="22"/>
          <w:szCs w:val="22"/>
        </w:rPr>
        <w:t>RD</w:t>
      </w:r>
      <w:r w:rsidR="00A10A82">
        <w:rPr>
          <w:rFonts w:asciiTheme="minorHAnsi" w:hAnsiTheme="minorHAnsi" w:cstheme="minorHAnsi"/>
          <w:sz w:val="22"/>
          <w:szCs w:val="22"/>
        </w:rPr>
        <w:t xml:space="preserve">, sur leurs comportements en tant qu’utilisateurs du FRD (saupoudrage, accumulation pour des projets plus importants, programmation pluriannuelle, désir de bénéficier d’un système de mise à disposition immédiate des crédits pour financer des opérations d’envergure, intérêt pour un système de subventions d’équipement, intérêt pour une mutualisation intercommunale des fonds, attitude proactive en matière de mobilisation des ressources financières et fiscales, propositions pour améliorer l’impact du FRD …), </w:t>
      </w:r>
      <w:r w:rsidR="008E5F52">
        <w:rPr>
          <w:rFonts w:asciiTheme="minorHAnsi" w:hAnsiTheme="minorHAnsi" w:cstheme="minorHAnsi"/>
          <w:sz w:val="22"/>
          <w:szCs w:val="22"/>
        </w:rPr>
        <w:t>sur leur évaluation de l’instrument</w:t>
      </w:r>
      <w:r>
        <w:rPr>
          <w:rFonts w:asciiTheme="minorHAnsi" w:hAnsiTheme="minorHAnsi" w:cstheme="minorHAnsi"/>
          <w:sz w:val="22"/>
          <w:szCs w:val="22"/>
        </w:rPr>
        <w:t xml:space="preserve"> </w:t>
      </w:r>
      <w:r w:rsidR="00222B54">
        <w:rPr>
          <w:rFonts w:asciiTheme="minorHAnsi" w:hAnsiTheme="minorHAnsi" w:cstheme="minorHAnsi"/>
          <w:sz w:val="22"/>
          <w:szCs w:val="22"/>
        </w:rPr>
        <w:t xml:space="preserve">(montant de la dotation, critères de répartition …) </w:t>
      </w:r>
      <w:r>
        <w:rPr>
          <w:rFonts w:asciiTheme="minorHAnsi" w:hAnsiTheme="minorHAnsi" w:cstheme="minorHAnsi"/>
          <w:sz w:val="22"/>
          <w:szCs w:val="22"/>
        </w:rPr>
        <w:t>pourrai</w:t>
      </w:r>
      <w:r w:rsidR="008E5F52">
        <w:rPr>
          <w:rFonts w:asciiTheme="minorHAnsi" w:hAnsiTheme="minorHAnsi" w:cstheme="minorHAnsi"/>
          <w:sz w:val="22"/>
          <w:szCs w:val="22"/>
        </w:rPr>
        <w:t>en</w:t>
      </w:r>
      <w:r>
        <w:rPr>
          <w:rFonts w:asciiTheme="minorHAnsi" w:hAnsiTheme="minorHAnsi" w:cstheme="minorHAnsi"/>
          <w:sz w:val="22"/>
          <w:szCs w:val="22"/>
        </w:rPr>
        <w:t>t également éclairer le Comité Technique National de suivi-évaluation du FRD</w:t>
      </w:r>
      <w:r w:rsidR="008E5F52">
        <w:rPr>
          <w:rFonts w:asciiTheme="minorHAnsi" w:hAnsiTheme="minorHAnsi" w:cstheme="minorHAnsi"/>
          <w:sz w:val="22"/>
          <w:szCs w:val="22"/>
        </w:rPr>
        <w:t xml:space="preserve"> sur les orientations à prendre pour l’adapter encore plus aux besoins des collectivités</w:t>
      </w:r>
      <w:r>
        <w:rPr>
          <w:rFonts w:asciiTheme="minorHAnsi" w:hAnsiTheme="minorHAnsi" w:cstheme="minorHAnsi"/>
          <w:sz w:val="22"/>
          <w:szCs w:val="22"/>
        </w:rPr>
        <w:t>.</w:t>
      </w:r>
    </w:p>
    <w:p w:rsidR="00A91725" w:rsidRPr="00A91725" w:rsidRDefault="00000EFC" w:rsidP="00A91725">
      <w:pPr>
        <w:jc w:val="both"/>
        <w:rPr>
          <w:rFonts w:asciiTheme="minorHAnsi" w:hAnsiTheme="minorHAnsi" w:cstheme="minorHAnsi"/>
          <w:sz w:val="22"/>
          <w:szCs w:val="22"/>
        </w:rPr>
      </w:pPr>
      <w:r w:rsidRPr="00A91725">
        <w:rPr>
          <w:rFonts w:asciiTheme="minorHAnsi" w:hAnsiTheme="minorHAnsi" w:cstheme="minorHAnsi"/>
          <w:sz w:val="22"/>
          <w:szCs w:val="22"/>
        </w:rPr>
        <w:t>Ces échanges permettront en outre d’améliorer la qualité des données récoltées</w:t>
      </w:r>
      <w:r w:rsidR="00A91725" w:rsidRPr="00A91725">
        <w:rPr>
          <w:rFonts w:asciiTheme="minorHAnsi" w:hAnsiTheme="minorHAnsi" w:cstheme="minorHAnsi"/>
          <w:sz w:val="22"/>
          <w:szCs w:val="22"/>
        </w:rPr>
        <w:t xml:space="preserve"> puisque les liens qui auront été noués avec les communes permettront de procéder à la récolte d’informations manquantes et à la vérification </w:t>
      </w:r>
      <w:r w:rsidR="00A91725">
        <w:rPr>
          <w:rFonts w:asciiTheme="minorHAnsi" w:hAnsiTheme="minorHAnsi" w:cstheme="minorHAnsi"/>
          <w:sz w:val="22"/>
          <w:szCs w:val="22"/>
        </w:rPr>
        <w:t xml:space="preserve">quasi instantanée des </w:t>
      </w:r>
      <w:r w:rsidR="00A91725" w:rsidRPr="00A91725">
        <w:rPr>
          <w:rFonts w:asciiTheme="minorHAnsi" w:hAnsiTheme="minorHAnsi" w:cstheme="minorHAnsi"/>
          <w:sz w:val="22"/>
          <w:szCs w:val="22"/>
        </w:rPr>
        <w:t>données sur lesquelles des doutes existent</w:t>
      </w:r>
      <w:r w:rsidR="000E1E41">
        <w:rPr>
          <w:rFonts w:asciiTheme="minorHAnsi" w:hAnsiTheme="minorHAnsi" w:cstheme="minorHAnsi"/>
          <w:sz w:val="22"/>
          <w:szCs w:val="22"/>
        </w:rPr>
        <w:t>. D’une approche quantitative et statistique, l’appréciation plus qualitative des opérations et l’évaluation de leur impact sur la vie des administrés</w:t>
      </w:r>
      <w:r w:rsidR="00A91725" w:rsidRPr="00A91725">
        <w:rPr>
          <w:rFonts w:asciiTheme="minorHAnsi" w:hAnsiTheme="minorHAnsi" w:cstheme="minorHAnsi"/>
          <w:sz w:val="22"/>
          <w:szCs w:val="22"/>
        </w:rPr>
        <w:t xml:space="preserve"> </w:t>
      </w:r>
      <w:r w:rsidR="000E1E41">
        <w:rPr>
          <w:rFonts w:asciiTheme="minorHAnsi" w:hAnsiTheme="minorHAnsi" w:cstheme="minorHAnsi"/>
          <w:sz w:val="22"/>
          <w:szCs w:val="22"/>
        </w:rPr>
        <w:t>vont pouvoir être amorcées.</w:t>
      </w:r>
    </w:p>
    <w:p w:rsidR="00CA2FA0" w:rsidRDefault="00CA2FA0" w:rsidP="00DF65D9">
      <w:pPr>
        <w:jc w:val="both"/>
        <w:rPr>
          <w:rFonts w:asciiTheme="minorHAnsi" w:hAnsiTheme="minorHAnsi" w:cstheme="minorHAnsi"/>
          <w:sz w:val="22"/>
          <w:szCs w:val="22"/>
        </w:rPr>
      </w:pPr>
    </w:p>
    <w:p w:rsidR="00DF65D9" w:rsidRDefault="00DF65D9" w:rsidP="00DF65D9">
      <w:pPr>
        <w:jc w:val="both"/>
        <w:rPr>
          <w:rFonts w:asciiTheme="minorHAnsi" w:hAnsiTheme="minorHAnsi" w:cstheme="minorHAnsi"/>
          <w:sz w:val="22"/>
          <w:szCs w:val="22"/>
        </w:rPr>
      </w:pPr>
      <w:r>
        <w:rPr>
          <w:rFonts w:asciiTheme="minorHAnsi" w:hAnsiTheme="minorHAnsi" w:cstheme="minorHAnsi"/>
          <w:sz w:val="22"/>
          <w:szCs w:val="22"/>
        </w:rPr>
        <w:t xml:space="preserve">Les liens devront également être resserrés avec les receveurs municipaux en charge de l’élaboration des comptes de gestion et de la régularité des opérations comptables (enregistrement des dépenses dans la bonne section, reports des excédents ou déficits des exercices antérieurs </w:t>
      </w:r>
      <w:r w:rsidR="00AD5F1B">
        <w:rPr>
          <w:rFonts w:asciiTheme="minorHAnsi" w:hAnsiTheme="minorHAnsi" w:cstheme="minorHAnsi"/>
          <w:sz w:val="22"/>
          <w:szCs w:val="22"/>
        </w:rPr>
        <w:t xml:space="preserve">essentiels à l’appréciation des reliquats </w:t>
      </w:r>
      <w:r>
        <w:rPr>
          <w:rFonts w:asciiTheme="minorHAnsi" w:hAnsiTheme="minorHAnsi" w:cstheme="minorHAnsi"/>
          <w:sz w:val="22"/>
          <w:szCs w:val="22"/>
        </w:rPr>
        <w:t>...) qui sont une pièce maîtresse dans le processus de fiabilisat</w:t>
      </w:r>
      <w:r w:rsidR="00AD5F1B">
        <w:rPr>
          <w:rFonts w:asciiTheme="minorHAnsi" w:hAnsiTheme="minorHAnsi" w:cstheme="minorHAnsi"/>
          <w:sz w:val="22"/>
          <w:szCs w:val="22"/>
        </w:rPr>
        <w:t xml:space="preserve">ion </w:t>
      </w:r>
      <w:r w:rsidR="007A15B9">
        <w:rPr>
          <w:rFonts w:asciiTheme="minorHAnsi" w:hAnsiTheme="minorHAnsi" w:cstheme="minorHAnsi"/>
          <w:sz w:val="22"/>
          <w:szCs w:val="22"/>
        </w:rPr>
        <w:t xml:space="preserve">des données </w:t>
      </w:r>
      <w:r w:rsidR="00AD5F1B">
        <w:rPr>
          <w:rFonts w:asciiTheme="minorHAnsi" w:hAnsiTheme="minorHAnsi" w:cstheme="minorHAnsi"/>
          <w:sz w:val="22"/>
          <w:szCs w:val="22"/>
        </w:rPr>
        <w:t xml:space="preserve">que nous appelons de nos </w:t>
      </w:r>
      <w:proofErr w:type="spellStart"/>
      <w:r w:rsidR="00AD5F1B">
        <w:rPr>
          <w:rFonts w:asciiTheme="minorHAnsi" w:hAnsiTheme="minorHAnsi" w:cstheme="minorHAnsi"/>
          <w:sz w:val="22"/>
          <w:szCs w:val="22"/>
        </w:rPr>
        <w:t>voe</w:t>
      </w:r>
      <w:r>
        <w:rPr>
          <w:rFonts w:asciiTheme="minorHAnsi" w:hAnsiTheme="minorHAnsi" w:cstheme="minorHAnsi"/>
          <w:sz w:val="22"/>
          <w:szCs w:val="22"/>
        </w:rPr>
        <w:t>ux</w:t>
      </w:r>
      <w:proofErr w:type="spellEnd"/>
      <w:r>
        <w:rPr>
          <w:rFonts w:asciiTheme="minorHAnsi" w:hAnsiTheme="minorHAnsi" w:cstheme="minorHAnsi"/>
          <w:sz w:val="22"/>
          <w:szCs w:val="22"/>
        </w:rPr>
        <w:t>.</w:t>
      </w:r>
    </w:p>
    <w:p w:rsidR="00000EFC" w:rsidRPr="00DF65D9" w:rsidRDefault="00000EFC" w:rsidP="00DF65D9">
      <w:pPr>
        <w:jc w:val="both"/>
        <w:rPr>
          <w:rFonts w:asciiTheme="minorHAnsi" w:hAnsiTheme="minorHAnsi" w:cstheme="minorHAnsi"/>
          <w:sz w:val="22"/>
          <w:szCs w:val="22"/>
        </w:rPr>
      </w:pPr>
      <w:r>
        <w:rPr>
          <w:rFonts w:asciiTheme="minorHAnsi" w:hAnsiTheme="minorHAnsi" w:cstheme="minorHAnsi"/>
          <w:sz w:val="22"/>
          <w:szCs w:val="22"/>
        </w:rPr>
        <w:t>De manière générale, la DGCT appuiera tou</w:t>
      </w:r>
      <w:r w:rsidR="000E1E41">
        <w:rPr>
          <w:rFonts w:asciiTheme="minorHAnsi" w:hAnsiTheme="minorHAnsi" w:cstheme="minorHAnsi"/>
          <w:sz w:val="22"/>
          <w:szCs w:val="22"/>
        </w:rPr>
        <w:t>tes les initiatives facilitant la gestion et le suivi des investissements</w:t>
      </w:r>
      <w:r w:rsidR="008B64B9">
        <w:rPr>
          <w:rFonts w:asciiTheme="minorHAnsi" w:hAnsiTheme="minorHAnsi" w:cstheme="minorHAnsi"/>
          <w:sz w:val="22"/>
          <w:szCs w:val="22"/>
        </w:rPr>
        <w:t xml:space="preserve"> et plaide pour la mis</w:t>
      </w:r>
      <w:r w:rsidR="00A93BE3">
        <w:rPr>
          <w:rFonts w:asciiTheme="minorHAnsi" w:hAnsiTheme="minorHAnsi" w:cstheme="minorHAnsi"/>
          <w:sz w:val="22"/>
          <w:szCs w:val="22"/>
        </w:rPr>
        <w:t xml:space="preserve">e en place d’outils </w:t>
      </w:r>
      <w:r w:rsidR="008B64B9">
        <w:rPr>
          <w:rFonts w:asciiTheme="minorHAnsi" w:hAnsiTheme="minorHAnsi" w:cstheme="minorHAnsi"/>
          <w:sz w:val="22"/>
          <w:szCs w:val="22"/>
        </w:rPr>
        <w:t>tels</w:t>
      </w:r>
      <w:r w:rsidR="00A93BE3">
        <w:rPr>
          <w:rFonts w:asciiTheme="minorHAnsi" w:hAnsiTheme="minorHAnsi" w:cstheme="minorHAnsi"/>
          <w:sz w:val="22"/>
          <w:szCs w:val="22"/>
        </w:rPr>
        <w:t xml:space="preserve"> que le</w:t>
      </w:r>
      <w:r w:rsidR="008B64B9">
        <w:rPr>
          <w:rFonts w:asciiTheme="minorHAnsi" w:hAnsiTheme="minorHAnsi" w:cstheme="minorHAnsi"/>
          <w:sz w:val="22"/>
          <w:szCs w:val="22"/>
        </w:rPr>
        <w:t xml:space="preserve"> système des autorisations de programme/crédits de paiement</w:t>
      </w:r>
      <w:r w:rsidR="00C77520">
        <w:rPr>
          <w:rFonts w:asciiTheme="minorHAnsi" w:hAnsiTheme="minorHAnsi" w:cstheme="minorHAnsi"/>
          <w:sz w:val="22"/>
          <w:szCs w:val="22"/>
        </w:rPr>
        <w:t xml:space="preserve"> (AP/CP)</w:t>
      </w:r>
      <w:r w:rsidR="008B64B9">
        <w:rPr>
          <w:rFonts w:asciiTheme="minorHAnsi" w:hAnsiTheme="minorHAnsi" w:cstheme="minorHAnsi"/>
          <w:sz w:val="22"/>
          <w:szCs w:val="22"/>
        </w:rPr>
        <w:t xml:space="preserve">, des restes à réaliser ou </w:t>
      </w:r>
      <w:r w:rsidR="00A93BE3">
        <w:rPr>
          <w:rFonts w:asciiTheme="minorHAnsi" w:hAnsiTheme="minorHAnsi" w:cstheme="minorHAnsi"/>
          <w:sz w:val="22"/>
          <w:szCs w:val="22"/>
        </w:rPr>
        <w:t xml:space="preserve">bien encore </w:t>
      </w:r>
      <w:r w:rsidR="008B64B9">
        <w:rPr>
          <w:rFonts w:asciiTheme="minorHAnsi" w:hAnsiTheme="minorHAnsi" w:cstheme="minorHAnsi"/>
          <w:sz w:val="22"/>
          <w:szCs w:val="22"/>
        </w:rPr>
        <w:t>la création de comptes spécifiques à la section d’investissement pour les immobilisations en cours, les études menant à des travaux et devant être immobilisées</w:t>
      </w:r>
      <w:r w:rsidR="00A93BE3">
        <w:rPr>
          <w:rFonts w:asciiTheme="minorHAnsi" w:hAnsiTheme="minorHAnsi" w:cstheme="minorHAnsi"/>
          <w:sz w:val="22"/>
          <w:szCs w:val="22"/>
        </w:rPr>
        <w:t>, en somme l’adaptation des textes et instruments de gouvernance a</w:t>
      </w:r>
      <w:r w:rsidR="000A7850">
        <w:rPr>
          <w:rFonts w:asciiTheme="minorHAnsi" w:hAnsiTheme="minorHAnsi" w:cstheme="minorHAnsi"/>
          <w:sz w:val="22"/>
          <w:szCs w:val="22"/>
        </w:rPr>
        <w:t>ux contraintes spécifiques</w:t>
      </w:r>
      <w:r w:rsidR="00A93BE3">
        <w:rPr>
          <w:rFonts w:asciiTheme="minorHAnsi" w:hAnsiTheme="minorHAnsi" w:cstheme="minorHAnsi"/>
          <w:sz w:val="22"/>
          <w:szCs w:val="22"/>
        </w:rPr>
        <w:t xml:space="preserve"> aux opérations d’investissemen</w:t>
      </w:r>
      <w:r w:rsidR="00C77520">
        <w:rPr>
          <w:rFonts w:asciiTheme="minorHAnsi" w:hAnsiTheme="minorHAnsi" w:cstheme="minorHAnsi"/>
          <w:sz w:val="22"/>
          <w:szCs w:val="22"/>
        </w:rPr>
        <w:t>t des communes.</w:t>
      </w:r>
    </w:p>
    <w:p w:rsidR="00A27296" w:rsidRDefault="00A27296" w:rsidP="00A27296">
      <w:pPr>
        <w:pStyle w:val="Paragraphedeliste"/>
        <w:ind w:left="1440"/>
        <w:jc w:val="both"/>
        <w:rPr>
          <w:rFonts w:asciiTheme="minorHAnsi" w:hAnsiTheme="minorHAnsi" w:cstheme="minorHAnsi"/>
          <w:sz w:val="22"/>
          <w:szCs w:val="22"/>
        </w:rPr>
      </w:pPr>
    </w:p>
    <w:p w:rsidR="008B64B9" w:rsidRDefault="008B64B9" w:rsidP="00A27296">
      <w:pPr>
        <w:pStyle w:val="Paragraphedeliste"/>
        <w:ind w:left="1440"/>
        <w:jc w:val="both"/>
        <w:rPr>
          <w:rFonts w:asciiTheme="minorHAnsi" w:hAnsiTheme="minorHAnsi" w:cstheme="minorHAnsi"/>
          <w:sz w:val="22"/>
          <w:szCs w:val="22"/>
        </w:rPr>
      </w:pPr>
    </w:p>
    <w:p w:rsidR="008B64B9" w:rsidRDefault="008B64B9" w:rsidP="008B64B9">
      <w:pPr>
        <w:pStyle w:val="Paragraphedeliste"/>
        <w:ind w:left="2835" w:right="1535" w:hanging="1395"/>
        <w:jc w:val="center"/>
        <w:rPr>
          <w:rFonts w:asciiTheme="minorHAnsi" w:hAnsiTheme="minorHAnsi" w:cstheme="minorHAnsi"/>
          <w:sz w:val="22"/>
          <w:szCs w:val="22"/>
        </w:rPr>
      </w:pPr>
      <w:r>
        <w:rPr>
          <w:rFonts w:asciiTheme="minorHAnsi" w:hAnsiTheme="minorHAnsi" w:cstheme="minorHAnsi"/>
          <w:sz w:val="22"/>
          <w:szCs w:val="22"/>
        </w:rPr>
        <w:t>¤¤¤¤¤¤¤¤¤¤¤¤¤¤¤¤¤¤¤¤¤¤¤</w:t>
      </w:r>
    </w:p>
    <w:p w:rsidR="008B64B9" w:rsidRDefault="008B64B9" w:rsidP="00A27296">
      <w:pPr>
        <w:pStyle w:val="Paragraphedeliste"/>
        <w:ind w:left="1440"/>
        <w:jc w:val="both"/>
        <w:rPr>
          <w:rFonts w:asciiTheme="minorHAnsi" w:hAnsiTheme="minorHAnsi" w:cstheme="minorHAnsi"/>
          <w:sz w:val="22"/>
          <w:szCs w:val="22"/>
        </w:rPr>
      </w:pPr>
    </w:p>
    <w:p w:rsidR="008B64B9" w:rsidRDefault="008B64B9" w:rsidP="00A27296">
      <w:pPr>
        <w:pStyle w:val="Paragraphedeliste"/>
        <w:ind w:left="1440"/>
        <w:jc w:val="both"/>
        <w:rPr>
          <w:rFonts w:asciiTheme="minorHAnsi" w:hAnsiTheme="minorHAnsi" w:cstheme="minorHAnsi"/>
          <w:sz w:val="22"/>
          <w:szCs w:val="22"/>
        </w:rPr>
      </w:pPr>
    </w:p>
    <w:p w:rsidR="008B64B9" w:rsidRPr="00CA042A" w:rsidRDefault="008B64B9" w:rsidP="00A27296">
      <w:pPr>
        <w:pStyle w:val="Paragraphedeliste"/>
        <w:ind w:left="1440"/>
        <w:jc w:val="both"/>
        <w:rPr>
          <w:rFonts w:asciiTheme="minorHAnsi" w:hAnsiTheme="minorHAnsi" w:cstheme="minorHAnsi"/>
          <w:sz w:val="22"/>
          <w:szCs w:val="22"/>
        </w:rPr>
      </w:pPr>
    </w:p>
    <w:p w:rsidR="00C77520" w:rsidRDefault="008B64B9" w:rsidP="008B64B9">
      <w:pPr>
        <w:jc w:val="both"/>
        <w:rPr>
          <w:rFonts w:asciiTheme="minorHAnsi" w:hAnsiTheme="minorHAnsi" w:cstheme="minorHAnsi"/>
          <w:sz w:val="22"/>
          <w:szCs w:val="22"/>
        </w:rPr>
      </w:pPr>
      <w:r>
        <w:rPr>
          <w:rFonts w:asciiTheme="minorHAnsi" w:hAnsiTheme="minorHAnsi" w:cstheme="minorHAnsi"/>
          <w:sz w:val="22"/>
          <w:szCs w:val="22"/>
        </w:rPr>
        <w:t xml:space="preserve">Au-delà des données factuelles et objectives recueillies dans le cadre de ce rapport annuel, notre réflexion s’est particulièrement focalisée cette année </w:t>
      </w:r>
      <w:r w:rsidR="0088457A">
        <w:rPr>
          <w:rFonts w:asciiTheme="minorHAnsi" w:hAnsiTheme="minorHAnsi" w:cstheme="minorHAnsi"/>
          <w:sz w:val="22"/>
          <w:szCs w:val="22"/>
        </w:rPr>
        <w:t xml:space="preserve">à la fois </w:t>
      </w:r>
      <w:r>
        <w:rPr>
          <w:rFonts w:asciiTheme="minorHAnsi" w:hAnsiTheme="minorHAnsi" w:cstheme="minorHAnsi"/>
          <w:sz w:val="22"/>
          <w:szCs w:val="22"/>
        </w:rPr>
        <w:t>sur</w:t>
      </w:r>
      <w:r w:rsidR="00C77520">
        <w:rPr>
          <w:rFonts w:asciiTheme="minorHAnsi" w:hAnsiTheme="minorHAnsi" w:cstheme="minorHAnsi"/>
          <w:sz w:val="22"/>
          <w:szCs w:val="22"/>
        </w:rPr>
        <w:t> :</w:t>
      </w:r>
    </w:p>
    <w:p w:rsidR="00C77520" w:rsidRPr="00C77520" w:rsidRDefault="00C77520" w:rsidP="00C77520">
      <w:pPr>
        <w:jc w:val="both"/>
        <w:rPr>
          <w:rFonts w:asciiTheme="minorHAnsi" w:hAnsiTheme="minorHAnsi" w:cstheme="minorHAnsi"/>
          <w:sz w:val="4"/>
          <w:szCs w:val="4"/>
        </w:rPr>
      </w:pPr>
    </w:p>
    <w:p w:rsidR="00C77520" w:rsidRDefault="008B64B9" w:rsidP="00C77520">
      <w:pPr>
        <w:pStyle w:val="Paragraphedeliste"/>
        <w:numPr>
          <w:ilvl w:val="0"/>
          <w:numId w:val="11"/>
        </w:numPr>
        <w:jc w:val="both"/>
        <w:rPr>
          <w:rFonts w:asciiTheme="minorHAnsi" w:hAnsiTheme="minorHAnsi" w:cstheme="minorHAnsi"/>
          <w:sz w:val="22"/>
          <w:szCs w:val="22"/>
        </w:rPr>
      </w:pPr>
      <w:r w:rsidRPr="00C77520">
        <w:rPr>
          <w:rFonts w:asciiTheme="minorHAnsi" w:hAnsiTheme="minorHAnsi" w:cstheme="minorHAnsi"/>
          <w:sz w:val="22"/>
          <w:szCs w:val="22"/>
        </w:rPr>
        <w:t xml:space="preserve">les instruments de mesure et d’évaluation </w:t>
      </w:r>
      <w:r w:rsidR="0088457A" w:rsidRPr="00C77520">
        <w:rPr>
          <w:rFonts w:asciiTheme="minorHAnsi" w:hAnsiTheme="minorHAnsi" w:cstheme="minorHAnsi"/>
          <w:sz w:val="22"/>
          <w:szCs w:val="22"/>
        </w:rPr>
        <w:t xml:space="preserve">développés pour </w:t>
      </w:r>
      <w:r w:rsidRPr="00C77520">
        <w:rPr>
          <w:rFonts w:asciiTheme="minorHAnsi" w:hAnsiTheme="minorHAnsi" w:cstheme="minorHAnsi"/>
          <w:sz w:val="22"/>
          <w:szCs w:val="22"/>
        </w:rPr>
        <w:t xml:space="preserve">appréhender de manière pertinente l’utilisation faite des crédits du Fonds </w:t>
      </w:r>
      <w:r w:rsidR="00C77520">
        <w:rPr>
          <w:rFonts w:asciiTheme="minorHAnsi" w:hAnsiTheme="minorHAnsi" w:cstheme="minorHAnsi"/>
          <w:sz w:val="22"/>
          <w:szCs w:val="22"/>
        </w:rPr>
        <w:t xml:space="preserve">Régional de Développement </w:t>
      </w:r>
    </w:p>
    <w:p w:rsidR="00C77520" w:rsidRDefault="00C77520" w:rsidP="00C77520">
      <w:pPr>
        <w:pStyle w:val="Paragraphedeliste"/>
        <w:jc w:val="both"/>
        <w:rPr>
          <w:rFonts w:asciiTheme="minorHAnsi" w:hAnsiTheme="minorHAnsi" w:cstheme="minorHAnsi"/>
          <w:sz w:val="22"/>
          <w:szCs w:val="22"/>
        </w:rPr>
      </w:pPr>
      <w:proofErr w:type="gramStart"/>
      <w:r>
        <w:rPr>
          <w:rFonts w:asciiTheme="minorHAnsi" w:hAnsiTheme="minorHAnsi" w:cstheme="minorHAnsi"/>
          <w:sz w:val="22"/>
          <w:szCs w:val="22"/>
        </w:rPr>
        <w:t>et</w:t>
      </w:r>
      <w:proofErr w:type="gramEnd"/>
    </w:p>
    <w:p w:rsidR="008B64B9" w:rsidRPr="00C77520" w:rsidRDefault="0088457A" w:rsidP="00C77520">
      <w:pPr>
        <w:pStyle w:val="Paragraphedeliste"/>
        <w:numPr>
          <w:ilvl w:val="0"/>
          <w:numId w:val="11"/>
        </w:numPr>
        <w:jc w:val="both"/>
        <w:rPr>
          <w:rFonts w:asciiTheme="minorHAnsi" w:hAnsiTheme="minorHAnsi" w:cstheme="minorHAnsi"/>
          <w:sz w:val="22"/>
          <w:szCs w:val="22"/>
        </w:rPr>
      </w:pPr>
      <w:r w:rsidRPr="00C77520">
        <w:rPr>
          <w:rFonts w:asciiTheme="minorHAnsi" w:hAnsiTheme="minorHAnsi" w:cstheme="minorHAnsi"/>
          <w:sz w:val="22"/>
          <w:szCs w:val="22"/>
        </w:rPr>
        <w:t>sur une amorce de recentrage des problématiques sur la Commune, en tant qu’unique collectivité territoriale bénéficiaire du Fonds.</w:t>
      </w:r>
    </w:p>
    <w:p w:rsidR="00C77520" w:rsidRPr="00C77520" w:rsidRDefault="00C77520" w:rsidP="00FF0221">
      <w:pPr>
        <w:jc w:val="both"/>
        <w:rPr>
          <w:rFonts w:asciiTheme="minorHAnsi" w:hAnsiTheme="minorHAnsi" w:cstheme="minorHAnsi"/>
          <w:sz w:val="8"/>
          <w:szCs w:val="8"/>
        </w:rPr>
      </w:pPr>
    </w:p>
    <w:p w:rsidR="00B9074D" w:rsidRPr="008B64B9" w:rsidRDefault="008B64B9" w:rsidP="00FF0221">
      <w:pPr>
        <w:jc w:val="both"/>
        <w:rPr>
          <w:rFonts w:asciiTheme="minorHAnsi" w:hAnsiTheme="minorHAnsi" w:cstheme="minorHAnsi"/>
          <w:sz w:val="22"/>
          <w:szCs w:val="22"/>
        </w:rPr>
      </w:pPr>
      <w:r>
        <w:rPr>
          <w:rFonts w:asciiTheme="minorHAnsi" w:hAnsiTheme="minorHAnsi" w:cstheme="minorHAnsi"/>
          <w:sz w:val="22"/>
          <w:szCs w:val="22"/>
        </w:rPr>
        <w:t>Tout est dit ou presque lorsqu’on considère</w:t>
      </w:r>
      <w:r w:rsidR="0088457A">
        <w:rPr>
          <w:rFonts w:asciiTheme="minorHAnsi" w:hAnsiTheme="minorHAnsi" w:cstheme="minorHAnsi"/>
          <w:sz w:val="22"/>
          <w:szCs w:val="22"/>
        </w:rPr>
        <w:t xml:space="preserve"> l’appellation actuelle du FRD</w:t>
      </w:r>
      <w:r>
        <w:rPr>
          <w:rFonts w:asciiTheme="minorHAnsi" w:hAnsiTheme="minorHAnsi" w:cstheme="minorHAnsi"/>
          <w:sz w:val="22"/>
          <w:szCs w:val="22"/>
        </w:rPr>
        <w:t> : s’agit-il d’un fonds véritablement régional ou serait-il plus juste de le rebaptiser « Fonds Communal de Développement » ?</w:t>
      </w:r>
    </w:p>
    <w:sectPr w:rsidR="00B9074D" w:rsidRPr="008B64B9" w:rsidSect="00A77799">
      <w:footerReference w:type="default" r:id="rId308"/>
      <w:pgSz w:w="11906" w:h="16838"/>
      <w:pgMar w:top="720" w:right="720" w:bottom="720" w:left="72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E7A9C" w:rsidRDefault="005E7A9C" w:rsidP="00A31B45">
      <w:r>
        <w:separator/>
      </w:r>
    </w:p>
  </w:endnote>
  <w:endnote w:type="continuationSeparator" w:id="1">
    <w:p w:rsidR="005E7A9C" w:rsidRDefault="005E7A9C" w:rsidP="00A31B4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351518"/>
      <w:docPartObj>
        <w:docPartGallery w:val="Page Numbers (Bottom of Page)"/>
        <w:docPartUnique/>
      </w:docPartObj>
    </w:sdtPr>
    <w:sdtContent>
      <w:p w:rsidR="00B74940" w:rsidRDefault="00F9433D">
        <w:pPr>
          <w:pStyle w:val="Pieddepage"/>
          <w:ind w:right="-864"/>
          <w:jc w:val="right"/>
        </w:pPr>
        <w:r>
          <w:pict>
            <v:group id="_x0000_s2049" style="width:43.2pt;height:18.7pt;mso-position-horizontal-relative:char;mso-position-vertical-relative:line" coordorigin="614,660" coordsize="864,374">
              <v:roundrect id="_x0000_s2050" style="position:absolute;left:859;top:415;width:374;height:864;rotation:-90" arcsize="10923f" strokecolor="#c4bc96 [2414]"/>
              <v:roundrect id="_x0000_s2051" style="position:absolute;left:898;top:451;width:296;height:792;rotation:-90" arcsize="10923f" fillcolor="#c4bc96 [2414]" strokecolor="#c4bc96 [2414]"/>
              <v:shapetype id="_x0000_t202" coordsize="21600,21600" o:spt="202" path="m,l,21600r21600,l21600,xe">
                <v:stroke joinstyle="miter"/>
                <v:path gradientshapeok="t" o:connecttype="rect"/>
              </v:shapetype>
              <v:shape id="_x0000_s2052" type="#_x0000_t202" style="position:absolute;left:732;top:716;width:659;height:288" filled="f" stroked="f">
                <v:textbox style="mso-next-textbox:#_x0000_s2052" inset="0,0,0,0">
                  <w:txbxContent>
                    <w:p w:rsidR="00B74940" w:rsidRPr="00835CAC" w:rsidRDefault="00F9433D">
                      <w:pPr>
                        <w:rPr>
                          <w:color w:val="76923C" w:themeColor="accent3" w:themeShade="BF"/>
                        </w:rPr>
                      </w:pPr>
                      <w:fldSimple w:instr=" PAGE    \* MERGEFORMAT ">
                        <w:r w:rsidR="007D352E" w:rsidRPr="007D352E">
                          <w:rPr>
                            <w:b/>
                            <w:noProof/>
                            <w:color w:val="FFFFFF" w:themeColor="background1"/>
                          </w:rPr>
                          <w:t>12</w:t>
                        </w:r>
                      </w:fldSimple>
                    </w:p>
                  </w:txbxContent>
                </v:textbox>
              </v:shape>
              <w10:wrap type="none" anchorx="page" anchory="page"/>
              <w10:anchorlock/>
            </v:group>
          </w:pict>
        </w:r>
      </w:p>
    </w:sdtContent>
  </w:sdt>
  <w:p w:rsidR="00B74940" w:rsidRDefault="00B74940">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E7A9C" w:rsidRDefault="005E7A9C" w:rsidP="00A31B45">
      <w:r>
        <w:separator/>
      </w:r>
    </w:p>
  </w:footnote>
  <w:footnote w:type="continuationSeparator" w:id="1">
    <w:p w:rsidR="005E7A9C" w:rsidRDefault="005E7A9C" w:rsidP="00A31B4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1A4835"/>
    <w:multiLevelType w:val="hybridMultilevel"/>
    <w:tmpl w:val="5014828C"/>
    <w:lvl w:ilvl="0" w:tplc="66FAEE94">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25228E8"/>
    <w:multiLevelType w:val="hybridMultilevel"/>
    <w:tmpl w:val="E348EE90"/>
    <w:lvl w:ilvl="0" w:tplc="08D40724">
      <w:start w:val="1"/>
      <w:numFmt w:val="decimal"/>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
    <w:nsid w:val="12394989"/>
    <w:multiLevelType w:val="hybridMultilevel"/>
    <w:tmpl w:val="81F64048"/>
    <w:lvl w:ilvl="0" w:tplc="276CAD30">
      <w:start w:val="1"/>
      <w:numFmt w:val="upperRoman"/>
      <w:lvlText w:val="%1."/>
      <w:lvlJc w:val="left"/>
      <w:pPr>
        <w:ind w:left="936" w:hanging="720"/>
      </w:pPr>
      <w:rPr>
        <w:rFonts w:hint="default"/>
      </w:rPr>
    </w:lvl>
    <w:lvl w:ilvl="1" w:tplc="040C0019" w:tentative="1">
      <w:start w:val="1"/>
      <w:numFmt w:val="lowerLetter"/>
      <w:lvlText w:val="%2."/>
      <w:lvlJc w:val="left"/>
      <w:pPr>
        <w:ind w:left="1296" w:hanging="360"/>
      </w:pPr>
    </w:lvl>
    <w:lvl w:ilvl="2" w:tplc="040C001B" w:tentative="1">
      <w:start w:val="1"/>
      <w:numFmt w:val="lowerRoman"/>
      <w:lvlText w:val="%3."/>
      <w:lvlJc w:val="right"/>
      <w:pPr>
        <w:ind w:left="2016" w:hanging="180"/>
      </w:pPr>
    </w:lvl>
    <w:lvl w:ilvl="3" w:tplc="040C000F" w:tentative="1">
      <w:start w:val="1"/>
      <w:numFmt w:val="decimal"/>
      <w:lvlText w:val="%4."/>
      <w:lvlJc w:val="left"/>
      <w:pPr>
        <w:ind w:left="2736" w:hanging="360"/>
      </w:pPr>
    </w:lvl>
    <w:lvl w:ilvl="4" w:tplc="040C0019" w:tentative="1">
      <w:start w:val="1"/>
      <w:numFmt w:val="lowerLetter"/>
      <w:lvlText w:val="%5."/>
      <w:lvlJc w:val="left"/>
      <w:pPr>
        <w:ind w:left="3456" w:hanging="360"/>
      </w:pPr>
    </w:lvl>
    <w:lvl w:ilvl="5" w:tplc="040C001B" w:tentative="1">
      <w:start w:val="1"/>
      <w:numFmt w:val="lowerRoman"/>
      <w:lvlText w:val="%6."/>
      <w:lvlJc w:val="right"/>
      <w:pPr>
        <w:ind w:left="4176" w:hanging="180"/>
      </w:pPr>
    </w:lvl>
    <w:lvl w:ilvl="6" w:tplc="040C000F" w:tentative="1">
      <w:start w:val="1"/>
      <w:numFmt w:val="decimal"/>
      <w:lvlText w:val="%7."/>
      <w:lvlJc w:val="left"/>
      <w:pPr>
        <w:ind w:left="4896" w:hanging="360"/>
      </w:pPr>
    </w:lvl>
    <w:lvl w:ilvl="7" w:tplc="040C0019" w:tentative="1">
      <w:start w:val="1"/>
      <w:numFmt w:val="lowerLetter"/>
      <w:lvlText w:val="%8."/>
      <w:lvlJc w:val="left"/>
      <w:pPr>
        <w:ind w:left="5616" w:hanging="360"/>
      </w:pPr>
    </w:lvl>
    <w:lvl w:ilvl="8" w:tplc="040C001B" w:tentative="1">
      <w:start w:val="1"/>
      <w:numFmt w:val="lowerRoman"/>
      <w:lvlText w:val="%9."/>
      <w:lvlJc w:val="right"/>
      <w:pPr>
        <w:ind w:left="6336" w:hanging="180"/>
      </w:pPr>
    </w:lvl>
  </w:abstractNum>
  <w:abstractNum w:abstractNumId="3">
    <w:nsid w:val="133179EF"/>
    <w:multiLevelType w:val="hybridMultilevel"/>
    <w:tmpl w:val="5DDE8E38"/>
    <w:lvl w:ilvl="0" w:tplc="040C000F">
      <w:start w:val="1"/>
      <w:numFmt w:val="decimal"/>
      <w:lvlText w:val="%1."/>
      <w:lvlJc w:val="left"/>
      <w:pPr>
        <w:ind w:left="1068" w:hanging="360"/>
      </w:pPr>
      <w:rPr>
        <w:rFonts w:hint="default"/>
      </w:rPr>
    </w:lvl>
    <w:lvl w:ilvl="1" w:tplc="040C0019">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4">
    <w:nsid w:val="1CCF5B78"/>
    <w:multiLevelType w:val="hybridMultilevel"/>
    <w:tmpl w:val="0B8C3482"/>
    <w:lvl w:ilvl="0" w:tplc="78223412">
      <w:start w:val="1"/>
      <w:numFmt w:val="decimal"/>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5">
    <w:nsid w:val="20DF3C42"/>
    <w:multiLevelType w:val="hybridMultilevel"/>
    <w:tmpl w:val="A04CFA7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242B322C"/>
    <w:multiLevelType w:val="hybridMultilevel"/>
    <w:tmpl w:val="76C6F01A"/>
    <w:lvl w:ilvl="0" w:tplc="0840E226">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32245ABF"/>
    <w:multiLevelType w:val="hybridMultilevel"/>
    <w:tmpl w:val="2CA65E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42C71D2B"/>
    <w:multiLevelType w:val="hybridMultilevel"/>
    <w:tmpl w:val="65609B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440706B0"/>
    <w:multiLevelType w:val="hybridMultilevel"/>
    <w:tmpl w:val="BF6E9710"/>
    <w:lvl w:ilvl="0" w:tplc="47CAA7AA">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44DC6B1B"/>
    <w:multiLevelType w:val="hybridMultilevel"/>
    <w:tmpl w:val="B5B6866C"/>
    <w:lvl w:ilvl="0" w:tplc="447CAD24">
      <w:start w:val="1"/>
      <w:numFmt w:val="upperRoman"/>
      <w:lvlText w:val="%1."/>
      <w:lvlJc w:val="left"/>
      <w:pPr>
        <w:ind w:left="936" w:hanging="720"/>
      </w:pPr>
      <w:rPr>
        <w:rFonts w:hint="default"/>
      </w:rPr>
    </w:lvl>
    <w:lvl w:ilvl="1" w:tplc="040C0019" w:tentative="1">
      <w:start w:val="1"/>
      <w:numFmt w:val="lowerLetter"/>
      <w:lvlText w:val="%2."/>
      <w:lvlJc w:val="left"/>
      <w:pPr>
        <w:ind w:left="1296" w:hanging="360"/>
      </w:pPr>
    </w:lvl>
    <w:lvl w:ilvl="2" w:tplc="040C001B" w:tentative="1">
      <w:start w:val="1"/>
      <w:numFmt w:val="lowerRoman"/>
      <w:lvlText w:val="%3."/>
      <w:lvlJc w:val="right"/>
      <w:pPr>
        <w:ind w:left="2016" w:hanging="180"/>
      </w:pPr>
    </w:lvl>
    <w:lvl w:ilvl="3" w:tplc="040C000F" w:tentative="1">
      <w:start w:val="1"/>
      <w:numFmt w:val="decimal"/>
      <w:lvlText w:val="%4."/>
      <w:lvlJc w:val="left"/>
      <w:pPr>
        <w:ind w:left="2736" w:hanging="360"/>
      </w:pPr>
    </w:lvl>
    <w:lvl w:ilvl="4" w:tplc="040C0019" w:tentative="1">
      <w:start w:val="1"/>
      <w:numFmt w:val="lowerLetter"/>
      <w:lvlText w:val="%5."/>
      <w:lvlJc w:val="left"/>
      <w:pPr>
        <w:ind w:left="3456" w:hanging="360"/>
      </w:pPr>
    </w:lvl>
    <w:lvl w:ilvl="5" w:tplc="040C001B" w:tentative="1">
      <w:start w:val="1"/>
      <w:numFmt w:val="lowerRoman"/>
      <w:lvlText w:val="%6."/>
      <w:lvlJc w:val="right"/>
      <w:pPr>
        <w:ind w:left="4176" w:hanging="180"/>
      </w:pPr>
    </w:lvl>
    <w:lvl w:ilvl="6" w:tplc="040C000F" w:tentative="1">
      <w:start w:val="1"/>
      <w:numFmt w:val="decimal"/>
      <w:lvlText w:val="%7."/>
      <w:lvlJc w:val="left"/>
      <w:pPr>
        <w:ind w:left="4896" w:hanging="360"/>
      </w:pPr>
    </w:lvl>
    <w:lvl w:ilvl="7" w:tplc="040C0019" w:tentative="1">
      <w:start w:val="1"/>
      <w:numFmt w:val="lowerLetter"/>
      <w:lvlText w:val="%8."/>
      <w:lvlJc w:val="left"/>
      <w:pPr>
        <w:ind w:left="5616" w:hanging="360"/>
      </w:pPr>
    </w:lvl>
    <w:lvl w:ilvl="8" w:tplc="040C001B" w:tentative="1">
      <w:start w:val="1"/>
      <w:numFmt w:val="lowerRoman"/>
      <w:lvlText w:val="%9."/>
      <w:lvlJc w:val="right"/>
      <w:pPr>
        <w:ind w:left="6336" w:hanging="180"/>
      </w:pPr>
    </w:lvl>
  </w:abstractNum>
  <w:abstractNum w:abstractNumId="11">
    <w:nsid w:val="5B046B1C"/>
    <w:multiLevelType w:val="hybridMultilevel"/>
    <w:tmpl w:val="81F64048"/>
    <w:lvl w:ilvl="0" w:tplc="276CAD30">
      <w:start w:val="1"/>
      <w:numFmt w:val="upperRoman"/>
      <w:lvlText w:val="%1."/>
      <w:lvlJc w:val="left"/>
      <w:pPr>
        <w:ind w:left="936" w:hanging="720"/>
      </w:pPr>
      <w:rPr>
        <w:rFonts w:hint="default"/>
      </w:rPr>
    </w:lvl>
    <w:lvl w:ilvl="1" w:tplc="040C0019" w:tentative="1">
      <w:start w:val="1"/>
      <w:numFmt w:val="lowerLetter"/>
      <w:lvlText w:val="%2."/>
      <w:lvlJc w:val="left"/>
      <w:pPr>
        <w:ind w:left="1296" w:hanging="360"/>
      </w:pPr>
    </w:lvl>
    <w:lvl w:ilvl="2" w:tplc="040C001B" w:tentative="1">
      <w:start w:val="1"/>
      <w:numFmt w:val="lowerRoman"/>
      <w:lvlText w:val="%3."/>
      <w:lvlJc w:val="right"/>
      <w:pPr>
        <w:ind w:left="2016" w:hanging="180"/>
      </w:pPr>
    </w:lvl>
    <w:lvl w:ilvl="3" w:tplc="040C000F" w:tentative="1">
      <w:start w:val="1"/>
      <w:numFmt w:val="decimal"/>
      <w:lvlText w:val="%4."/>
      <w:lvlJc w:val="left"/>
      <w:pPr>
        <w:ind w:left="2736" w:hanging="360"/>
      </w:pPr>
    </w:lvl>
    <w:lvl w:ilvl="4" w:tplc="040C0019" w:tentative="1">
      <w:start w:val="1"/>
      <w:numFmt w:val="lowerLetter"/>
      <w:lvlText w:val="%5."/>
      <w:lvlJc w:val="left"/>
      <w:pPr>
        <w:ind w:left="3456" w:hanging="360"/>
      </w:pPr>
    </w:lvl>
    <w:lvl w:ilvl="5" w:tplc="040C001B" w:tentative="1">
      <w:start w:val="1"/>
      <w:numFmt w:val="lowerRoman"/>
      <w:lvlText w:val="%6."/>
      <w:lvlJc w:val="right"/>
      <w:pPr>
        <w:ind w:left="4176" w:hanging="180"/>
      </w:pPr>
    </w:lvl>
    <w:lvl w:ilvl="6" w:tplc="040C000F" w:tentative="1">
      <w:start w:val="1"/>
      <w:numFmt w:val="decimal"/>
      <w:lvlText w:val="%7."/>
      <w:lvlJc w:val="left"/>
      <w:pPr>
        <w:ind w:left="4896" w:hanging="360"/>
      </w:pPr>
    </w:lvl>
    <w:lvl w:ilvl="7" w:tplc="040C0019" w:tentative="1">
      <w:start w:val="1"/>
      <w:numFmt w:val="lowerLetter"/>
      <w:lvlText w:val="%8."/>
      <w:lvlJc w:val="left"/>
      <w:pPr>
        <w:ind w:left="5616" w:hanging="360"/>
      </w:pPr>
    </w:lvl>
    <w:lvl w:ilvl="8" w:tplc="040C001B" w:tentative="1">
      <w:start w:val="1"/>
      <w:numFmt w:val="lowerRoman"/>
      <w:lvlText w:val="%9."/>
      <w:lvlJc w:val="right"/>
      <w:pPr>
        <w:ind w:left="6336" w:hanging="180"/>
      </w:pPr>
    </w:lvl>
  </w:abstractNum>
  <w:abstractNum w:abstractNumId="12">
    <w:nsid w:val="5D070D28"/>
    <w:multiLevelType w:val="hybridMultilevel"/>
    <w:tmpl w:val="744AADB0"/>
    <w:lvl w:ilvl="0" w:tplc="08D40724">
      <w:start w:val="1"/>
      <w:numFmt w:val="decimal"/>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3">
    <w:nsid w:val="71FD4FF4"/>
    <w:multiLevelType w:val="hybridMultilevel"/>
    <w:tmpl w:val="52CCB61E"/>
    <w:lvl w:ilvl="0" w:tplc="C2EA0580">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6"/>
  </w:num>
  <w:num w:numId="2">
    <w:abstractNumId w:val="12"/>
  </w:num>
  <w:num w:numId="3">
    <w:abstractNumId w:val="1"/>
  </w:num>
  <w:num w:numId="4">
    <w:abstractNumId w:val="3"/>
  </w:num>
  <w:num w:numId="5">
    <w:abstractNumId w:val="7"/>
  </w:num>
  <w:num w:numId="6">
    <w:abstractNumId w:val="0"/>
  </w:num>
  <w:num w:numId="7">
    <w:abstractNumId w:val="4"/>
  </w:num>
  <w:num w:numId="8">
    <w:abstractNumId w:val="2"/>
  </w:num>
  <w:num w:numId="9">
    <w:abstractNumId w:val="10"/>
  </w:num>
  <w:num w:numId="10">
    <w:abstractNumId w:val="11"/>
  </w:num>
  <w:num w:numId="11">
    <w:abstractNumId w:val="9"/>
  </w:num>
  <w:num w:numId="12">
    <w:abstractNumId w:val="13"/>
  </w:num>
  <w:num w:numId="13">
    <w:abstractNumId w:val="8"/>
  </w:num>
  <w:num w:numId="14">
    <w:abstractNumId w:val="5"/>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20"/>
  <w:displayHorizontalDrawingGridEvery w:val="2"/>
  <w:characterSpacingControl w:val="doNotCompress"/>
  <w:hdrShapeDefaults>
    <o:shapedefaults v:ext="edit" spidmax="2054">
      <o:colormenu v:ext="edit" fillcolor="none [1301]" strokecolor="none [1301]" shadowcolor="none"/>
    </o:shapedefaults>
    <o:shapelayout v:ext="edit">
      <o:idmap v:ext="edit" data="2"/>
    </o:shapelayout>
  </w:hdrShapeDefaults>
  <w:footnotePr>
    <w:footnote w:id="0"/>
    <w:footnote w:id="1"/>
  </w:footnotePr>
  <w:endnotePr>
    <w:endnote w:id="0"/>
    <w:endnote w:id="1"/>
  </w:endnotePr>
  <w:compat/>
  <w:rsids>
    <w:rsidRoot w:val="00AC6203"/>
    <w:rsid w:val="00000EFC"/>
    <w:rsid w:val="00001DBC"/>
    <w:rsid w:val="00001DD3"/>
    <w:rsid w:val="00002CCF"/>
    <w:rsid w:val="000030B6"/>
    <w:rsid w:val="00003400"/>
    <w:rsid w:val="00004188"/>
    <w:rsid w:val="000041D8"/>
    <w:rsid w:val="00005BF6"/>
    <w:rsid w:val="00007C14"/>
    <w:rsid w:val="000106B1"/>
    <w:rsid w:val="00010C38"/>
    <w:rsid w:val="0001202D"/>
    <w:rsid w:val="00013A6F"/>
    <w:rsid w:val="00017375"/>
    <w:rsid w:val="000173F1"/>
    <w:rsid w:val="000202D8"/>
    <w:rsid w:val="00020BAB"/>
    <w:rsid w:val="00022DA1"/>
    <w:rsid w:val="000251A0"/>
    <w:rsid w:val="000314D0"/>
    <w:rsid w:val="00031767"/>
    <w:rsid w:val="00031B94"/>
    <w:rsid w:val="0003419C"/>
    <w:rsid w:val="0003475D"/>
    <w:rsid w:val="000350A2"/>
    <w:rsid w:val="00036ABB"/>
    <w:rsid w:val="00040104"/>
    <w:rsid w:val="00042974"/>
    <w:rsid w:val="00043EA3"/>
    <w:rsid w:val="00044FED"/>
    <w:rsid w:val="00045BD1"/>
    <w:rsid w:val="00046F9E"/>
    <w:rsid w:val="00047F2C"/>
    <w:rsid w:val="00051911"/>
    <w:rsid w:val="00052BBD"/>
    <w:rsid w:val="00053549"/>
    <w:rsid w:val="000536D1"/>
    <w:rsid w:val="00054110"/>
    <w:rsid w:val="0005418C"/>
    <w:rsid w:val="00054750"/>
    <w:rsid w:val="00061B1C"/>
    <w:rsid w:val="00061EDA"/>
    <w:rsid w:val="00062AD6"/>
    <w:rsid w:val="00063F2D"/>
    <w:rsid w:val="000716A8"/>
    <w:rsid w:val="00071E17"/>
    <w:rsid w:val="00072B43"/>
    <w:rsid w:val="00074C50"/>
    <w:rsid w:val="00077EE9"/>
    <w:rsid w:val="000801D5"/>
    <w:rsid w:val="00080DD0"/>
    <w:rsid w:val="000827B9"/>
    <w:rsid w:val="00082B2F"/>
    <w:rsid w:val="00082F34"/>
    <w:rsid w:val="00083B00"/>
    <w:rsid w:val="000855FB"/>
    <w:rsid w:val="000878A0"/>
    <w:rsid w:val="00092455"/>
    <w:rsid w:val="0009391D"/>
    <w:rsid w:val="00093D47"/>
    <w:rsid w:val="00097CF1"/>
    <w:rsid w:val="000A239E"/>
    <w:rsid w:val="000A262F"/>
    <w:rsid w:val="000A2712"/>
    <w:rsid w:val="000A2958"/>
    <w:rsid w:val="000A2F19"/>
    <w:rsid w:val="000A43F7"/>
    <w:rsid w:val="000A458E"/>
    <w:rsid w:val="000A4B72"/>
    <w:rsid w:val="000A7850"/>
    <w:rsid w:val="000B0F8B"/>
    <w:rsid w:val="000B14AF"/>
    <w:rsid w:val="000B1976"/>
    <w:rsid w:val="000B28FA"/>
    <w:rsid w:val="000B40DC"/>
    <w:rsid w:val="000B411C"/>
    <w:rsid w:val="000B4CFF"/>
    <w:rsid w:val="000B507F"/>
    <w:rsid w:val="000B59CA"/>
    <w:rsid w:val="000B7FDE"/>
    <w:rsid w:val="000C2064"/>
    <w:rsid w:val="000C43A0"/>
    <w:rsid w:val="000C4EDE"/>
    <w:rsid w:val="000C4FFC"/>
    <w:rsid w:val="000C65D0"/>
    <w:rsid w:val="000D0F2C"/>
    <w:rsid w:val="000D328C"/>
    <w:rsid w:val="000D7AED"/>
    <w:rsid w:val="000E11A0"/>
    <w:rsid w:val="000E1C84"/>
    <w:rsid w:val="000E1E41"/>
    <w:rsid w:val="000E62A6"/>
    <w:rsid w:val="000E7745"/>
    <w:rsid w:val="000F039A"/>
    <w:rsid w:val="000F0BA8"/>
    <w:rsid w:val="000F0E31"/>
    <w:rsid w:val="000F304B"/>
    <w:rsid w:val="000F35EA"/>
    <w:rsid w:val="000F4E2C"/>
    <w:rsid w:val="000F69EC"/>
    <w:rsid w:val="0010043E"/>
    <w:rsid w:val="00102DD2"/>
    <w:rsid w:val="00103842"/>
    <w:rsid w:val="0010457B"/>
    <w:rsid w:val="001111D3"/>
    <w:rsid w:val="0011396F"/>
    <w:rsid w:val="001153B8"/>
    <w:rsid w:val="00115E8C"/>
    <w:rsid w:val="00122972"/>
    <w:rsid w:val="00122FCE"/>
    <w:rsid w:val="001246CD"/>
    <w:rsid w:val="00125A22"/>
    <w:rsid w:val="00127F9E"/>
    <w:rsid w:val="00127FD6"/>
    <w:rsid w:val="00131269"/>
    <w:rsid w:val="00131B0E"/>
    <w:rsid w:val="0013330A"/>
    <w:rsid w:val="001334F6"/>
    <w:rsid w:val="001338B4"/>
    <w:rsid w:val="00134678"/>
    <w:rsid w:val="00140663"/>
    <w:rsid w:val="00140D44"/>
    <w:rsid w:val="00140ECC"/>
    <w:rsid w:val="00141176"/>
    <w:rsid w:val="001432C4"/>
    <w:rsid w:val="0014493E"/>
    <w:rsid w:val="00147D50"/>
    <w:rsid w:val="00150058"/>
    <w:rsid w:val="00150A62"/>
    <w:rsid w:val="001574AA"/>
    <w:rsid w:val="00160713"/>
    <w:rsid w:val="00160B32"/>
    <w:rsid w:val="00162D68"/>
    <w:rsid w:val="001643D4"/>
    <w:rsid w:val="001647E4"/>
    <w:rsid w:val="0016644E"/>
    <w:rsid w:val="001706FF"/>
    <w:rsid w:val="00171F55"/>
    <w:rsid w:val="0017359F"/>
    <w:rsid w:val="001748FA"/>
    <w:rsid w:val="00174F58"/>
    <w:rsid w:val="0017665E"/>
    <w:rsid w:val="0017710C"/>
    <w:rsid w:val="001772FE"/>
    <w:rsid w:val="001804AE"/>
    <w:rsid w:val="0018330A"/>
    <w:rsid w:val="00183378"/>
    <w:rsid w:val="00183C3D"/>
    <w:rsid w:val="00184ABF"/>
    <w:rsid w:val="00187F22"/>
    <w:rsid w:val="0019066F"/>
    <w:rsid w:val="00191066"/>
    <w:rsid w:val="001921EB"/>
    <w:rsid w:val="00192E42"/>
    <w:rsid w:val="00193C52"/>
    <w:rsid w:val="001945C3"/>
    <w:rsid w:val="001A2B50"/>
    <w:rsid w:val="001A3E6D"/>
    <w:rsid w:val="001A5880"/>
    <w:rsid w:val="001A66E9"/>
    <w:rsid w:val="001A6CD2"/>
    <w:rsid w:val="001A74BF"/>
    <w:rsid w:val="001A780A"/>
    <w:rsid w:val="001A7D5A"/>
    <w:rsid w:val="001A7E08"/>
    <w:rsid w:val="001B17B1"/>
    <w:rsid w:val="001B1892"/>
    <w:rsid w:val="001B2D35"/>
    <w:rsid w:val="001B3267"/>
    <w:rsid w:val="001B41B3"/>
    <w:rsid w:val="001B50C1"/>
    <w:rsid w:val="001B5167"/>
    <w:rsid w:val="001B6C7E"/>
    <w:rsid w:val="001C0747"/>
    <w:rsid w:val="001C18F8"/>
    <w:rsid w:val="001C262A"/>
    <w:rsid w:val="001C2BB2"/>
    <w:rsid w:val="001C313A"/>
    <w:rsid w:val="001C536E"/>
    <w:rsid w:val="001C5CE1"/>
    <w:rsid w:val="001D0FB0"/>
    <w:rsid w:val="001D49F8"/>
    <w:rsid w:val="001D631D"/>
    <w:rsid w:val="001D7B47"/>
    <w:rsid w:val="001E0A2F"/>
    <w:rsid w:val="001E2B1E"/>
    <w:rsid w:val="001E47B1"/>
    <w:rsid w:val="001E4FD3"/>
    <w:rsid w:val="001E6231"/>
    <w:rsid w:val="001E66E7"/>
    <w:rsid w:val="001E6A5F"/>
    <w:rsid w:val="001F1D31"/>
    <w:rsid w:val="001F2406"/>
    <w:rsid w:val="001F2AD9"/>
    <w:rsid w:val="001F2D69"/>
    <w:rsid w:val="001F5879"/>
    <w:rsid w:val="001F5C2F"/>
    <w:rsid w:val="001F63E8"/>
    <w:rsid w:val="00200807"/>
    <w:rsid w:val="00202877"/>
    <w:rsid w:val="0020373B"/>
    <w:rsid w:val="00205D18"/>
    <w:rsid w:val="002065F9"/>
    <w:rsid w:val="00206982"/>
    <w:rsid w:val="00214794"/>
    <w:rsid w:val="00215AD8"/>
    <w:rsid w:val="002164E3"/>
    <w:rsid w:val="00217F67"/>
    <w:rsid w:val="00220EC6"/>
    <w:rsid w:val="0022153F"/>
    <w:rsid w:val="00221A42"/>
    <w:rsid w:val="00222208"/>
    <w:rsid w:val="00222B54"/>
    <w:rsid w:val="0023139A"/>
    <w:rsid w:val="0023164F"/>
    <w:rsid w:val="002316D8"/>
    <w:rsid w:val="00233774"/>
    <w:rsid w:val="00235628"/>
    <w:rsid w:val="0024145A"/>
    <w:rsid w:val="00242009"/>
    <w:rsid w:val="0024267B"/>
    <w:rsid w:val="00242D0D"/>
    <w:rsid w:val="002430CF"/>
    <w:rsid w:val="00245DFC"/>
    <w:rsid w:val="00246630"/>
    <w:rsid w:val="00247A9A"/>
    <w:rsid w:val="00251A00"/>
    <w:rsid w:val="002529BC"/>
    <w:rsid w:val="0025457B"/>
    <w:rsid w:val="0025644F"/>
    <w:rsid w:val="0025683F"/>
    <w:rsid w:val="00256D77"/>
    <w:rsid w:val="0025746B"/>
    <w:rsid w:val="00257638"/>
    <w:rsid w:val="00260725"/>
    <w:rsid w:val="0026380F"/>
    <w:rsid w:val="002644DD"/>
    <w:rsid w:val="00264789"/>
    <w:rsid w:val="002648DB"/>
    <w:rsid w:val="00266AB6"/>
    <w:rsid w:val="00267FEB"/>
    <w:rsid w:val="00272C9E"/>
    <w:rsid w:val="00272D5D"/>
    <w:rsid w:val="0027405D"/>
    <w:rsid w:val="002742CC"/>
    <w:rsid w:val="002744C1"/>
    <w:rsid w:val="002747BE"/>
    <w:rsid w:val="00274A04"/>
    <w:rsid w:val="00274C3C"/>
    <w:rsid w:val="00276ADF"/>
    <w:rsid w:val="0027745A"/>
    <w:rsid w:val="00281FE5"/>
    <w:rsid w:val="00283B26"/>
    <w:rsid w:val="0028408D"/>
    <w:rsid w:val="002849A5"/>
    <w:rsid w:val="0028681A"/>
    <w:rsid w:val="0028757B"/>
    <w:rsid w:val="0029259D"/>
    <w:rsid w:val="00293181"/>
    <w:rsid w:val="00293F87"/>
    <w:rsid w:val="00297C73"/>
    <w:rsid w:val="002A07EC"/>
    <w:rsid w:val="002A4F4C"/>
    <w:rsid w:val="002A6FEC"/>
    <w:rsid w:val="002B1928"/>
    <w:rsid w:val="002B31EC"/>
    <w:rsid w:val="002B3445"/>
    <w:rsid w:val="002B4048"/>
    <w:rsid w:val="002B63F6"/>
    <w:rsid w:val="002B7E88"/>
    <w:rsid w:val="002C22D4"/>
    <w:rsid w:val="002C35EF"/>
    <w:rsid w:val="002C5A0B"/>
    <w:rsid w:val="002C7C13"/>
    <w:rsid w:val="002D0CEA"/>
    <w:rsid w:val="002D4356"/>
    <w:rsid w:val="002D7782"/>
    <w:rsid w:val="002E183C"/>
    <w:rsid w:val="002E3469"/>
    <w:rsid w:val="002E3DE1"/>
    <w:rsid w:val="002E6017"/>
    <w:rsid w:val="002E6CD9"/>
    <w:rsid w:val="002E7079"/>
    <w:rsid w:val="002E70CB"/>
    <w:rsid w:val="002E748E"/>
    <w:rsid w:val="002E75CA"/>
    <w:rsid w:val="002F04D1"/>
    <w:rsid w:val="002F28AB"/>
    <w:rsid w:val="002F2D48"/>
    <w:rsid w:val="002F3663"/>
    <w:rsid w:val="002F4194"/>
    <w:rsid w:val="0030160A"/>
    <w:rsid w:val="00301848"/>
    <w:rsid w:val="003021EF"/>
    <w:rsid w:val="00303786"/>
    <w:rsid w:val="0030420E"/>
    <w:rsid w:val="0030552C"/>
    <w:rsid w:val="00306FEA"/>
    <w:rsid w:val="00307BAC"/>
    <w:rsid w:val="0031165C"/>
    <w:rsid w:val="003145F8"/>
    <w:rsid w:val="003167B0"/>
    <w:rsid w:val="00320321"/>
    <w:rsid w:val="00321A8C"/>
    <w:rsid w:val="003223DC"/>
    <w:rsid w:val="003224B0"/>
    <w:rsid w:val="00324204"/>
    <w:rsid w:val="00325251"/>
    <w:rsid w:val="003259B6"/>
    <w:rsid w:val="003260B0"/>
    <w:rsid w:val="003261C0"/>
    <w:rsid w:val="0032654E"/>
    <w:rsid w:val="00326786"/>
    <w:rsid w:val="0032697B"/>
    <w:rsid w:val="00330F46"/>
    <w:rsid w:val="003320D6"/>
    <w:rsid w:val="003345F8"/>
    <w:rsid w:val="0033613C"/>
    <w:rsid w:val="00340169"/>
    <w:rsid w:val="00340C90"/>
    <w:rsid w:val="003417C7"/>
    <w:rsid w:val="00343801"/>
    <w:rsid w:val="00352128"/>
    <w:rsid w:val="003530A1"/>
    <w:rsid w:val="00353B96"/>
    <w:rsid w:val="00355F31"/>
    <w:rsid w:val="003603CC"/>
    <w:rsid w:val="003614AB"/>
    <w:rsid w:val="00362287"/>
    <w:rsid w:val="003628B5"/>
    <w:rsid w:val="00364926"/>
    <w:rsid w:val="00366B06"/>
    <w:rsid w:val="00371ADB"/>
    <w:rsid w:val="00374F88"/>
    <w:rsid w:val="0037502A"/>
    <w:rsid w:val="00377E35"/>
    <w:rsid w:val="00381479"/>
    <w:rsid w:val="00384A73"/>
    <w:rsid w:val="003858EC"/>
    <w:rsid w:val="00386099"/>
    <w:rsid w:val="00387539"/>
    <w:rsid w:val="00387ECB"/>
    <w:rsid w:val="00394802"/>
    <w:rsid w:val="003966C5"/>
    <w:rsid w:val="00397051"/>
    <w:rsid w:val="003A0810"/>
    <w:rsid w:val="003A1139"/>
    <w:rsid w:val="003A2EA2"/>
    <w:rsid w:val="003A442D"/>
    <w:rsid w:val="003A4CAB"/>
    <w:rsid w:val="003A4CC3"/>
    <w:rsid w:val="003A4E73"/>
    <w:rsid w:val="003A60C0"/>
    <w:rsid w:val="003A61FE"/>
    <w:rsid w:val="003A68DA"/>
    <w:rsid w:val="003A7C31"/>
    <w:rsid w:val="003B0198"/>
    <w:rsid w:val="003B0B9E"/>
    <w:rsid w:val="003B1797"/>
    <w:rsid w:val="003B58BD"/>
    <w:rsid w:val="003B5BCD"/>
    <w:rsid w:val="003B5FCE"/>
    <w:rsid w:val="003B64B7"/>
    <w:rsid w:val="003B7110"/>
    <w:rsid w:val="003C056F"/>
    <w:rsid w:val="003C3A35"/>
    <w:rsid w:val="003C53D3"/>
    <w:rsid w:val="003C5522"/>
    <w:rsid w:val="003C728D"/>
    <w:rsid w:val="003C7C95"/>
    <w:rsid w:val="003D1114"/>
    <w:rsid w:val="003D3FA2"/>
    <w:rsid w:val="003D5741"/>
    <w:rsid w:val="003D57C7"/>
    <w:rsid w:val="003E00BB"/>
    <w:rsid w:val="003E081E"/>
    <w:rsid w:val="003E0F11"/>
    <w:rsid w:val="003E22AE"/>
    <w:rsid w:val="003E2E58"/>
    <w:rsid w:val="003E5EBC"/>
    <w:rsid w:val="003E6D18"/>
    <w:rsid w:val="003E6DE0"/>
    <w:rsid w:val="003F0158"/>
    <w:rsid w:val="003F05A5"/>
    <w:rsid w:val="003F0697"/>
    <w:rsid w:val="003F2C91"/>
    <w:rsid w:val="003F3789"/>
    <w:rsid w:val="003F4E0F"/>
    <w:rsid w:val="003F5FDA"/>
    <w:rsid w:val="003F6FC6"/>
    <w:rsid w:val="003F7B64"/>
    <w:rsid w:val="004029DC"/>
    <w:rsid w:val="00403427"/>
    <w:rsid w:val="00403C72"/>
    <w:rsid w:val="0040427A"/>
    <w:rsid w:val="00405748"/>
    <w:rsid w:val="00407E5E"/>
    <w:rsid w:val="004102A8"/>
    <w:rsid w:val="004137B1"/>
    <w:rsid w:val="00413BD9"/>
    <w:rsid w:val="00415CBC"/>
    <w:rsid w:val="00415D71"/>
    <w:rsid w:val="004162A4"/>
    <w:rsid w:val="004165EA"/>
    <w:rsid w:val="00417130"/>
    <w:rsid w:val="0041746A"/>
    <w:rsid w:val="0041758B"/>
    <w:rsid w:val="00421726"/>
    <w:rsid w:val="00422B0F"/>
    <w:rsid w:val="00425A18"/>
    <w:rsid w:val="004302DA"/>
    <w:rsid w:val="00432FD0"/>
    <w:rsid w:val="00434F7B"/>
    <w:rsid w:val="00435621"/>
    <w:rsid w:val="00437341"/>
    <w:rsid w:val="00441ED9"/>
    <w:rsid w:val="00442B3E"/>
    <w:rsid w:val="00443727"/>
    <w:rsid w:val="004439D3"/>
    <w:rsid w:val="004479E3"/>
    <w:rsid w:val="004514E3"/>
    <w:rsid w:val="00451F5E"/>
    <w:rsid w:val="0045224A"/>
    <w:rsid w:val="0045372C"/>
    <w:rsid w:val="0045398B"/>
    <w:rsid w:val="00454052"/>
    <w:rsid w:val="0045544C"/>
    <w:rsid w:val="00455D52"/>
    <w:rsid w:val="00456CD9"/>
    <w:rsid w:val="004577A8"/>
    <w:rsid w:val="004609EE"/>
    <w:rsid w:val="00463FF8"/>
    <w:rsid w:val="0046539B"/>
    <w:rsid w:val="00466C42"/>
    <w:rsid w:val="00470D1F"/>
    <w:rsid w:val="00471981"/>
    <w:rsid w:val="00472166"/>
    <w:rsid w:val="0047237E"/>
    <w:rsid w:val="00472507"/>
    <w:rsid w:val="00472FDC"/>
    <w:rsid w:val="00473AF2"/>
    <w:rsid w:val="0047642A"/>
    <w:rsid w:val="0047669E"/>
    <w:rsid w:val="004807F3"/>
    <w:rsid w:val="00480AA1"/>
    <w:rsid w:val="00480DA4"/>
    <w:rsid w:val="004814B5"/>
    <w:rsid w:val="004841F1"/>
    <w:rsid w:val="004846A4"/>
    <w:rsid w:val="004871EA"/>
    <w:rsid w:val="004876A5"/>
    <w:rsid w:val="00487BDF"/>
    <w:rsid w:val="00490317"/>
    <w:rsid w:val="004906CE"/>
    <w:rsid w:val="004949EE"/>
    <w:rsid w:val="0049553B"/>
    <w:rsid w:val="004A0EF5"/>
    <w:rsid w:val="004A1741"/>
    <w:rsid w:val="004A31AC"/>
    <w:rsid w:val="004B052F"/>
    <w:rsid w:val="004B07BE"/>
    <w:rsid w:val="004B0B5F"/>
    <w:rsid w:val="004B140B"/>
    <w:rsid w:val="004B142F"/>
    <w:rsid w:val="004B27BA"/>
    <w:rsid w:val="004B29BF"/>
    <w:rsid w:val="004B49D3"/>
    <w:rsid w:val="004B4F76"/>
    <w:rsid w:val="004B687E"/>
    <w:rsid w:val="004B744B"/>
    <w:rsid w:val="004C1BC3"/>
    <w:rsid w:val="004C36D1"/>
    <w:rsid w:val="004C610C"/>
    <w:rsid w:val="004C7D72"/>
    <w:rsid w:val="004D0387"/>
    <w:rsid w:val="004D060D"/>
    <w:rsid w:val="004D1E7A"/>
    <w:rsid w:val="004D2081"/>
    <w:rsid w:val="004D2BC3"/>
    <w:rsid w:val="004D3DF6"/>
    <w:rsid w:val="004D5442"/>
    <w:rsid w:val="004D63EC"/>
    <w:rsid w:val="004E1070"/>
    <w:rsid w:val="004E18B7"/>
    <w:rsid w:val="004E3281"/>
    <w:rsid w:val="004E45BC"/>
    <w:rsid w:val="004E5081"/>
    <w:rsid w:val="004E7DD0"/>
    <w:rsid w:val="004F0407"/>
    <w:rsid w:val="004F2C7A"/>
    <w:rsid w:val="004F5199"/>
    <w:rsid w:val="004F5430"/>
    <w:rsid w:val="004F58F3"/>
    <w:rsid w:val="004F7A36"/>
    <w:rsid w:val="00500E96"/>
    <w:rsid w:val="005038F5"/>
    <w:rsid w:val="005102C7"/>
    <w:rsid w:val="00514AFE"/>
    <w:rsid w:val="00514CEF"/>
    <w:rsid w:val="005206DE"/>
    <w:rsid w:val="00523F5A"/>
    <w:rsid w:val="00530DCD"/>
    <w:rsid w:val="005328B0"/>
    <w:rsid w:val="00542441"/>
    <w:rsid w:val="00544D5A"/>
    <w:rsid w:val="00545AFB"/>
    <w:rsid w:val="0054617B"/>
    <w:rsid w:val="005462D3"/>
    <w:rsid w:val="00546CBA"/>
    <w:rsid w:val="005512C5"/>
    <w:rsid w:val="005523C1"/>
    <w:rsid w:val="00555A90"/>
    <w:rsid w:val="00557394"/>
    <w:rsid w:val="00557DF3"/>
    <w:rsid w:val="00560EAC"/>
    <w:rsid w:val="00561E11"/>
    <w:rsid w:val="00566854"/>
    <w:rsid w:val="005677F2"/>
    <w:rsid w:val="005701DC"/>
    <w:rsid w:val="005730D0"/>
    <w:rsid w:val="005740AA"/>
    <w:rsid w:val="00574A5F"/>
    <w:rsid w:val="005809BC"/>
    <w:rsid w:val="00580B8C"/>
    <w:rsid w:val="005817A9"/>
    <w:rsid w:val="00583806"/>
    <w:rsid w:val="00583EE8"/>
    <w:rsid w:val="00584D9A"/>
    <w:rsid w:val="005857A0"/>
    <w:rsid w:val="0058589E"/>
    <w:rsid w:val="00586EFB"/>
    <w:rsid w:val="005930C8"/>
    <w:rsid w:val="005931E2"/>
    <w:rsid w:val="005932FB"/>
    <w:rsid w:val="005951CF"/>
    <w:rsid w:val="00595B3F"/>
    <w:rsid w:val="00597C28"/>
    <w:rsid w:val="005A1EAE"/>
    <w:rsid w:val="005A2C7B"/>
    <w:rsid w:val="005A4A2A"/>
    <w:rsid w:val="005A4DA5"/>
    <w:rsid w:val="005A4EDB"/>
    <w:rsid w:val="005B0084"/>
    <w:rsid w:val="005B1708"/>
    <w:rsid w:val="005B25CD"/>
    <w:rsid w:val="005B3BEA"/>
    <w:rsid w:val="005B3DD0"/>
    <w:rsid w:val="005B3F18"/>
    <w:rsid w:val="005B408C"/>
    <w:rsid w:val="005B41AB"/>
    <w:rsid w:val="005C1A09"/>
    <w:rsid w:val="005C3BD2"/>
    <w:rsid w:val="005C3C55"/>
    <w:rsid w:val="005C3F58"/>
    <w:rsid w:val="005C6B78"/>
    <w:rsid w:val="005D36A1"/>
    <w:rsid w:val="005D5E53"/>
    <w:rsid w:val="005E0089"/>
    <w:rsid w:val="005E4538"/>
    <w:rsid w:val="005E5E5F"/>
    <w:rsid w:val="005E7231"/>
    <w:rsid w:val="005E7A9C"/>
    <w:rsid w:val="005F11B9"/>
    <w:rsid w:val="005F5CED"/>
    <w:rsid w:val="00600FA4"/>
    <w:rsid w:val="00601E87"/>
    <w:rsid w:val="0060458B"/>
    <w:rsid w:val="0060539C"/>
    <w:rsid w:val="00605FD6"/>
    <w:rsid w:val="006076BF"/>
    <w:rsid w:val="00607C5E"/>
    <w:rsid w:val="00612683"/>
    <w:rsid w:val="00612888"/>
    <w:rsid w:val="00612A6D"/>
    <w:rsid w:val="00612D3A"/>
    <w:rsid w:val="00617B30"/>
    <w:rsid w:val="0062007A"/>
    <w:rsid w:val="0062489B"/>
    <w:rsid w:val="006271B0"/>
    <w:rsid w:val="00630279"/>
    <w:rsid w:val="006316D6"/>
    <w:rsid w:val="00632D62"/>
    <w:rsid w:val="00633006"/>
    <w:rsid w:val="006330E2"/>
    <w:rsid w:val="006339F9"/>
    <w:rsid w:val="00634387"/>
    <w:rsid w:val="00640962"/>
    <w:rsid w:val="006415D8"/>
    <w:rsid w:val="006445E2"/>
    <w:rsid w:val="006468A1"/>
    <w:rsid w:val="00651411"/>
    <w:rsid w:val="00653154"/>
    <w:rsid w:val="00653C9D"/>
    <w:rsid w:val="00654AA3"/>
    <w:rsid w:val="00654E5D"/>
    <w:rsid w:val="0066131A"/>
    <w:rsid w:val="00662FEC"/>
    <w:rsid w:val="00663345"/>
    <w:rsid w:val="0066355B"/>
    <w:rsid w:val="00663DEA"/>
    <w:rsid w:val="00665A4C"/>
    <w:rsid w:val="00665E11"/>
    <w:rsid w:val="006672AA"/>
    <w:rsid w:val="00667652"/>
    <w:rsid w:val="00674164"/>
    <w:rsid w:val="006742FC"/>
    <w:rsid w:val="006752F9"/>
    <w:rsid w:val="006774DF"/>
    <w:rsid w:val="006779EA"/>
    <w:rsid w:val="00680C13"/>
    <w:rsid w:val="00681BB5"/>
    <w:rsid w:val="00683006"/>
    <w:rsid w:val="00685610"/>
    <w:rsid w:val="006856FA"/>
    <w:rsid w:val="0068792F"/>
    <w:rsid w:val="00690066"/>
    <w:rsid w:val="0069171A"/>
    <w:rsid w:val="00692EAC"/>
    <w:rsid w:val="00695B03"/>
    <w:rsid w:val="00696A67"/>
    <w:rsid w:val="00696DE7"/>
    <w:rsid w:val="00697212"/>
    <w:rsid w:val="006A2E96"/>
    <w:rsid w:val="006A38F8"/>
    <w:rsid w:val="006A5AAC"/>
    <w:rsid w:val="006A7821"/>
    <w:rsid w:val="006B0C9A"/>
    <w:rsid w:val="006B22D4"/>
    <w:rsid w:val="006B2EF7"/>
    <w:rsid w:val="006B4231"/>
    <w:rsid w:val="006C0F45"/>
    <w:rsid w:val="006C2FF2"/>
    <w:rsid w:val="006C3232"/>
    <w:rsid w:val="006C3316"/>
    <w:rsid w:val="006C6E6D"/>
    <w:rsid w:val="006C722A"/>
    <w:rsid w:val="006C73BE"/>
    <w:rsid w:val="006D002E"/>
    <w:rsid w:val="006D05CE"/>
    <w:rsid w:val="006D17F3"/>
    <w:rsid w:val="006D40A3"/>
    <w:rsid w:val="006E0760"/>
    <w:rsid w:val="006E0915"/>
    <w:rsid w:val="006E154A"/>
    <w:rsid w:val="006E1E53"/>
    <w:rsid w:val="006E2F26"/>
    <w:rsid w:val="006E5B96"/>
    <w:rsid w:val="006E60ED"/>
    <w:rsid w:val="006F0A18"/>
    <w:rsid w:val="006F2992"/>
    <w:rsid w:val="006F387C"/>
    <w:rsid w:val="006F3C04"/>
    <w:rsid w:val="006F4530"/>
    <w:rsid w:val="006F59EC"/>
    <w:rsid w:val="006F5A5C"/>
    <w:rsid w:val="006F7FBE"/>
    <w:rsid w:val="0070020D"/>
    <w:rsid w:val="00705426"/>
    <w:rsid w:val="00705B63"/>
    <w:rsid w:val="00707060"/>
    <w:rsid w:val="0070750A"/>
    <w:rsid w:val="00707BF4"/>
    <w:rsid w:val="00710C36"/>
    <w:rsid w:val="00711614"/>
    <w:rsid w:val="00713FDE"/>
    <w:rsid w:val="007140B8"/>
    <w:rsid w:val="00714528"/>
    <w:rsid w:val="00715393"/>
    <w:rsid w:val="0072005A"/>
    <w:rsid w:val="0072006A"/>
    <w:rsid w:val="007201AA"/>
    <w:rsid w:val="007209B5"/>
    <w:rsid w:val="00720A94"/>
    <w:rsid w:val="007213B5"/>
    <w:rsid w:val="0072203B"/>
    <w:rsid w:val="00722230"/>
    <w:rsid w:val="007239BE"/>
    <w:rsid w:val="007254F4"/>
    <w:rsid w:val="00733A35"/>
    <w:rsid w:val="00737BF7"/>
    <w:rsid w:val="00740866"/>
    <w:rsid w:val="0074215F"/>
    <w:rsid w:val="007425E9"/>
    <w:rsid w:val="00742896"/>
    <w:rsid w:val="00742FCC"/>
    <w:rsid w:val="0074312D"/>
    <w:rsid w:val="0074484D"/>
    <w:rsid w:val="00745FDD"/>
    <w:rsid w:val="00746069"/>
    <w:rsid w:val="00746AC4"/>
    <w:rsid w:val="007508EC"/>
    <w:rsid w:val="007512A8"/>
    <w:rsid w:val="00751E8C"/>
    <w:rsid w:val="007524DC"/>
    <w:rsid w:val="0075280B"/>
    <w:rsid w:val="00752A3C"/>
    <w:rsid w:val="0075346A"/>
    <w:rsid w:val="00755067"/>
    <w:rsid w:val="0075789D"/>
    <w:rsid w:val="00757E75"/>
    <w:rsid w:val="00757FE1"/>
    <w:rsid w:val="007603BF"/>
    <w:rsid w:val="00760490"/>
    <w:rsid w:val="0076483A"/>
    <w:rsid w:val="007657B7"/>
    <w:rsid w:val="00765F78"/>
    <w:rsid w:val="00766ECD"/>
    <w:rsid w:val="00771E5F"/>
    <w:rsid w:val="00774D2E"/>
    <w:rsid w:val="007750E4"/>
    <w:rsid w:val="00775F7E"/>
    <w:rsid w:val="00777403"/>
    <w:rsid w:val="007775A6"/>
    <w:rsid w:val="00777FD7"/>
    <w:rsid w:val="00781461"/>
    <w:rsid w:val="007829F9"/>
    <w:rsid w:val="0078408C"/>
    <w:rsid w:val="00784EE8"/>
    <w:rsid w:val="0078560C"/>
    <w:rsid w:val="00785663"/>
    <w:rsid w:val="007908B9"/>
    <w:rsid w:val="00792095"/>
    <w:rsid w:val="00795AD2"/>
    <w:rsid w:val="007977EF"/>
    <w:rsid w:val="007A0547"/>
    <w:rsid w:val="007A15B9"/>
    <w:rsid w:val="007A3970"/>
    <w:rsid w:val="007A4B78"/>
    <w:rsid w:val="007A5D96"/>
    <w:rsid w:val="007B1121"/>
    <w:rsid w:val="007B7D54"/>
    <w:rsid w:val="007C019C"/>
    <w:rsid w:val="007C248F"/>
    <w:rsid w:val="007C2818"/>
    <w:rsid w:val="007C319A"/>
    <w:rsid w:val="007C3C0C"/>
    <w:rsid w:val="007C61AB"/>
    <w:rsid w:val="007C6F4D"/>
    <w:rsid w:val="007D2082"/>
    <w:rsid w:val="007D23FF"/>
    <w:rsid w:val="007D29E7"/>
    <w:rsid w:val="007D352E"/>
    <w:rsid w:val="007D4581"/>
    <w:rsid w:val="007D7D09"/>
    <w:rsid w:val="007E3D27"/>
    <w:rsid w:val="007E7B29"/>
    <w:rsid w:val="007F3911"/>
    <w:rsid w:val="00800D01"/>
    <w:rsid w:val="00801339"/>
    <w:rsid w:val="008034A1"/>
    <w:rsid w:val="008047FE"/>
    <w:rsid w:val="00804FCD"/>
    <w:rsid w:val="00805AF8"/>
    <w:rsid w:val="00805D38"/>
    <w:rsid w:val="00805FB5"/>
    <w:rsid w:val="00806F9A"/>
    <w:rsid w:val="00807CF7"/>
    <w:rsid w:val="008103B5"/>
    <w:rsid w:val="00810D8D"/>
    <w:rsid w:val="00812A94"/>
    <w:rsid w:val="008141AE"/>
    <w:rsid w:val="0081443E"/>
    <w:rsid w:val="008147FA"/>
    <w:rsid w:val="00814960"/>
    <w:rsid w:val="00815216"/>
    <w:rsid w:val="00815514"/>
    <w:rsid w:val="00816CAD"/>
    <w:rsid w:val="008235E5"/>
    <w:rsid w:val="00823D53"/>
    <w:rsid w:val="00830E8F"/>
    <w:rsid w:val="008312A2"/>
    <w:rsid w:val="00831B17"/>
    <w:rsid w:val="0083275F"/>
    <w:rsid w:val="00833434"/>
    <w:rsid w:val="008347F2"/>
    <w:rsid w:val="00834910"/>
    <w:rsid w:val="00835415"/>
    <w:rsid w:val="0083541B"/>
    <w:rsid w:val="00835C8A"/>
    <w:rsid w:val="00835CAC"/>
    <w:rsid w:val="00840525"/>
    <w:rsid w:val="00844650"/>
    <w:rsid w:val="008467A4"/>
    <w:rsid w:val="00847455"/>
    <w:rsid w:val="008477C7"/>
    <w:rsid w:val="008522A8"/>
    <w:rsid w:val="0085411C"/>
    <w:rsid w:val="00857CA2"/>
    <w:rsid w:val="00861189"/>
    <w:rsid w:val="00861BDF"/>
    <w:rsid w:val="00862283"/>
    <w:rsid w:val="00863695"/>
    <w:rsid w:val="00863F95"/>
    <w:rsid w:val="0087038A"/>
    <w:rsid w:val="00870E6B"/>
    <w:rsid w:val="008714DC"/>
    <w:rsid w:val="008747D8"/>
    <w:rsid w:val="0087566C"/>
    <w:rsid w:val="0087689B"/>
    <w:rsid w:val="00877111"/>
    <w:rsid w:val="008811AE"/>
    <w:rsid w:val="00881663"/>
    <w:rsid w:val="0088179C"/>
    <w:rsid w:val="00881AB5"/>
    <w:rsid w:val="00883EBB"/>
    <w:rsid w:val="0088457A"/>
    <w:rsid w:val="0088460B"/>
    <w:rsid w:val="00885123"/>
    <w:rsid w:val="00885933"/>
    <w:rsid w:val="00885B35"/>
    <w:rsid w:val="008868DB"/>
    <w:rsid w:val="00890AFD"/>
    <w:rsid w:val="00891279"/>
    <w:rsid w:val="00894126"/>
    <w:rsid w:val="008956B1"/>
    <w:rsid w:val="008962F7"/>
    <w:rsid w:val="008974F8"/>
    <w:rsid w:val="008A0267"/>
    <w:rsid w:val="008A1554"/>
    <w:rsid w:val="008A1CD0"/>
    <w:rsid w:val="008A2C81"/>
    <w:rsid w:val="008A5AFD"/>
    <w:rsid w:val="008A7BB1"/>
    <w:rsid w:val="008B0D34"/>
    <w:rsid w:val="008B1561"/>
    <w:rsid w:val="008B1B1B"/>
    <w:rsid w:val="008B4F05"/>
    <w:rsid w:val="008B5318"/>
    <w:rsid w:val="008B5FB0"/>
    <w:rsid w:val="008B64B9"/>
    <w:rsid w:val="008C0197"/>
    <w:rsid w:val="008C2E5F"/>
    <w:rsid w:val="008C391F"/>
    <w:rsid w:val="008C407F"/>
    <w:rsid w:val="008C5C5D"/>
    <w:rsid w:val="008C5F0D"/>
    <w:rsid w:val="008C7CA0"/>
    <w:rsid w:val="008D09F2"/>
    <w:rsid w:val="008D2ACB"/>
    <w:rsid w:val="008D45A3"/>
    <w:rsid w:val="008D497E"/>
    <w:rsid w:val="008D517E"/>
    <w:rsid w:val="008D53F1"/>
    <w:rsid w:val="008D5DF5"/>
    <w:rsid w:val="008E1360"/>
    <w:rsid w:val="008E1EF0"/>
    <w:rsid w:val="008E3B82"/>
    <w:rsid w:val="008E5F52"/>
    <w:rsid w:val="008E6090"/>
    <w:rsid w:val="008E6371"/>
    <w:rsid w:val="008E6B3E"/>
    <w:rsid w:val="008F017A"/>
    <w:rsid w:val="008F0EFB"/>
    <w:rsid w:val="008F1702"/>
    <w:rsid w:val="008F25FD"/>
    <w:rsid w:val="008F4CCB"/>
    <w:rsid w:val="008F53DB"/>
    <w:rsid w:val="008F701D"/>
    <w:rsid w:val="00901FBD"/>
    <w:rsid w:val="00902141"/>
    <w:rsid w:val="009027EE"/>
    <w:rsid w:val="009123BD"/>
    <w:rsid w:val="009123E8"/>
    <w:rsid w:val="00914321"/>
    <w:rsid w:val="00914A88"/>
    <w:rsid w:val="00917F56"/>
    <w:rsid w:val="00917F6E"/>
    <w:rsid w:val="009218D3"/>
    <w:rsid w:val="009235DF"/>
    <w:rsid w:val="00923AB4"/>
    <w:rsid w:val="00923C42"/>
    <w:rsid w:val="00924015"/>
    <w:rsid w:val="009263AB"/>
    <w:rsid w:val="00926744"/>
    <w:rsid w:val="00930024"/>
    <w:rsid w:val="0093300F"/>
    <w:rsid w:val="00933580"/>
    <w:rsid w:val="009360AD"/>
    <w:rsid w:val="00936A3E"/>
    <w:rsid w:val="00937D53"/>
    <w:rsid w:val="009442DC"/>
    <w:rsid w:val="00945A6F"/>
    <w:rsid w:val="00946F8A"/>
    <w:rsid w:val="00950A38"/>
    <w:rsid w:val="00954ADC"/>
    <w:rsid w:val="009561D7"/>
    <w:rsid w:val="0095680F"/>
    <w:rsid w:val="0095756D"/>
    <w:rsid w:val="00957611"/>
    <w:rsid w:val="009643CE"/>
    <w:rsid w:val="00964536"/>
    <w:rsid w:val="00964C6B"/>
    <w:rsid w:val="00966C1F"/>
    <w:rsid w:val="009715B8"/>
    <w:rsid w:val="009741C1"/>
    <w:rsid w:val="00976C26"/>
    <w:rsid w:val="0098006C"/>
    <w:rsid w:val="00980A6D"/>
    <w:rsid w:val="0098275C"/>
    <w:rsid w:val="009832D8"/>
    <w:rsid w:val="009837BE"/>
    <w:rsid w:val="00986DD5"/>
    <w:rsid w:val="009915A5"/>
    <w:rsid w:val="009948B1"/>
    <w:rsid w:val="00997606"/>
    <w:rsid w:val="009A0CA5"/>
    <w:rsid w:val="009A26F0"/>
    <w:rsid w:val="009A781C"/>
    <w:rsid w:val="009B11EC"/>
    <w:rsid w:val="009B1470"/>
    <w:rsid w:val="009B17BB"/>
    <w:rsid w:val="009B3D3C"/>
    <w:rsid w:val="009B4F2D"/>
    <w:rsid w:val="009B5B92"/>
    <w:rsid w:val="009B5FC4"/>
    <w:rsid w:val="009B63C8"/>
    <w:rsid w:val="009B6EC8"/>
    <w:rsid w:val="009C1346"/>
    <w:rsid w:val="009C142C"/>
    <w:rsid w:val="009C15A5"/>
    <w:rsid w:val="009C166D"/>
    <w:rsid w:val="009C3C25"/>
    <w:rsid w:val="009C4451"/>
    <w:rsid w:val="009C50E1"/>
    <w:rsid w:val="009C69F9"/>
    <w:rsid w:val="009C6C37"/>
    <w:rsid w:val="009D1D56"/>
    <w:rsid w:val="009D28C7"/>
    <w:rsid w:val="009D6EEC"/>
    <w:rsid w:val="009D7383"/>
    <w:rsid w:val="009E0B95"/>
    <w:rsid w:val="009E0BD9"/>
    <w:rsid w:val="009E410D"/>
    <w:rsid w:val="009E60A2"/>
    <w:rsid w:val="009F033B"/>
    <w:rsid w:val="009F05D9"/>
    <w:rsid w:val="009F1957"/>
    <w:rsid w:val="009F1C07"/>
    <w:rsid w:val="009F4944"/>
    <w:rsid w:val="009F75C6"/>
    <w:rsid w:val="00A03133"/>
    <w:rsid w:val="00A04B77"/>
    <w:rsid w:val="00A04C64"/>
    <w:rsid w:val="00A06A72"/>
    <w:rsid w:val="00A06E95"/>
    <w:rsid w:val="00A07058"/>
    <w:rsid w:val="00A10214"/>
    <w:rsid w:val="00A108CB"/>
    <w:rsid w:val="00A10A82"/>
    <w:rsid w:val="00A12589"/>
    <w:rsid w:val="00A13B60"/>
    <w:rsid w:val="00A13E29"/>
    <w:rsid w:val="00A16D1F"/>
    <w:rsid w:val="00A17AE4"/>
    <w:rsid w:val="00A2170B"/>
    <w:rsid w:val="00A22947"/>
    <w:rsid w:val="00A22A97"/>
    <w:rsid w:val="00A22C2B"/>
    <w:rsid w:val="00A24AA2"/>
    <w:rsid w:val="00A24E4D"/>
    <w:rsid w:val="00A27296"/>
    <w:rsid w:val="00A31B45"/>
    <w:rsid w:val="00A31D44"/>
    <w:rsid w:val="00A329EA"/>
    <w:rsid w:val="00A33A3C"/>
    <w:rsid w:val="00A354AB"/>
    <w:rsid w:val="00A3740F"/>
    <w:rsid w:val="00A4031C"/>
    <w:rsid w:val="00A43115"/>
    <w:rsid w:val="00A449EC"/>
    <w:rsid w:val="00A455AA"/>
    <w:rsid w:val="00A46FCD"/>
    <w:rsid w:val="00A47DDD"/>
    <w:rsid w:val="00A52312"/>
    <w:rsid w:val="00A55875"/>
    <w:rsid w:val="00A56988"/>
    <w:rsid w:val="00A57009"/>
    <w:rsid w:val="00A615FA"/>
    <w:rsid w:val="00A6257E"/>
    <w:rsid w:val="00A62E23"/>
    <w:rsid w:val="00A6351B"/>
    <w:rsid w:val="00A64022"/>
    <w:rsid w:val="00A649AF"/>
    <w:rsid w:val="00A64F7E"/>
    <w:rsid w:val="00A66887"/>
    <w:rsid w:val="00A66A5D"/>
    <w:rsid w:val="00A74E03"/>
    <w:rsid w:val="00A750CD"/>
    <w:rsid w:val="00A76317"/>
    <w:rsid w:val="00A76A6E"/>
    <w:rsid w:val="00A77799"/>
    <w:rsid w:val="00A77C57"/>
    <w:rsid w:val="00A8380E"/>
    <w:rsid w:val="00A83EF6"/>
    <w:rsid w:val="00A841C4"/>
    <w:rsid w:val="00A84421"/>
    <w:rsid w:val="00A84EB7"/>
    <w:rsid w:val="00A85A99"/>
    <w:rsid w:val="00A86445"/>
    <w:rsid w:val="00A8714E"/>
    <w:rsid w:val="00A91725"/>
    <w:rsid w:val="00A91948"/>
    <w:rsid w:val="00A928E3"/>
    <w:rsid w:val="00A93BE3"/>
    <w:rsid w:val="00A949D2"/>
    <w:rsid w:val="00A94AAB"/>
    <w:rsid w:val="00A9657A"/>
    <w:rsid w:val="00AA152D"/>
    <w:rsid w:val="00AA1C0C"/>
    <w:rsid w:val="00AA411E"/>
    <w:rsid w:val="00AA632D"/>
    <w:rsid w:val="00AA65CB"/>
    <w:rsid w:val="00AA6622"/>
    <w:rsid w:val="00AA7731"/>
    <w:rsid w:val="00AB35F4"/>
    <w:rsid w:val="00AB4AF0"/>
    <w:rsid w:val="00AB7BD8"/>
    <w:rsid w:val="00AC0521"/>
    <w:rsid w:val="00AC09AE"/>
    <w:rsid w:val="00AC24F7"/>
    <w:rsid w:val="00AC37D7"/>
    <w:rsid w:val="00AC47D9"/>
    <w:rsid w:val="00AC4D5B"/>
    <w:rsid w:val="00AC6203"/>
    <w:rsid w:val="00AC6E66"/>
    <w:rsid w:val="00AD1DA2"/>
    <w:rsid w:val="00AD3E6E"/>
    <w:rsid w:val="00AD5F1B"/>
    <w:rsid w:val="00AE00B5"/>
    <w:rsid w:val="00AE0E10"/>
    <w:rsid w:val="00AE1676"/>
    <w:rsid w:val="00AE176F"/>
    <w:rsid w:val="00AE5675"/>
    <w:rsid w:val="00AE5AE7"/>
    <w:rsid w:val="00AE6D94"/>
    <w:rsid w:val="00AE7B29"/>
    <w:rsid w:val="00AF14CC"/>
    <w:rsid w:val="00AF250A"/>
    <w:rsid w:val="00AF2B88"/>
    <w:rsid w:val="00AF3425"/>
    <w:rsid w:val="00AF506A"/>
    <w:rsid w:val="00AF559C"/>
    <w:rsid w:val="00AF7034"/>
    <w:rsid w:val="00AF77E6"/>
    <w:rsid w:val="00B0032E"/>
    <w:rsid w:val="00B00457"/>
    <w:rsid w:val="00B005A5"/>
    <w:rsid w:val="00B01BDF"/>
    <w:rsid w:val="00B01FA6"/>
    <w:rsid w:val="00B02A49"/>
    <w:rsid w:val="00B0466E"/>
    <w:rsid w:val="00B05B3A"/>
    <w:rsid w:val="00B06C53"/>
    <w:rsid w:val="00B071FF"/>
    <w:rsid w:val="00B07F3B"/>
    <w:rsid w:val="00B1048B"/>
    <w:rsid w:val="00B108B3"/>
    <w:rsid w:val="00B114B7"/>
    <w:rsid w:val="00B12B3D"/>
    <w:rsid w:val="00B14395"/>
    <w:rsid w:val="00B14550"/>
    <w:rsid w:val="00B16113"/>
    <w:rsid w:val="00B17733"/>
    <w:rsid w:val="00B17830"/>
    <w:rsid w:val="00B20A23"/>
    <w:rsid w:val="00B2301C"/>
    <w:rsid w:val="00B23084"/>
    <w:rsid w:val="00B234E7"/>
    <w:rsid w:val="00B239B6"/>
    <w:rsid w:val="00B25F6B"/>
    <w:rsid w:val="00B30306"/>
    <w:rsid w:val="00B31BAF"/>
    <w:rsid w:val="00B33D00"/>
    <w:rsid w:val="00B35484"/>
    <w:rsid w:val="00B37EE2"/>
    <w:rsid w:val="00B41CA5"/>
    <w:rsid w:val="00B424FF"/>
    <w:rsid w:val="00B43C12"/>
    <w:rsid w:val="00B449E3"/>
    <w:rsid w:val="00B45BB2"/>
    <w:rsid w:val="00B468A3"/>
    <w:rsid w:val="00B47A41"/>
    <w:rsid w:val="00B50FC7"/>
    <w:rsid w:val="00B51273"/>
    <w:rsid w:val="00B5146A"/>
    <w:rsid w:val="00B51CBC"/>
    <w:rsid w:val="00B54625"/>
    <w:rsid w:val="00B55F24"/>
    <w:rsid w:val="00B600C4"/>
    <w:rsid w:val="00B60C06"/>
    <w:rsid w:val="00B61427"/>
    <w:rsid w:val="00B61D99"/>
    <w:rsid w:val="00B624B2"/>
    <w:rsid w:val="00B62AC0"/>
    <w:rsid w:val="00B62CDE"/>
    <w:rsid w:val="00B63482"/>
    <w:rsid w:val="00B638F6"/>
    <w:rsid w:val="00B63AE9"/>
    <w:rsid w:val="00B646B9"/>
    <w:rsid w:val="00B65FF9"/>
    <w:rsid w:val="00B675AD"/>
    <w:rsid w:val="00B716F4"/>
    <w:rsid w:val="00B7484C"/>
    <w:rsid w:val="00B74940"/>
    <w:rsid w:val="00B773F6"/>
    <w:rsid w:val="00B800AD"/>
    <w:rsid w:val="00B80A1B"/>
    <w:rsid w:val="00B80F06"/>
    <w:rsid w:val="00B81CA1"/>
    <w:rsid w:val="00B85244"/>
    <w:rsid w:val="00B9074D"/>
    <w:rsid w:val="00B94E42"/>
    <w:rsid w:val="00B95997"/>
    <w:rsid w:val="00BA0AC0"/>
    <w:rsid w:val="00BA33E9"/>
    <w:rsid w:val="00BA4E34"/>
    <w:rsid w:val="00BA645C"/>
    <w:rsid w:val="00BB03B2"/>
    <w:rsid w:val="00BB0773"/>
    <w:rsid w:val="00BB0C29"/>
    <w:rsid w:val="00BB5E1F"/>
    <w:rsid w:val="00BB7290"/>
    <w:rsid w:val="00BC279F"/>
    <w:rsid w:val="00BC3768"/>
    <w:rsid w:val="00BC456E"/>
    <w:rsid w:val="00BD17CF"/>
    <w:rsid w:val="00BD2F6C"/>
    <w:rsid w:val="00BD634B"/>
    <w:rsid w:val="00BE36CF"/>
    <w:rsid w:val="00BE4813"/>
    <w:rsid w:val="00BE5A65"/>
    <w:rsid w:val="00BE77E2"/>
    <w:rsid w:val="00BF2843"/>
    <w:rsid w:val="00BF3D32"/>
    <w:rsid w:val="00BF47BB"/>
    <w:rsid w:val="00BF66C2"/>
    <w:rsid w:val="00C00ABD"/>
    <w:rsid w:val="00C01EAD"/>
    <w:rsid w:val="00C01FB3"/>
    <w:rsid w:val="00C02E33"/>
    <w:rsid w:val="00C042EF"/>
    <w:rsid w:val="00C05510"/>
    <w:rsid w:val="00C0598E"/>
    <w:rsid w:val="00C05F34"/>
    <w:rsid w:val="00C0606F"/>
    <w:rsid w:val="00C10763"/>
    <w:rsid w:val="00C16726"/>
    <w:rsid w:val="00C20A1C"/>
    <w:rsid w:val="00C23568"/>
    <w:rsid w:val="00C31677"/>
    <w:rsid w:val="00C31A6B"/>
    <w:rsid w:val="00C3223E"/>
    <w:rsid w:val="00C33953"/>
    <w:rsid w:val="00C3476B"/>
    <w:rsid w:val="00C35530"/>
    <w:rsid w:val="00C37FE5"/>
    <w:rsid w:val="00C406FF"/>
    <w:rsid w:val="00C43BD4"/>
    <w:rsid w:val="00C46AEE"/>
    <w:rsid w:val="00C4777B"/>
    <w:rsid w:val="00C530B9"/>
    <w:rsid w:val="00C602E4"/>
    <w:rsid w:val="00C610C0"/>
    <w:rsid w:val="00C6163A"/>
    <w:rsid w:val="00C628AC"/>
    <w:rsid w:val="00C62E23"/>
    <w:rsid w:val="00C66D0C"/>
    <w:rsid w:val="00C70A37"/>
    <w:rsid w:val="00C72665"/>
    <w:rsid w:val="00C72AE0"/>
    <w:rsid w:val="00C75C44"/>
    <w:rsid w:val="00C762B7"/>
    <w:rsid w:val="00C767DE"/>
    <w:rsid w:val="00C7690E"/>
    <w:rsid w:val="00C77520"/>
    <w:rsid w:val="00C8071F"/>
    <w:rsid w:val="00C847BD"/>
    <w:rsid w:val="00C86F02"/>
    <w:rsid w:val="00C90402"/>
    <w:rsid w:val="00C90C4E"/>
    <w:rsid w:val="00C91560"/>
    <w:rsid w:val="00C91C1C"/>
    <w:rsid w:val="00C93DD8"/>
    <w:rsid w:val="00C9439C"/>
    <w:rsid w:val="00C96B57"/>
    <w:rsid w:val="00C970D1"/>
    <w:rsid w:val="00CA016B"/>
    <w:rsid w:val="00CA042A"/>
    <w:rsid w:val="00CA2FA0"/>
    <w:rsid w:val="00CA323B"/>
    <w:rsid w:val="00CA4898"/>
    <w:rsid w:val="00CA530B"/>
    <w:rsid w:val="00CA645F"/>
    <w:rsid w:val="00CC0676"/>
    <w:rsid w:val="00CC33B5"/>
    <w:rsid w:val="00CC42CD"/>
    <w:rsid w:val="00CC6349"/>
    <w:rsid w:val="00CD0348"/>
    <w:rsid w:val="00CD1568"/>
    <w:rsid w:val="00CD417D"/>
    <w:rsid w:val="00CD4D1F"/>
    <w:rsid w:val="00CD53FB"/>
    <w:rsid w:val="00CD57B8"/>
    <w:rsid w:val="00CD76D7"/>
    <w:rsid w:val="00CD78B2"/>
    <w:rsid w:val="00CE20FD"/>
    <w:rsid w:val="00CE2767"/>
    <w:rsid w:val="00CE2E2D"/>
    <w:rsid w:val="00CE39C7"/>
    <w:rsid w:val="00CE516E"/>
    <w:rsid w:val="00CE5B16"/>
    <w:rsid w:val="00CE6541"/>
    <w:rsid w:val="00CE6E64"/>
    <w:rsid w:val="00CE7CAB"/>
    <w:rsid w:val="00CF003F"/>
    <w:rsid w:val="00CF080F"/>
    <w:rsid w:val="00CF2177"/>
    <w:rsid w:val="00CF3754"/>
    <w:rsid w:val="00CF632D"/>
    <w:rsid w:val="00CF66BF"/>
    <w:rsid w:val="00D025B4"/>
    <w:rsid w:val="00D052A5"/>
    <w:rsid w:val="00D05959"/>
    <w:rsid w:val="00D0658D"/>
    <w:rsid w:val="00D06D03"/>
    <w:rsid w:val="00D0769B"/>
    <w:rsid w:val="00D11399"/>
    <w:rsid w:val="00D138DF"/>
    <w:rsid w:val="00D13B08"/>
    <w:rsid w:val="00D155A0"/>
    <w:rsid w:val="00D205F6"/>
    <w:rsid w:val="00D23A59"/>
    <w:rsid w:val="00D2418B"/>
    <w:rsid w:val="00D31886"/>
    <w:rsid w:val="00D32D8D"/>
    <w:rsid w:val="00D32E3B"/>
    <w:rsid w:val="00D3317F"/>
    <w:rsid w:val="00D3369F"/>
    <w:rsid w:val="00D3520A"/>
    <w:rsid w:val="00D355F3"/>
    <w:rsid w:val="00D37788"/>
    <w:rsid w:val="00D37E24"/>
    <w:rsid w:val="00D401DB"/>
    <w:rsid w:val="00D40A7D"/>
    <w:rsid w:val="00D42FF0"/>
    <w:rsid w:val="00D4302D"/>
    <w:rsid w:val="00D431C8"/>
    <w:rsid w:val="00D4494E"/>
    <w:rsid w:val="00D45920"/>
    <w:rsid w:val="00D45C98"/>
    <w:rsid w:val="00D53C80"/>
    <w:rsid w:val="00D54D61"/>
    <w:rsid w:val="00D54F84"/>
    <w:rsid w:val="00D56958"/>
    <w:rsid w:val="00D5776D"/>
    <w:rsid w:val="00D6385E"/>
    <w:rsid w:val="00D703B1"/>
    <w:rsid w:val="00D71965"/>
    <w:rsid w:val="00D7455D"/>
    <w:rsid w:val="00D747DF"/>
    <w:rsid w:val="00D77E63"/>
    <w:rsid w:val="00D801E9"/>
    <w:rsid w:val="00D815C6"/>
    <w:rsid w:val="00D835B5"/>
    <w:rsid w:val="00D83BE7"/>
    <w:rsid w:val="00D8415D"/>
    <w:rsid w:val="00D84E78"/>
    <w:rsid w:val="00D84FB1"/>
    <w:rsid w:val="00D86B1C"/>
    <w:rsid w:val="00D92C9C"/>
    <w:rsid w:val="00D95155"/>
    <w:rsid w:val="00D95EE1"/>
    <w:rsid w:val="00D960A3"/>
    <w:rsid w:val="00D96B8C"/>
    <w:rsid w:val="00DA1C71"/>
    <w:rsid w:val="00DA3EA4"/>
    <w:rsid w:val="00DA435B"/>
    <w:rsid w:val="00DA50F4"/>
    <w:rsid w:val="00DA555C"/>
    <w:rsid w:val="00DA6062"/>
    <w:rsid w:val="00DB0304"/>
    <w:rsid w:val="00DB256A"/>
    <w:rsid w:val="00DB53B7"/>
    <w:rsid w:val="00DB5894"/>
    <w:rsid w:val="00DB70AD"/>
    <w:rsid w:val="00DC2E5D"/>
    <w:rsid w:val="00DC31BC"/>
    <w:rsid w:val="00DC37FA"/>
    <w:rsid w:val="00DC6D5C"/>
    <w:rsid w:val="00DD07DC"/>
    <w:rsid w:val="00DD1092"/>
    <w:rsid w:val="00DD131F"/>
    <w:rsid w:val="00DD596F"/>
    <w:rsid w:val="00DD5B5B"/>
    <w:rsid w:val="00DE0611"/>
    <w:rsid w:val="00DE12B2"/>
    <w:rsid w:val="00DE210A"/>
    <w:rsid w:val="00DE26AB"/>
    <w:rsid w:val="00DE6167"/>
    <w:rsid w:val="00DE6A20"/>
    <w:rsid w:val="00DE6C9B"/>
    <w:rsid w:val="00DF106C"/>
    <w:rsid w:val="00DF1A14"/>
    <w:rsid w:val="00DF1E18"/>
    <w:rsid w:val="00DF3725"/>
    <w:rsid w:val="00DF40C1"/>
    <w:rsid w:val="00DF522D"/>
    <w:rsid w:val="00DF65D9"/>
    <w:rsid w:val="00DF705F"/>
    <w:rsid w:val="00E012D7"/>
    <w:rsid w:val="00E01347"/>
    <w:rsid w:val="00E01B22"/>
    <w:rsid w:val="00E01FD0"/>
    <w:rsid w:val="00E026AF"/>
    <w:rsid w:val="00E02723"/>
    <w:rsid w:val="00E033BD"/>
    <w:rsid w:val="00E04939"/>
    <w:rsid w:val="00E04DE8"/>
    <w:rsid w:val="00E054B8"/>
    <w:rsid w:val="00E06D8D"/>
    <w:rsid w:val="00E1009E"/>
    <w:rsid w:val="00E12FFA"/>
    <w:rsid w:val="00E1416E"/>
    <w:rsid w:val="00E15949"/>
    <w:rsid w:val="00E166FF"/>
    <w:rsid w:val="00E16DAE"/>
    <w:rsid w:val="00E23D10"/>
    <w:rsid w:val="00E273EC"/>
    <w:rsid w:val="00E27C08"/>
    <w:rsid w:val="00E35C97"/>
    <w:rsid w:val="00E42706"/>
    <w:rsid w:val="00E459A4"/>
    <w:rsid w:val="00E46514"/>
    <w:rsid w:val="00E46643"/>
    <w:rsid w:val="00E50DD7"/>
    <w:rsid w:val="00E521FC"/>
    <w:rsid w:val="00E5454F"/>
    <w:rsid w:val="00E54720"/>
    <w:rsid w:val="00E55A16"/>
    <w:rsid w:val="00E5633C"/>
    <w:rsid w:val="00E565F7"/>
    <w:rsid w:val="00E6143F"/>
    <w:rsid w:val="00E622EA"/>
    <w:rsid w:val="00E6315D"/>
    <w:rsid w:val="00E63D27"/>
    <w:rsid w:val="00E641BC"/>
    <w:rsid w:val="00E651A6"/>
    <w:rsid w:val="00E668A2"/>
    <w:rsid w:val="00E66B7B"/>
    <w:rsid w:val="00E67AC0"/>
    <w:rsid w:val="00E7026B"/>
    <w:rsid w:val="00E70DB0"/>
    <w:rsid w:val="00E7545A"/>
    <w:rsid w:val="00E75D81"/>
    <w:rsid w:val="00E76C96"/>
    <w:rsid w:val="00E770A5"/>
    <w:rsid w:val="00E77C22"/>
    <w:rsid w:val="00E81B74"/>
    <w:rsid w:val="00E81DCF"/>
    <w:rsid w:val="00E8542E"/>
    <w:rsid w:val="00E85971"/>
    <w:rsid w:val="00E92011"/>
    <w:rsid w:val="00E9375D"/>
    <w:rsid w:val="00E938B4"/>
    <w:rsid w:val="00E94A6B"/>
    <w:rsid w:val="00E94E05"/>
    <w:rsid w:val="00E9595E"/>
    <w:rsid w:val="00E95BBD"/>
    <w:rsid w:val="00E95CB6"/>
    <w:rsid w:val="00EA0EE4"/>
    <w:rsid w:val="00EA5FF9"/>
    <w:rsid w:val="00EA7ED2"/>
    <w:rsid w:val="00EB1FC5"/>
    <w:rsid w:val="00EB3D6B"/>
    <w:rsid w:val="00EB79BC"/>
    <w:rsid w:val="00EB7F2A"/>
    <w:rsid w:val="00EC14A7"/>
    <w:rsid w:val="00EC3FC9"/>
    <w:rsid w:val="00EC419B"/>
    <w:rsid w:val="00EC419D"/>
    <w:rsid w:val="00EC532F"/>
    <w:rsid w:val="00EC56A0"/>
    <w:rsid w:val="00ED08DD"/>
    <w:rsid w:val="00ED1357"/>
    <w:rsid w:val="00ED203E"/>
    <w:rsid w:val="00ED563E"/>
    <w:rsid w:val="00ED568C"/>
    <w:rsid w:val="00ED5992"/>
    <w:rsid w:val="00ED70A0"/>
    <w:rsid w:val="00ED7B01"/>
    <w:rsid w:val="00ED7C50"/>
    <w:rsid w:val="00EE0675"/>
    <w:rsid w:val="00EE2947"/>
    <w:rsid w:val="00EE2F2A"/>
    <w:rsid w:val="00EE3911"/>
    <w:rsid w:val="00EE422A"/>
    <w:rsid w:val="00EE4E29"/>
    <w:rsid w:val="00EE5E6C"/>
    <w:rsid w:val="00EE6BCF"/>
    <w:rsid w:val="00EF4FA3"/>
    <w:rsid w:val="00F002B5"/>
    <w:rsid w:val="00F00AAD"/>
    <w:rsid w:val="00F0269B"/>
    <w:rsid w:val="00F028A9"/>
    <w:rsid w:val="00F02F78"/>
    <w:rsid w:val="00F030BE"/>
    <w:rsid w:val="00F03359"/>
    <w:rsid w:val="00F059BA"/>
    <w:rsid w:val="00F067CC"/>
    <w:rsid w:val="00F10A84"/>
    <w:rsid w:val="00F120A2"/>
    <w:rsid w:val="00F14A94"/>
    <w:rsid w:val="00F16899"/>
    <w:rsid w:val="00F16E61"/>
    <w:rsid w:val="00F2102F"/>
    <w:rsid w:val="00F234E9"/>
    <w:rsid w:val="00F23C75"/>
    <w:rsid w:val="00F2505E"/>
    <w:rsid w:val="00F252E5"/>
    <w:rsid w:val="00F27757"/>
    <w:rsid w:val="00F35E9D"/>
    <w:rsid w:val="00F36863"/>
    <w:rsid w:val="00F36C32"/>
    <w:rsid w:val="00F40CCD"/>
    <w:rsid w:val="00F411D3"/>
    <w:rsid w:val="00F41835"/>
    <w:rsid w:val="00F426C8"/>
    <w:rsid w:val="00F42A89"/>
    <w:rsid w:val="00F446C4"/>
    <w:rsid w:val="00F447FC"/>
    <w:rsid w:val="00F460F7"/>
    <w:rsid w:val="00F51A42"/>
    <w:rsid w:val="00F521CC"/>
    <w:rsid w:val="00F528D8"/>
    <w:rsid w:val="00F529A1"/>
    <w:rsid w:val="00F5444E"/>
    <w:rsid w:val="00F56F9A"/>
    <w:rsid w:val="00F56FCA"/>
    <w:rsid w:val="00F57B90"/>
    <w:rsid w:val="00F639C4"/>
    <w:rsid w:val="00F6567C"/>
    <w:rsid w:val="00F65B51"/>
    <w:rsid w:val="00F66312"/>
    <w:rsid w:val="00F67FEF"/>
    <w:rsid w:val="00F7169E"/>
    <w:rsid w:val="00F71919"/>
    <w:rsid w:val="00F75267"/>
    <w:rsid w:val="00F75A7E"/>
    <w:rsid w:val="00F75E39"/>
    <w:rsid w:val="00F76B30"/>
    <w:rsid w:val="00F76E36"/>
    <w:rsid w:val="00F7756B"/>
    <w:rsid w:val="00F80485"/>
    <w:rsid w:val="00F81574"/>
    <w:rsid w:val="00F852A0"/>
    <w:rsid w:val="00F8720D"/>
    <w:rsid w:val="00F87DE4"/>
    <w:rsid w:val="00F9333D"/>
    <w:rsid w:val="00F93B94"/>
    <w:rsid w:val="00F93F48"/>
    <w:rsid w:val="00F9433D"/>
    <w:rsid w:val="00F954B0"/>
    <w:rsid w:val="00F95760"/>
    <w:rsid w:val="00F96043"/>
    <w:rsid w:val="00F970F1"/>
    <w:rsid w:val="00F9749C"/>
    <w:rsid w:val="00FA0112"/>
    <w:rsid w:val="00FA1700"/>
    <w:rsid w:val="00FA33E9"/>
    <w:rsid w:val="00FA4345"/>
    <w:rsid w:val="00FB074D"/>
    <w:rsid w:val="00FB0A4E"/>
    <w:rsid w:val="00FB0E8A"/>
    <w:rsid w:val="00FB11AA"/>
    <w:rsid w:val="00FB1A17"/>
    <w:rsid w:val="00FB2ADD"/>
    <w:rsid w:val="00FC2F62"/>
    <w:rsid w:val="00FC385A"/>
    <w:rsid w:val="00FC6691"/>
    <w:rsid w:val="00FC6873"/>
    <w:rsid w:val="00FC73D6"/>
    <w:rsid w:val="00FD1EBA"/>
    <w:rsid w:val="00FD22DF"/>
    <w:rsid w:val="00FD379F"/>
    <w:rsid w:val="00FD5AD7"/>
    <w:rsid w:val="00FE4410"/>
    <w:rsid w:val="00FE5594"/>
    <w:rsid w:val="00FE61D9"/>
    <w:rsid w:val="00FF0221"/>
    <w:rsid w:val="00FF0C51"/>
    <w:rsid w:val="00FF6525"/>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4">
      <o:colormenu v:ext="edit" fillcolor="none [1301]" strokecolor="none [1301]" shadow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6203"/>
    <w:pPr>
      <w:spacing w:after="0" w:line="240" w:lineRule="auto"/>
    </w:pPr>
    <w:rPr>
      <w:rFonts w:ascii="Times New Roman" w:eastAsia="Times New Roman" w:hAnsi="Times New Roman" w:cs="Times New Roman"/>
      <w:sz w:val="24"/>
      <w:szCs w:val="24"/>
      <w:lang w:eastAsia="fr-FR"/>
    </w:rPr>
  </w:style>
  <w:style w:type="paragraph" w:styleId="Titre1">
    <w:name w:val="heading 1"/>
    <w:basedOn w:val="Normal"/>
    <w:next w:val="Normal"/>
    <w:link w:val="Titre1Car"/>
    <w:uiPriority w:val="9"/>
    <w:qFormat/>
    <w:rsid w:val="009D6EE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link w:val="SansinterligneCar"/>
    <w:uiPriority w:val="1"/>
    <w:qFormat/>
    <w:rsid w:val="00AC6203"/>
    <w:pPr>
      <w:spacing w:after="0" w:line="240" w:lineRule="auto"/>
    </w:pPr>
    <w:rPr>
      <w:rFonts w:eastAsiaTheme="minorEastAsia"/>
    </w:rPr>
  </w:style>
  <w:style w:type="character" w:customStyle="1" w:styleId="SansinterligneCar">
    <w:name w:val="Sans interligne Car"/>
    <w:basedOn w:val="Policepardfaut"/>
    <w:link w:val="Sansinterligne"/>
    <w:uiPriority w:val="1"/>
    <w:rsid w:val="00AC6203"/>
    <w:rPr>
      <w:rFonts w:eastAsiaTheme="minorEastAsia"/>
    </w:rPr>
  </w:style>
  <w:style w:type="paragraph" w:styleId="Textedebulles">
    <w:name w:val="Balloon Text"/>
    <w:basedOn w:val="Normal"/>
    <w:link w:val="TextedebullesCar"/>
    <w:uiPriority w:val="99"/>
    <w:semiHidden/>
    <w:unhideWhenUsed/>
    <w:rsid w:val="00AC6203"/>
    <w:rPr>
      <w:rFonts w:ascii="Tahoma" w:hAnsi="Tahoma" w:cs="Tahoma"/>
      <w:sz w:val="16"/>
      <w:szCs w:val="16"/>
    </w:rPr>
  </w:style>
  <w:style w:type="character" w:customStyle="1" w:styleId="TextedebullesCar">
    <w:name w:val="Texte de bulles Car"/>
    <w:basedOn w:val="Policepardfaut"/>
    <w:link w:val="Textedebulles"/>
    <w:uiPriority w:val="99"/>
    <w:semiHidden/>
    <w:rsid w:val="00AC6203"/>
    <w:rPr>
      <w:rFonts w:ascii="Tahoma" w:eastAsia="Times New Roman" w:hAnsi="Tahoma" w:cs="Tahoma"/>
      <w:sz w:val="16"/>
      <w:szCs w:val="16"/>
      <w:lang w:eastAsia="fr-FR"/>
    </w:rPr>
  </w:style>
  <w:style w:type="paragraph" w:styleId="En-tte">
    <w:name w:val="header"/>
    <w:basedOn w:val="Normal"/>
    <w:link w:val="En-tteCar"/>
    <w:uiPriority w:val="99"/>
    <w:semiHidden/>
    <w:unhideWhenUsed/>
    <w:rsid w:val="00A31B45"/>
    <w:pPr>
      <w:tabs>
        <w:tab w:val="center" w:pos="4536"/>
        <w:tab w:val="right" w:pos="9072"/>
      </w:tabs>
    </w:pPr>
  </w:style>
  <w:style w:type="character" w:customStyle="1" w:styleId="En-tteCar">
    <w:name w:val="En-tête Car"/>
    <w:basedOn w:val="Policepardfaut"/>
    <w:link w:val="En-tte"/>
    <w:uiPriority w:val="99"/>
    <w:semiHidden/>
    <w:rsid w:val="00A31B45"/>
    <w:rPr>
      <w:rFonts w:ascii="Times New Roman" w:eastAsia="Times New Roman" w:hAnsi="Times New Roman" w:cs="Times New Roman"/>
      <w:sz w:val="24"/>
      <w:szCs w:val="24"/>
      <w:lang w:eastAsia="fr-FR"/>
    </w:rPr>
  </w:style>
  <w:style w:type="paragraph" w:styleId="Pieddepage">
    <w:name w:val="footer"/>
    <w:basedOn w:val="Normal"/>
    <w:link w:val="PieddepageCar"/>
    <w:uiPriority w:val="99"/>
    <w:unhideWhenUsed/>
    <w:rsid w:val="00A31B45"/>
    <w:pPr>
      <w:tabs>
        <w:tab w:val="center" w:pos="4536"/>
        <w:tab w:val="right" w:pos="9072"/>
      </w:tabs>
    </w:pPr>
  </w:style>
  <w:style w:type="character" w:customStyle="1" w:styleId="PieddepageCar">
    <w:name w:val="Pied de page Car"/>
    <w:basedOn w:val="Policepardfaut"/>
    <w:link w:val="Pieddepage"/>
    <w:uiPriority w:val="99"/>
    <w:rsid w:val="00A31B45"/>
    <w:rPr>
      <w:rFonts w:ascii="Times New Roman" w:eastAsia="Times New Roman" w:hAnsi="Times New Roman" w:cs="Times New Roman"/>
      <w:sz w:val="24"/>
      <w:szCs w:val="24"/>
      <w:lang w:eastAsia="fr-FR"/>
    </w:rPr>
  </w:style>
  <w:style w:type="paragraph" w:styleId="Paragraphedeliste">
    <w:name w:val="List Paragraph"/>
    <w:basedOn w:val="Normal"/>
    <w:uiPriority w:val="34"/>
    <w:qFormat/>
    <w:rsid w:val="004846A4"/>
    <w:pPr>
      <w:ind w:left="720"/>
      <w:contextualSpacing/>
    </w:pPr>
  </w:style>
  <w:style w:type="table" w:styleId="Grilleclaire-Accent6">
    <w:name w:val="Light Grid Accent 6"/>
    <w:basedOn w:val="TableauNormal"/>
    <w:uiPriority w:val="62"/>
    <w:rsid w:val="00A77799"/>
    <w:pPr>
      <w:spacing w:after="0" w:line="240" w:lineRule="auto"/>
    </w:pPr>
    <w:rPr>
      <w:rFonts w:ascii="Times New Roman" w:eastAsia="Times New Roman" w:hAnsi="Times New Roman" w:cs="Times New Roman"/>
      <w:sz w:val="20"/>
      <w:szCs w:val="20"/>
      <w:lang w:eastAsia="fr-FR"/>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Grilleclaire-Accent2">
    <w:name w:val="Light Grid Accent 2"/>
    <w:basedOn w:val="TableauNormal"/>
    <w:uiPriority w:val="62"/>
    <w:rsid w:val="00A77799"/>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paragraph" w:styleId="Notedebasdepage">
    <w:name w:val="footnote text"/>
    <w:basedOn w:val="Normal"/>
    <w:link w:val="NotedebasdepageCar"/>
    <w:uiPriority w:val="99"/>
    <w:semiHidden/>
    <w:unhideWhenUsed/>
    <w:rsid w:val="00AC47D9"/>
    <w:rPr>
      <w:sz w:val="20"/>
      <w:szCs w:val="20"/>
    </w:rPr>
  </w:style>
  <w:style w:type="character" w:customStyle="1" w:styleId="NotedebasdepageCar">
    <w:name w:val="Note de bas de page Car"/>
    <w:basedOn w:val="Policepardfaut"/>
    <w:link w:val="Notedebasdepage"/>
    <w:uiPriority w:val="99"/>
    <w:semiHidden/>
    <w:rsid w:val="00AC47D9"/>
    <w:rPr>
      <w:rFonts w:ascii="Times New Roman" w:eastAsia="Times New Roman" w:hAnsi="Times New Roman" w:cs="Times New Roman"/>
      <w:sz w:val="20"/>
      <w:szCs w:val="20"/>
      <w:lang w:eastAsia="fr-FR"/>
    </w:rPr>
  </w:style>
  <w:style w:type="character" w:styleId="Appelnotedebasdep">
    <w:name w:val="footnote reference"/>
    <w:basedOn w:val="Policepardfaut"/>
    <w:uiPriority w:val="99"/>
    <w:semiHidden/>
    <w:unhideWhenUsed/>
    <w:rsid w:val="00AC47D9"/>
    <w:rPr>
      <w:vertAlign w:val="superscript"/>
    </w:rPr>
  </w:style>
  <w:style w:type="table" w:styleId="Grilledutableau">
    <w:name w:val="Table Grid"/>
    <w:basedOn w:val="TableauNormal"/>
    <w:uiPriority w:val="59"/>
    <w:rsid w:val="003223D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Tramemoyenne1-Accent2">
    <w:name w:val="Medium Shading 1 Accent 2"/>
    <w:basedOn w:val="TableauNormal"/>
    <w:uiPriority w:val="63"/>
    <w:rsid w:val="00397051"/>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character" w:customStyle="1" w:styleId="Titre1Car">
    <w:name w:val="Titre 1 Car"/>
    <w:basedOn w:val="Policepardfaut"/>
    <w:link w:val="Titre1"/>
    <w:uiPriority w:val="9"/>
    <w:rsid w:val="009D6EEC"/>
    <w:rPr>
      <w:rFonts w:asciiTheme="majorHAnsi" w:eastAsiaTheme="majorEastAsia" w:hAnsiTheme="majorHAnsi" w:cstheme="majorBidi"/>
      <w:b/>
      <w:bCs/>
      <w:color w:val="365F91" w:themeColor="accent1" w:themeShade="BF"/>
      <w:sz w:val="28"/>
      <w:szCs w:val="28"/>
      <w:lang w:eastAsia="fr-FR"/>
    </w:rPr>
  </w:style>
  <w:style w:type="paragraph" w:styleId="En-ttedetabledesmatires">
    <w:name w:val="TOC Heading"/>
    <w:basedOn w:val="Titre1"/>
    <w:next w:val="Normal"/>
    <w:uiPriority w:val="39"/>
    <w:unhideWhenUsed/>
    <w:qFormat/>
    <w:rsid w:val="009D6EEC"/>
    <w:pPr>
      <w:spacing w:line="276" w:lineRule="auto"/>
      <w:outlineLvl w:val="9"/>
    </w:pPr>
    <w:rPr>
      <w:lang w:eastAsia="en-US"/>
    </w:rPr>
  </w:style>
  <w:style w:type="paragraph" w:styleId="TM2">
    <w:name w:val="toc 2"/>
    <w:basedOn w:val="Normal"/>
    <w:next w:val="Normal"/>
    <w:autoRedefine/>
    <w:uiPriority w:val="39"/>
    <w:unhideWhenUsed/>
    <w:qFormat/>
    <w:rsid w:val="009D6EEC"/>
    <w:pPr>
      <w:spacing w:after="100" w:line="276" w:lineRule="auto"/>
      <w:ind w:left="220"/>
    </w:pPr>
    <w:rPr>
      <w:rFonts w:asciiTheme="minorHAnsi" w:eastAsiaTheme="minorEastAsia" w:hAnsiTheme="minorHAnsi" w:cstheme="minorBidi"/>
      <w:sz w:val="22"/>
      <w:szCs w:val="22"/>
      <w:lang w:eastAsia="en-US"/>
    </w:rPr>
  </w:style>
  <w:style w:type="paragraph" w:styleId="TM1">
    <w:name w:val="toc 1"/>
    <w:basedOn w:val="Normal"/>
    <w:next w:val="Normal"/>
    <w:autoRedefine/>
    <w:uiPriority w:val="39"/>
    <w:unhideWhenUsed/>
    <w:qFormat/>
    <w:rsid w:val="009D6EEC"/>
    <w:pPr>
      <w:spacing w:after="100" w:line="276" w:lineRule="auto"/>
    </w:pPr>
    <w:rPr>
      <w:rFonts w:asciiTheme="minorHAnsi" w:eastAsiaTheme="minorEastAsia" w:hAnsiTheme="minorHAnsi" w:cstheme="minorBidi"/>
      <w:sz w:val="22"/>
      <w:szCs w:val="22"/>
      <w:lang w:eastAsia="en-US"/>
    </w:rPr>
  </w:style>
  <w:style w:type="paragraph" w:styleId="TM3">
    <w:name w:val="toc 3"/>
    <w:basedOn w:val="Normal"/>
    <w:next w:val="Normal"/>
    <w:autoRedefine/>
    <w:uiPriority w:val="39"/>
    <w:semiHidden/>
    <w:unhideWhenUsed/>
    <w:qFormat/>
    <w:rsid w:val="009D6EEC"/>
    <w:pPr>
      <w:spacing w:after="100" w:line="276" w:lineRule="auto"/>
      <w:ind w:left="440"/>
    </w:pPr>
    <w:rPr>
      <w:rFonts w:asciiTheme="minorHAnsi" w:eastAsiaTheme="minorEastAsia" w:hAnsiTheme="minorHAnsi" w:cstheme="minorBidi"/>
      <w:sz w:val="22"/>
      <w:szCs w:val="22"/>
      <w:lang w:eastAsia="en-US"/>
    </w:rPr>
  </w:style>
  <w:style w:type="paragraph" w:styleId="Lgende">
    <w:name w:val="caption"/>
    <w:basedOn w:val="Normal"/>
    <w:next w:val="Normal"/>
    <w:uiPriority w:val="35"/>
    <w:unhideWhenUsed/>
    <w:qFormat/>
    <w:rsid w:val="00FF0221"/>
    <w:pPr>
      <w:spacing w:after="200"/>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divs>
    <w:div w:id="95754878">
      <w:bodyDiv w:val="1"/>
      <w:marLeft w:val="0"/>
      <w:marRight w:val="0"/>
      <w:marTop w:val="0"/>
      <w:marBottom w:val="0"/>
      <w:divBdr>
        <w:top w:val="none" w:sz="0" w:space="0" w:color="auto"/>
        <w:left w:val="none" w:sz="0" w:space="0" w:color="auto"/>
        <w:bottom w:val="none" w:sz="0" w:space="0" w:color="auto"/>
        <w:right w:val="none" w:sz="0" w:space="0" w:color="auto"/>
      </w:divBdr>
    </w:div>
    <w:div w:id="286744598">
      <w:bodyDiv w:val="1"/>
      <w:marLeft w:val="0"/>
      <w:marRight w:val="0"/>
      <w:marTop w:val="0"/>
      <w:marBottom w:val="0"/>
      <w:divBdr>
        <w:top w:val="none" w:sz="0" w:space="0" w:color="auto"/>
        <w:left w:val="none" w:sz="0" w:space="0" w:color="auto"/>
        <w:bottom w:val="none" w:sz="0" w:space="0" w:color="auto"/>
        <w:right w:val="none" w:sz="0" w:space="0" w:color="auto"/>
      </w:divBdr>
    </w:div>
    <w:div w:id="389231425">
      <w:bodyDiv w:val="1"/>
      <w:marLeft w:val="0"/>
      <w:marRight w:val="0"/>
      <w:marTop w:val="0"/>
      <w:marBottom w:val="0"/>
      <w:divBdr>
        <w:top w:val="none" w:sz="0" w:space="0" w:color="auto"/>
        <w:left w:val="none" w:sz="0" w:space="0" w:color="auto"/>
        <w:bottom w:val="none" w:sz="0" w:space="0" w:color="auto"/>
        <w:right w:val="none" w:sz="0" w:space="0" w:color="auto"/>
      </w:divBdr>
    </w:div>
    <w:div w:id="509485539">
      <w:bodyDiv w:val="1"/>
      <w:marLeft w:val="0"/>
      <w:marRight w:val="0"/>
      <w:marTop w:val="0"/>
      <w:marBottom w:val="0"/>
      <w:divBdr>
        <w:top w:val="none" w:sz="0" w:space="0" w:color="auto"/>
        <w:left w:val="none" w:sz="0" w:space="0" w:color="auto"/>
        <w:bottom w:val="none" w:sz="0" w:space="0" w:color="auto"/>
        <w:right w:val="none" w:sz="0" w:space="0" w:color="auto"/>
      </w:divBdr>
    </w:div>
    <w:div w:id="562717361">
      <w:bodyDiv w:val="1"/>
      <w:marLeft w:val="0"/>
      <w:marRight w:val="0"/>
      <w:marTop w:val="0"/>
      <w:marBottom w:val="0"/>
      <w:divBdr>
        <w:top w:val="none" w:sz="0" w:space="0" w:color="auto"/>
        <w:left w:val="none" w:sz="0" w:space="0" w:color="auto"/>
        <w:bottom w:val="none" w:sz="0" w:space="0" w:color="auto"/>
        <w:right w:val="none" w:sz="0" w:space="0" w:color="auto"/>
      </w:divBdr>
    </w:div>
    <w:div w:id="657925735">
      <w:bodyDiv w:val="1"/>
      <w:marLeft w:val="0"/>
      <w:marRight w:val="0"/>
      <w:marTop w:val="0"/>
      <w:marBottom w:val="0"/>
      <w:divBdr>
        <w:top w:val="none" w:sz="0" w:space="0" w:color="auto"/>
        <w:left w:val="none" w:sz="0" w:space="0" w:color="auto"/>
        <w:bottom w:val="none" w:sz="0" w:space="0" w:color="auto"/>
        <w:right w:val="none" w:sz="0" w:space="0" w:color="auto"/>
      </w:divBdr>
    </w:div>
    <w:div w:id="697971992">
      <w:bodyDiv w:val="1"/>
      <w:marLeft w:val="0"/>
      <w:marRight w:val="0"/>
      <w:marTop w:val="0"/>
      <w:marBottom w:val="0"/>
      <w:divBdr>
        <w:top w:val="none" w:sz="0" w:space="0" w:color="auto"/>
        <w:left w:val="none" w:sz="0" w:space="0" w:color="auto"/>
        <w:bottom w:val="none" w:sz="0" w:space="0" w:color="auto"/>
        <w:right w:val="none" w:sz="0" w:space="0" w:color="auto"/>
      </w:divBdr>
    </w:div>
    <w:div w:id="711226535">
      <w:bodyDiv w:val="1"/>
      <w:marLeft w:val="0"/>
      <w:marRight w:val="0"/>
      <w:marTop w:val="0"/>
      <w:marBottom w:val="0"/>
      <w:divBdr>
        <w:top w:val="none" w:sz="0" w:space="0" w:color="auto"/>
        <w:left w:val="none" w:sz="0" w:space="0" w:color="auto"/>
        <w:bottom w:val="none" w:sz="0" w:space="0" w:color="auto"/>
        <w:right w:val="none" w:sz="0" w:space="0" w:color="auto"/>
      </w:divBdr>
    </w:div>
    <w:div w:id="721173525">
      <w:bodyDiv w:val="1"/>
      <w:marLeft w:val="0"/>
      <w:marRight w:val="0"/>
      <w:marTop w:val="0"/>
      <w:marBottom w:val="0"/>
      <w:divBdr>
        <w:top w:val="none" w:sz="0" w:space="0" w:color="auto"/>
        <w:left w:val="none" w:sz="0" w:space="0" w:color="auto"/>
        <w:bottom w:val="none" w:sz="0" w:space="0" w:color="auto"/>
        <w:right w:val="none" w:sz="0" w:space="0" w:color="auto"/>
      </w:divBdr>
    </w:div>
    <w:div w:id="734009295">
      <w:bodyDiv w:val="1"/>
      <w:marLeft w:val="0"/>
      <w:marRight w:val="0"/>
      <w:marTop w:val="0"/>
      <w:marBottom w:val="0"/>
      <w:divBdr>
        <w:top w:val="none" w:sz="0" w:space="0" w:color="auto"/>
        <w:left w:val="none" w:sz="0" w:space="0" w:color="auto"/>
        <w:bottom w:val="none" w:sz="0" w:space="0" w:color="auto"/>
        <w:right w:val="none" w:sz="0" w:space="0" w:color="auto"/>
      </w:divBdr>
    </w:div>
    <w:div w:id="1641039216">
      <w:bodyDiv w:val="1"/>
      <w:marLeft w:val="0"/>
      <w:marRight w:val="0"/>
      <w:marTop w:val="0"/>
      <w:marBottom w:val="0"/>
      <w:divBdr>
        <w:top w:val="none" w:sz="0" w:space="0" w:color="auto"/>
        <w:left w:val="none" w:sz="0" w:space="0" w:color="auto"/>
        <w:bottom w:val="none" w:sz="0" w:space="0" w:color="auto"/>
        <w:right w:val="none" w:sz="0" w:space="0" w:color="auto"/>
      </w:divBdr>
    </w:div>
    <w:div w:id="1809325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6.png"/><Relationship Id="rId299" Type="http://schemas.openxmlformats.org/officeDocument/2006/relationships/image" Target="media/image288.png"/><Relationship Id="rId303" Type="http://schemas.openxmlformats.org/officeDocument/2006/relationships/image" Target="media/image292.png"/><Relationship Id="rId21" Type="http://schemas.openxmlformats.org/officeDocument/2006/relationships/image" Target="media/image12.png"/><Relationship Id="rId42" Type="http://schemas.openxmlformats.org/officeDocument/2006/relationships/image" Target="media/image31.png"/><Relationship Id="rId63" Type="http://schemas.openxmlformats.org/officeDocument/2006/relationships/image" Target="media/image52.wmf"/><Relationship Id="rId84" Type="http://schemas.openxmlformats.org/officeDocument/2006/relationships/image" Target="media/image73.png"/><Relationship Id="rId138" Type="http://schemas.openxmlformats.org/officeDocument/2006/relationships/image" Target="media/image127.png"/><Relationship Id="rId159" Type="http://schemas.openxmlformats.org/officeDocument/2006/relationships/image" Target="media/image148.png"/><Relationship Id="rId170" Type="http://schemas.openxmlformats.org/officeDocument/2006/relationships/image" Target="media/image159.png"/><Relationship Id="rId191" Type="http://schemas.openxmlformats.org/officeDocument/2006/relationships/image" Target="media/image180.png"/><Relationship Id="rId205" Type="http://schemas.openxmlformats.org/officeDocument/2006/relationships/image" Target="media/image194.png"/><Relationship Id="rId226" Type="http://schemas.openxmlformats.org/officeDocument/2006/relationships/image" Target="media/image215.png"/><Relationship Id="rId247" Type="http://schemas.openxmlformats.org/officeDocument/2006/relationships/image" Target="media/image236.wmf"/><Relationship Id="rId107" Type="http://schemas.openxmlformats.org/officeDocument/2006/relationships/image" Target="media/image96.png"/><Relationship Id="rId268" Type="http://schemas.openxmlformats.org/officeDocument/2006/relationships/image" Target="media/image257.png"/><Relationship Id="rId289" Type="http://schemas.openxmlformats.org/officeDocument/2006/relationships/image" Target="media/image278.png"/><Relationship Id="rId11" Type="http://schemas.openxmlformats.org/officeDocument/2006/relationships/image" Target="media/image2.png"/><Relationship Id="rId32" Type="http://schemas.openxmlformats.org/officeDocument/2006/relationships/image" Target="media/image21.png"/><Relationship Id="rId53" Type="http://schemas.openxmlformats.org/officeDocument/2006/relationships/image" Target="media/image42.png"/><Relationship Id="rId74" Type="http://schemas.openxmlformats.org/officeDocument/2006/relationships/image" Target="media/image63.png"/><Relationship Id="rId128" Type="http://schemas.openxmlformats.org/officeDocument/2006/relationships/image" Target="media/image117.png"/><Relationship Id="rId149" Type="http://schemas.openxmlformats.org/officeDocument/2006/relationships/image" Target="media/image138.png"/><Relationship Id="rId5" Type="http://schemas.openxmlformats.org/officeDocument/2006/relationships/settings" Target="settings.xml"/><Relationship Id="rId95" Type="http://schemas.openxmlformats.org/officeDocument/2006/relationships/image" Target="media/image84.png"/><Relationship Id="rId160" Type="http://schemas.openxmlformats.org/officeDocument/2006/relationships/image" Target="media/image149.png"/><Relationship Id="rId181" Type="http://schemas.openxmlformats.org/officeDocument/2006/relationships/image" Target="media/image170.png"/><Relationship Id="rId216" Type="http://schemas.openxmlformats.org/officeDocument/2006/relationships/image" Target="media/image205.png"/><Relationship Id="rId237" Type="http://schemas.openxmlformats.org/officeDocument/2006/relationships/image" Target="media/image226.png"/><Relationship Id="rId258" Type="http://schemas.openxmlformats.org/officeDocument/2006/relationships/image" Target="media/image247.png"/><Relationship Id="rId279" Type="http://schemas.openxmlformats.org/officeDocument/2006/relationships/image" Target="media/image268.png"/><Relationship Id="rId22" Type="http://schemas.openxmlformats.org/officeDocument/2006/relationships/image" Target="media/image13.png"/><Relationship Id="rId43" Type="http://schemas.openxmlformats.org/officeDocument/2006/relationships/image" Target="media/image32.png"/><Relationship Id="rId64" Type="http://schemas.openxmlformats.org/officeDocument/2006/relationships/image" Target="media/image53.png"/><Relationship Id="rId118" Type="http://schemas.openxmlformats.org/officeDocument/2006/relationships/image" Target="media/image107.png"/><Relationship Id="rId139" Type="http://schemas.openxmlformats.org/officeDocument/2006/relationships/image" Target="media/image128.wmf"/><Relationship Id="rId290" Type="http://schemas.openxmlformats.org/officeDocument/2006/relationships/image" Target="media/image279.png"/><Relationship Id="rId304" Type="http://schemas.openxmlformats.org/officeDocument/2006/relationships/image" Target="media/image293.png"/><Relationship Id="rId85" Type="http://schemas.openxmlformats.org/officeDocument/2006/relationships/image" Target="media/image74.png"/><Relationship Id="rId150" Type="http://schemas.openxmlformats.org/officeDocument/2006/relationships/image" Target="media/image139.png"/><Relationship Id="rId171" Type="http://schemas.openxmlformats.org/officeDocument/2006/relationships/image" Target="media/image160.png"/><Relationship Id="rId192" Type="http://schemas.openxmlformats.org/officeDocument/2006/relationships/image" Target="media/image181.png"/><Relationship Id="rId206" Type="http://schemas.openxmlformats.org/officeDocument/2006/relationships/image" Target="media/image195.png"/><Relationship Id="rId227" Type="http://schemas.openxmlformats.org/officeDocument/2006/relationships/image" Target="media/image216.png"/><Relationship Id="rId248" Type="http://schemas.openxmlformats.org/officeDocument/2006/relationships/image" Target="media/image237.wmf"/><Relationship Id="rId269" Type="http://schemas.openxmlformats.org/officeDocument/2006/relationships/image" Target="media/image258.png"/><Relationship Id="rId12" Type="http://schemas.openxmlformats.org/officeDocument/2006/relationships/image" Target="media/image3.png"/><Relationship Id="rId33" Type="http://schemas.openxmlformats.org/officeDocument/2006/relationships/image" Target="media/image22.png"/><Relationship Id="rId108" Type="http://schemas.openxmlformats.org/officeDocument/2006/relationships/image" Target="media/image97.png"/><Relationship Id="rId129" Type="http://schemas.openxmlformats.org/officeDocument/2006/relationships/image" Target="media/image118.png"/><Relationship Id="rId280" Type="http://schemas.openxmlformats.org/officeDocument/2006/relationships/image" Target="media/image269.wmf"/><Relationship Id="rId54" Type="http://schemas.openxmlformats.org/officeDocument/2006/relationships/image" Target="media/image43.png"/><Relationship Id="rId75" Type="http://schemas.openxmlformats.org/officeDocument/2006/relationships/image" Target="media/image64.png"/><Relationship Id="rId96" Type="http://schemas.openxmlformats.org/officeDocument/2006/relationships/image" Target="media/image85.png"/><Relationship Id="rId140" Type="http://schemas.openxmlformats.org/officeDocument/2006/relationships/image" Target="media/image129.wmf"/><Relationship Id="rId161" Type="http://schemas.openxmlformats.org/officeDocument/2006/relationships/image" Target="media/image150.png"/><Relationship Id="rId182" Type="http://schemas.openxmlformats.org/officeDocument/2006/relationships/image" Target="media/image171.png"/><Relationship Id="rId217" Type="http://schemas.openxmlformats.org/officeDocument/2006/relationships/image" Target="media/image206.png"/><Relationship Id="rId6" Type="http://schemas.openxmlformats.org/officeDocument/2006/relationships/webSettings" Target="webSettings.xml"/><Relationship Id="rId238" Type="http://schemas.openxmlformats.org/officeDocument/2006/relationships/image" Target="media/image227.png"/><Relationship Id="rId259" Type="http://schemas.openxmlformats.org/officeDocument/2006/relationships/image" Target="media/image248.png"/><Relationship Id="rId23" Type="http://schemas.openxmlformats.org/officeDocument/2006/relationships/image" Target="media/image14.png"/><Relationship Id="rId119" Type="http://schemas.openxmlformats.org/officeDocument/2006/relationships/image" Target="media/image108.png"/><Relationship Id="rId270" Type="http://schemas.openxmlformats.org/officeDocument/2006/relationships/image" Target="media/image259.png"/><Relationship Id="rId291" Type="http://schemas.openxmlformats.org/officeDocument/2006/relationships/image" Target="media/image280.png"/><Relationship Id="rId305" Type="http://schemas.openxmlformats.org/officeDocument/2006/relationships/image" Target="media/image294.png"/><Relationship Id="rId44" Type="http://schemas.openxmlformats.org/officeDocument/2006/relationships/image" Target="media/image33.png"/><Relationship Id="rId65" Type="http://schemas.openxmlformats.org/officeDocument/2006/relationships/image" Target="media/image54.png"/><Relationship Id="rId86" Type="http://schemas.openxmlformats.org/officeDocument/2006/relationships/image" Target="media/image75.wmf"/><Relationship Id="rId130" Type="http://schemas.openxmlformats.org/officeDocument/2006/relationships/image" Target="media/image119.png"/><Relationship Id="rId151" Type="http://schemas.openxmlformats.org/officeDocument/2006/relationships/image" Target="media/image140.png"/><Relationship Id="rId172" Type="http://schemas.openxmlformats.org/officeDocument/2006/relationships/image" Target="media/image161.png"/><Relationship Id="rId193" Type="http://schemas.openxmlformats.org/officeDocument/2006/relationships/image" Target="media/image182.png"/><Relationship Id="rId207" Type="http://schemas.openxmlformats.org/officeDocument/2006/relationships/image" Target="media/image196.png"/><Relationship Id="rId228" Type="http://schemas.openxmlformats.org/officeDocument/2006/relationships/image" Target="media/image217.wmf"/><Relationship Id="rId249" Type="http://schemas.openxmlformats.org/officeDocument/2006/relationships/image" Target="media/image238.png"/><Relationship Id="rId13" Type="http://schemas.openxmlformats.org/officeDocument/2006/relationships/image" Target="media/image4.png"/><Relationship Id="rId109" Type="http://schemas.openxmlformats.org/officeDocument/2006/relationships/image" Target="media/image98.png"/><Relationship Id="rId260" Type="http://schemas.openxmlformats.org/officeDocument/2006/relationships/image" Target="media/image249.png"/><Relationship Id="rId281" Type="http://schemas.openxmlformats.org/officeDocument/2006/relationships/image" Target="media/image270.wmf"/><Relationship Id="rId34" Type="http://schemas.openxmlformats.org/officeDocument/2006/relationships/image" Target="media/image23.png"/><Relationship Id="rId55" Type="http://schemas.openxmlformats.org/officeDocument/2006/relationships/image" Target="media/image44.png"/><Relationship Id="rId76" Type="http://schemas.openxmlformats.org/officeDocument/2006/relationships/image" Target="media/image65.png"/><Relationship Id="rId97" Type="http://schemas.openxmlformats.org/officeDocument/2006/relationships/image" Target="media/image86.png"/><Relationship Id="rId120" Type="http://schemas.openxmlformats.org/officeDocument/2006/relationships/image" Target="media/image109.png"/><Relationship Id="rId141" Type="http://schemas.openxmlformats.org/officeDocument/2006/relationships/image" Target="media/image130.png"/><Relationship Id="rId7" Type="http://schemas.openxmlformats.org/officeDocument/2006/relationships/footnotes" Target="footnotes.xml"/><Relationship Id="rId162" Type="http://schemas.openxmlformats.org/officeDocument/2006/relationships/image" Target="media/image151.png"/><Relationship Id="rId183" Type="http://schemas.openxmlformats.org/officeDocument/2006/relationships/image" Target="media/image172.png"/><Relationship Id="rId218" Type="http://schemas.openxmlformats.org/officeDocument/2006/relationships/image" Target="media/image207.png"/><Relationship Id="rId239" Type="http://schemas.openxmlformats.org/officeDocument/2006/relationships/image" Target="media/image228.png"/><Relationship Id="rId250" Type="http://schemas.openxmlformats.org/officeDocument/2006/relationships/image" Target="media/image239.png"/><Relationship Id="rId271" Type="http://schemas.openxmlformats.org/officeDocument/2006/relationships/image" Target="media/image260.png"/><Relationship Id="rId292" Type="http://schemas.openxmlformats.org/officeDocument/2006/relationships/image" Target="media/image281.png"/><Relationship Id="rId306" Type="http://schemas.openxmlformats.org/officeDocument/2006/relationships/image" Target="media/image295.png"/><Relationship Id="rId24" Type="http://schemas.openxmlformats.org/officeDocument/2006/relationships/chart" Target="charts/chart1.xml"/><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5.png"/><Relationship Id="rId87" Type="http://schemas.openxmlformats.org/officeDocument/2006/relationships/image" Target="media/image76.wmf"/><Relationship Id="rId110" Type="http://schemas.openxmlformats.org/officeDocument/2006/relationships/image" Target="media/image99.png"/><Relationship Id="rId115" Type="http://schemas.openxmlformats.org/officeDocument/2006/relationships/image" Target="media/image104.wmf"/><Relationship Id="rId131" Type="http://schemas.openxmlformats.org/officeDocument/2006/relationships/image" Target="media/image120.png"/><Relationship Id="rId136" Type="http://schemas.openxmlformats.org/officeDocument/2006/relationships/image" Target="media/image125.png"/><Relationship Id="rId157" Type="http://schemas.openxmlformats.org/officeDocument/2006/relationships/image" Target="media/image146.png"/><Relationship Id="rId178" Type="http://schemas.openxmlformats.org/officeDocument/2006/relationships/image" Target="media/image167.png"/><Relationship Id="rId301" Type="http://schemas.openxmlformats.org/officeDocument/2006/relationships/image" Target="media/image290.png"/><Relationship Id="rId61" Type="http://schemas.openxmlformats.org/officeDocument/2006/relationships/image" Target="media/image50.png"/><Relationship Id="rId82" Type="http://schemas.openxmlformats.org/officeDocument/2006/relationships/image" Target="media/image71.png"/><Relationship Id="rId152" Type="http://schemas.openxmlformats.org/officeDocument/2006/relationships/image" Target="media/image141.png"/><Relationship Id="rId173" Type="http://schemas.openxmlformats.org/officeDocument/2006/relationships/image" Target="media/image162.png"/><Relationship Id="rId194" Type="http://schemas.openxmlformats.org/officeDocument/2006/relationships/image" Target="media/image183.png"/><Relationship Id="rId199" Type="http://schemas.openxmlformats.org/officeDocument/2006/relationships/image" Target="media/image188.png"/><Relationship Id="rId203" Type="http://schemas.openxmlformats.org/officeDocument/2006/relationships/image" Target="media/image192.wmf"/><Relationship Id="rId208" Type="http://schemas.openxmlformats.org/officeDocument/2006/relationships/image" Target="media/image197.png"/><Relationship Id="rId229" Type="http://schemas.openxmlformats.org/officeDocument/2006/relationships/image" Target="media/image218.wmf"/><Relationship Id="rId19" Type="http://schemas.openxmlformats.org/officeDocument/2006/relationships/image" Target="media/image10.jpeg"/><Relationship Id="rId224" Type="http://schemas.openxmlformats.org/officeDocument/2006/relationships/image" Target="media/image213.wmf"/><Relationship Id="rId240" Type="http://schemas.openxmlformats.org/officeDocument/2006/relationships/image" Target="media/image229.png"/><Relationship Id="rId245" Type="http://schemas.openxmlformats.org/officeDocument/2006/relationships/image" Target="media/image234.png"/><Relationship Id="rId261" Type="http://schemas.openxmlformats.org/officeDocument/2006/relationships/image" Target="media/image250.wmf"/><Relationship Id="rId266" Type="http://schemas.openxmlformats.org/officeDocument/2006/relationships/image" Target="media/image255.png"/><Relationship Id="rId287" Type="http://schemas.openxmlformats.org/officeDocument/2006/relationships/image" Target="media/image276.png"/><Relationship Id="rId14" Type="http://schemas.openxmlformats.org/officeDocument/2006/relationships/image" Target="media/image5.jpeg"/><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image" Target="media/image45.png"/><Relationship Id="rId77" Type="http://schemas.openxmlformats.org/officeDocument/2006/relationships/image" Target="media/image66.png"/><Relationship Id="rId100" Type="http://schemas.openxmlformats.org/officeDocument/2006/relationships/image" Target="media/image89.png"/><Relationship Id="rId105" Type="http://schemas.openxmlformats.org/officeDocument/2006/relationships/image" Target="media/image94.png"/><Relationship Id="rId126" Type="http://schemas.openxmlformats.org/officeDocument/2006/relationships/image" Target="media/image115.png"/><Relationship Id="rId147" Type="http://schemas.openxmlformats.org/officeDocument/2006/relationships/image" Target="media/image136.png"/><Relationship Id="rId168" Type="http://schemas.openxmlformats.org/officeDocument/2006/relationships/image" Target="media/image157.wmf"/><Relationship Id="rId282" Type="http://schemas.openxmlformats.org/officeDocument/2006/relationships/image" Target="media/image271.png"/><Relationship Id="rId8" Type="http://schemas.openxmlformats.org/officeDocument/2006/relationships/endnotes" Target="endnotes.xml"/><Relationship Id="rId51" Type="http://schemas.openxmlformats.org/officeDocument/2006/relationships/image" Target="media/image40.png"/><Relationship Id="rId72" Type="http://schemas.openxmlformats.org/officeDocument/2006/relationships/image" Target="media/image61.png"/><Relationship Id="rId93" Type="http://schemas.openxmlformats.org/officeDocument/2006/relationships/image" Target="media/image82.png"/><Relationship Id="rId98" Type="http://schemas.openxmlformats.org/officeDocument/2006/relationships/image" Target="media/image87.png"/><Relationship Id="rId121" Type="http://schemas.openxmlformats.org/officeDocument/2006/relationships/image" Target="media/image110.png"/><Relationship Id="rId142" Type="http://schemas.openxmlformats.org/officeDocument/2006/relationships/image" Target="media/image131.png"/><Relationship Id="rId163" Type="http://schemas.openxmlformats.org/officeDocument/2006/relationships/image" Target="media/image152.png"/><Relationship Id="rId184" Type="http://schemas.openxmlformats.org/officeDocument/2006/relationships/image" Target="media/image173.png"/><Relationship Id="rId189" Type="http://schemas.openxmlformats.org/officeDocument/2006/relationships/image" Target="media/image178.png"/><Relationship Id="rId219" Type="http://schemas.openxmlformats.org/officeDocument/2006/relationships/image" Target="media/image208.png"/><Relationship Id="rId3" Type="http://schemas.openxmlformats.org/officeDocument/2006/relationships/numbering" Target="numbering.xml"/><Relationship Id="rId214" Type="http://schemas.openxmlformats.org/officeDocument/2006/relationships/image" Target="media/image203.png"/><Relationship Id="rId230" Type="http://schemas.openxmlformats.org/officeDocument/2006/relationships/image" Target="media/image219.png"/><Relationship Id="rId235" Type="http://schemas.openxmlformats.org/officeDocument/2006/relationships/image" Target="media/image224.png"/><Relationship Id="rId251" Type="http://schemas.openxmlformats.org/officeDocument/2006/relationships/image" Target="media/image240.png"/><Relationship Id="rId256" Type="http://schemas.openxmlformats.org/officeDocument/2006/relationships/image" Target="media/image245.png"/><Relationship Id="rId277" Type="http://schemas.openxmlformats.org/officeDocument/2006/relationships/image" Target="media/image266.png"/><Relationship Id="rId298" Type="http://schemas.openxmlformats.org/officeDocument/2006/relationships/image" Target="media/image287.png"/><Relationship Id="rId25" Type="http://schemas.openxmlformats.org/officeDocument/2006/relationships/chart" Target="charts/chart2.xml"/><Relationship Id="rId46" Type="http://schemas.openxmlformats.org/officeDocument/2006/relationships/image" Target="media/image35.png"/><Relationship Id="rId67" Type="http://schemas.openxmlformats.org/officeDocument/2006/relationships/image" Target="media/image56.png"/><Relationship Id="rId116" Type="http://schemas.openxmlformats.org/officeDocument/2006/relationships/image" Target="media/image105.wmf"/><Relationship Id="rId137" Type="http://schemas.openxmlformats.org/officeDocument/2006/relationships/image" Target="media/image126.png"/><Relationship Id="rId158" Type="http://schemas.openxmlformats.org/officeDocument/2006/relationships/image" Target="media/image147.png"/><Relationship Id="rId272" Type="http://schemas.openxmlformats.org/officeDocument/2006/relationships/image" Target="media/image261.png"/><Relationship Id="rId293" Type="http://schemas.openxmlformats.org/officeDocument/2006/relationships/image" Target="media/image282.png"/><Relationship Id="rId302" Type="http://schemas.openxmlformats.org/officeDocument/2006/relationships/image" Target="media/image291.png"/><Relationship Id="rId307" Type="http://schemas.openxmlformats.org/officeDocument/2006/relationships/image" Target="media/image296.png"/><Relationship Id="rId20" Type="http://schemas.openxmlformats.org/officeDocument/2006/relationships/image" Target="media/image11.jpeg"/><Relationship Id="rId41" Type="http://schemas.openxmlformats.org/officeDocument/2006/relationships/image" Target="media/image30.png"/><Relationship Id="rId62" Type="http://schemas.openxmlformats.org/officeDocument/2006/relationships/image" Target="media/image51.wmf"/><Relationship Id="rId83" Type="http://schemas.openxmlformats.org/officeDocument/2006/relationships/image" Target="media/image72.png"/><Relationship Id="rId88" Type="http://schemas.openxmlformats.org/officeDocument/2006/relationships/image" Target="media/image77.png"/><Relationship Id="rId111" Type="http://schemas.openxmlformats.org/officeDocument/2006/relationships/image" Target="media/image100.png"/><Relationship Id="rId132" Type="http://schemas.openxmlformats.org/officeDocument/2006/relationships/image" Target="media/image121.png"/><Relationship Id="rId153" Type="http://schemas.openxmlformats.org/officeDocument/2006/relationships/image" Target="media/image142.png"/><Relationship Id="rId174" Type="http://schemas.openxmlformats.org/officeDocument/2006/relationships/image" Target="media/image163.png"/><Relationship Id="rId179" Type="http://schemas.openxmlformats.org/officeDocument/2006/relationships/image" Target="media/image168.png"/><Relationship Id="rId195" Type="http://schemas.openxmlformats.org/officeDocument/2006/relationships/image" Target="media/image184.png"/><Relationship Id="rId209" Type="http://schemas.openxmlformats.org/officeDocument/2006/relationships/image" Target="media/image198.png"/><Relationship Id="rId190" Type="http://schemas.openxmlformats.org/officeDocument/2006/relationships/image" Target="media/image179.png"/><Relationship Id="rId204" Type="http://schemas.openxmlformats.org/officeDocument/2006/relationships/image" Target="media/image193.png"/><Relationship Id="rId220" Type="http://schemas.openxmlformats.org/officeDocument/2006/relationships/image" Target="media/image209.png"/><Relationship Id="rId225" Type="http://schemas.openxmlformats.org/officeDocument/2006/relationships/image" Target="media/image214.wmf"/><Relationship Id="rId241" Type="http://schemas.openxmlformats.org/officeDocument/2006/relationships/image" Target="media/image230.png"/><Relationship Id="rId246" Type="http://schemas.openxmlformats.org/officeDocument/2006/relationships/image" Target="media/image235.png"/><Relationship Id="rId267" Type="http://schemas.openxmlformats.org/officeDocument/2006/relationships/image" Target="media/image256.png"/><Relationship Id="rId288" Type="http://schemas.openxmlformats.org/officeDocument/2006/relationships/image" Target="media/image277.png"/><Relationship Id="rId15" Type="http://schemas.openxmlformats.org/officeDocument/2006/relationships/image" Target="media/image6.jpeg"/><Relationship Id="rId36" Type="http://schemas.openxmlformats.org/officeDocument/2006/relationships/image" Target="media/image25.png"/><Relationship Id="rId57" Type="http://schemas.openxmlformats.org/officeDocument/2006/relationships/image" Target="media/image46.png"/><Relationship Id="rId106" Type="http://schemas.openxmlformats.org/officeDocument/2006/relationships/image" Target="media/image95.png"/><Relationship Id="rId127" Type="http://schemas.openxmlformats.org/officeDocument/2006/relationships/image" Target="media/image116.png"/><Relationship Id="rId262" Type="http://schemas.openxmlformats.org/officeDocument/2006/relationships/image" Target="media/image251.wmf"/><Relationship Id="rId283" Type="http://schemas.openxmlformats.org/officeDocument/2006/relationships/image" Target="media/image272.png"/><Relationship Id="rId10" Type="http://schemas.openxmlformats.org/officeDocument/2006/relationships/oleObject" Target="embeddings/oleObject1.bin"/><Relationship Id="rId31" Type="http://schemas.openxmlformats.org/officeDocument/2006/relationships/image" Target="media/image20.png"/><Relationship Id="rId52" Type="http://schemas.openxmlformats.org/officeDocument/2006/relationships/image" Target="media/image41.png"/><Relationship Id="rId73" Type="http://schemas.openxmlformats.org/officeDocument/2006/relationships/image" Target="media/image62.png"/><Relationship Id="rId78" Type="http://schemas.openxmlformats.org/officeDocument/2006/relationships/image" Target="media/image67.png"/><Relationship Id="rId94" Type="http://schemas.openxmlformats.org/officeDocument/2006/relationships/image" Target="media/image83.png"/><Relationship Id="rId99" Type="http://schemas.openxmlformats.org/officeDocument/2006/relationships/image" Target="media/image88.png"/><Relationship Id="rId101" Type="http://schemas.openxmlformats.org/officeDocument/2006/relationships/image" Target="media/image90.png"/><Relationship Id="rId122" Type="http://schemas.openxmlformats.org/officeDocument/2006/relationships/image" Target="media/image111.png"/><Relationship Id="rId143" Type="http://schemas.openxmlformats.org/officeDocument/2006/relationships/image" Target="media/image132.png"/><Relationship Id="rId148" Type="http://schemas.openxmlformats.org/officeDocument/2006/relationships/image" Target="media/image137.png"/><Relationship Id="rId164" Type="http://schemas.openxmlformats.org/officeDocument/2006/relationships/image" Target="media/image153.png"/><Relationship Id="rId169" Type="http://schemas.openxmlformats.org/officeDocument/2006/relationships/image" Target="media/image158.wmf"/><Relationship Id="rId185" Type="http://schemas.openxmlformats.org/officeDocument/2006/relationships/image" Target="media/image174.png"/><Relationship Id="rId4" Type="http://schemas.openxmlformats.org/officeDocument/2006/relationships/styles" Target="styles.xml"/><Relationship Id="rId9" Type="http://schemas.openxmlformats.org/officeDocument/2006/relationships/image" Target="media/image1.emf"/><Relationship Id="rId180" Type="http://schemas.openxmlformats.org/officeDocument/2006/relationships/image" Target="media/image169.png"/><Relationship Id="rId210" Type="http://schemas.openxmlformats.org/officeDocument/2006/relationships/image" Target="media/image199.png"/><Relationship Id="rId215" Type="http://schemas.openxmlformats.org/officeDocument/2006/relationships/image" Target="media/image204.png"/><Relationship Id="rId236" Type="http://schemas.openxmlformats.org/officeDocument/2006/relationships/image" Target="media/image225.png"/><Relationship Id="rId257" Type="http://schemas.openxmlformats.org/officeDocument/2006/relationships/image" Target="media/image246.png"/><Relationship Id="rId278" Type="http://schemas.openxmlformats.org/officeDocument/2006/relationships/image" Target="media/image267.png"/><Relationship Id="rId26" Type="http://schemas.openxmlformats.org/officeDocument/2006/relationships/image" Target="media/image15.png"/><Relationship Id="rId231" Type="http://schemas.openxmlformats.org/officeDocument/2006/relationships/image" Target="media/image220.png"/><Relationship Id="rId252" Type="http://schemas.openxmlformats.org/officeDocument/2006/relationships/image" Target="media/image241.png"/><Relationship Id="rId273" Type="http://schemas.openxmlformats.org/officeDocument/2006/relationships/image" Target="media/image262.png"/><Relationship Id="rId294" Type="http://schemas.openxmlformats.org/officeDocument/2006/relationships/image" Target="media/image283.png"/><Relationship Id="rId308" Type="http://schemas.openxmlformats.org/officeDocument/2006/relationships/footer" Target="footer1.xml"/><Relationship Id="rId47" Type="http://schemas.openxmlformats.org/officeDocument/2006/relationships/image" Target="media/image36.png"/><Relationship Id="rId68" Type="http://schemas.openxmlformats.org/officeDocument/2006/relationships/image" Target="media/image57.png"/><Relationship Id="rId89" Type="http://schemas.openxmlformats.org/officeDocument/2006/relationships/image" Target="media/image78.png"/><Relationship Id="rId112" Type="http://schemas.openxmlformats.org/officeDocument/2006/relationships/image" Target="media/image101.png"/><Relationship Id="rId133" Type="http://schemas.openxmlformats.org/officeDocument/2006/relationships/image" Target="media/image122.png"/><Relationship Id="rId154" Type="http://schemas.openxmlformats.org/officeDocument/2006/relationships/image" Target="media/image143.png"/><Relationship Id="rId175" Type="http://schemas.openxmlformats.org/officeDocument/2006/relationships/image" Target="media/image164.png"/><Relationship Id="rId196" Type="http://schemas.openxmlformats.org/officeDocument/2006/relationships/image" Target="media/image185.png"/><Relationship Id="rId200" Type="http://schemas.openxmlformats.org/officeDocument/2006/relationships/image" Target="media/image189.png"/><Relationship Id="rId16" Type="http://schemas.openxmlformats.org/officeDocument/2006/relationships/image" Target="media/image7.png"/><Relationship Id="rId221" Type="http://schemas.openxmlformats.org/officeDocument/2006/relationships/image" Target="media/image210.png"/><Relationship Id="rId242" Type="http://schemas.openxmlformats.org/officeDocument/2006/relationships/image" Target="media/image231.png"/><Relationship Id="rId263" Type="http://schemas.openxmlformats.org/officeDocument/2006/relationships/image" Target="media/image252.png"/><Relationship Id="rId284" Type="http://schemas.openxmlformats.org/officeDocument/2006/relationships/image" Target="media/image273.png"/><Relationship Id="rId37" Type="http://schemas.openxmlformats.org/officeDocument/2006/relationships/image" Target="media/image26.png"/><Relationship Id="rId58" Type="http://schemas.openxmlformats.org/officeDocument/2006/relationships/image" Target="media/image47.png"/><Relationship Id="rId79" Type="http://schemas.openxmlformats.org/officeDocument/2006/relationships/image" Target="media/image68.png"/><Relationship Id="rId102" Type="http://schemas.openxmlformats.org/officeDocument/2006/relationships/image" Target="media/image91.png"/><Relationship Id="rId123" Type="http://schemas.openxmlformats.org/officeDocument/2006/relationships/image" Target="media/image112.png"/><Relationship Id="rId144" Type="http://schemas.openxmlformats.org/officeDocument/2006/relationships/image" Target="media/image133.png"/><Relationship Id="rId90" Type="http://schemas.openxmlformats.org/officeDocument/2006/relationships/image" Target="media/image79.png"/><Relationship Id="rId165" Type="http://schemas.openxmlformats.org/officeDocument/2006/relationships/image" Target="media/image154.png"/><Relationship Id="rId186" Type="http://schemas.openxmlformats.org/officeDocument/2006/relationships/image" Target="media/image175.png"/><Relationship Id="rId211" Type="http://schemas.openxmlformats.org/officeDocument/2006/relationships/image" Target="media/image200.png"/><Relationship Id="rId232" Type="http://schemas.openxmlformats.org/officeDocument/2006/relationships/image" Target="media/image221.png"/><Relationship Id="rId253" Type="http://schemas.openxmlformats.org/officeDocument/2006/relationships/image" Target="media/image242.png"/><Relationship Id="rId274" Type="http://schemas.openxmlformats.org/officeDocument/2006/relationships/image" Target="media/image263.wmf"/><Relationship Id="rId295" Type="http://schemas.openxmlformats.org/officeDocument/2006/relationships/image" Target="media/image284.png"/><Relationship Id="rId309" Type="http://schemas.openxmlformats.org/officeDocument/2006/relationships/fontTable" Target="fontTable.xml"/><Relationship Id="rId27" Type="http://schemas.openxmlformats.org/officeDocument/2006/relationships/image" Target="media/image16.png"/><Relationship Id="rId48" Type="http://schemas.openxmlformats.org/officeDocument/2006/relationships/image" Target="media/image37.png"/><Relationship Id="rId69" Type="http://schemas.openxmlformats.org/officeDocument/2006/relationships/image" Target="media/image58.png"/><Relationship Id="rId113" Type="http://schemas.openxmlformats.org/officeDocument/2006/relationships/image" Target="media/image102.png"/><Relationship Id="rId134" Type="http://schemas.openxmlformats.org/officeDocument/2006/relationships/image" Target="media/image123.png"/><Relationship Id="rId80" Type="http://schemas.openxmlformats.org/officeDocument/2006/relationships/image" Target="media/image69.png"/><Relationship Id="rId155" Type="http://schemas.openxmlformats.org/officeDocument/2006/relationships/image" Target="media/image144.png"/><Relationship Id="rId176" Type="http://schemas.openxmlformats.org/officeDocument/2006/relationships/image" Target="media/image165.png"/><Relationship Id="rId197" Type="http://schemas.openxmlformats.org/officeDocument/2006/relationships/image" Target="media/image186.png"/><Relationship Id="rId201" Type="http://schemas.openxmlformats.org/officeDocument/2006/relationships/image" Target="media/image190.png"/><Relationship Id="rId222" Type="http://schemas.openxmlformats.org/officeDocument/2006/relationships/image" Target="media/image211.png"/><Relationship Id="rId243" Type="http://schemas.openxmlformats.org/officeDocument/2006/relationships/image" Target="media/image232.png"/><Relationship Id="rId264" Type="http://schemas.openxmlformats.org/officeDocument/2006/relationships/image" Target="media/image253.png"/><Relationship Id="rId285" Type="http://schemas.openxmlformats.org/officeDocument/2006/relationships/image" Target="media/image274.png"/><Relationship Id="rId17" Type="http://schemas.openxmlformats.org/officeDocument/2006/relationships/image" Target="media/image8.png"/><Relationship Id="rId38" Type="http://schemas.openxmlformats.org/officeDocument/2006/relationships/image" Target="media/image27.png"/><Relationship Id="rId59" Type="http://schemas.openxmlformats.org/officeDocument/2006/relationships/image" Target="media/image48.png"/><Relationship Id="rId103" Type="http://schemas.openxmlformats.org/officeDocument/2006/relationships/image" Target="media/image92.png"/><Relationship Id="rId124" Type="http://schemas.openxmlformats.org/officeDocument/2006/relationships/image" Target="media/image113.png"/><Relationship Id="rId310" Type="http://schemas.openxmlformats.org/officeDocument/2006/relationships/theme" Target="theme/theme1.xml"/><Relationship Id="rId70" Type="http://schemas.openxmlformats.org/officeDocument/2006/relationships/image" Target="media/image59.png"/><Relationship Id="rId91" Type="http://schemas.openxmlformats.org/officeDocument/2006/relationships/image" Target="media/image80.png"/><Relationship Id="rId145" Type="http://schemas.openxmlformats.org/officeDocument/2006/relationships/image" Target="media/image134.png"/><Relationship Id="rId166" Type="http://schemas.openxmlformats.org/officeDocument/2006/relationships/image" Target="media/image155.png"/><Relationship Id="rId187" Type="http://schemas.openxmlformats.org/officeDocument/2006/relationships/image" Target="media/image176.png"/><Relationship Id="rId1" Type="http://schemas.openxmlformats.org/officeDocument/2006/relationships/customXml" Target="../customXml/item1.xml"/><Relationship Id="rId212" Type="http://schemas.openxmlformats.org/officeDocument/2006/relationships/image" Target="media/image201.png"/><Relationship Id="rId233" Type="http://schemas.openxmlformats.org/officeDocument/2006/relationships/image" Target="media/image222.png"/><Relationship Id="rId254" Type="http://schemas.openxmlformats.org/officeDocument/2006/relationships/image" Target="media/image243.png"/><Relationship Id="rId28" Type="http://schemas.openxmlformats.org/officeDocument/2006/relationships/image" Target="media/image17.wmf"/><Relationship Id="rId49" Type="http://schemas.openxmlformats.org/officeDocument/2006/relationships/image" Target="media/image38.png"/><Relationship Id="rId114" Type="http://schemas.openxmlformats.org/officeDocument/2006/relationships/image" Target="media/image103.png"/><Relationship Id="rId275" Type="http://schemas.openxmlformats.org/officeDocument/2006/relationships/image" Target="media/image264.wmf"/><Relationship Id="rId296" Type="http://schemas.openxmlformats.org/officeDocument/2006/relationships/image" Target="media/image285.png"/><Relationship Id="rId300" Type="http://schemas.openxmlformats.org/officeDocument/2006/relationships/image" Target="media/image289.png"/><Relationship Id="rId60" Type="http://schemas.openxmlformats.org/officeDocument/2006/relationships/image" Target="media/image49.png"/><Relationship Id="rId81" Type="http://schemas.openxmlformats.org/officeDocument/2006/relationships/image" Target="media/image70.png"/><Relationship Id="rId135" Type="http://schemas.openxmlformats.org/officeDocument/2006/relationships/image" Target="media/image124.png"/><Relationship Id="rId156" Type="http://schemas.openxmlformats.org/officeDocument/2006/relationships/image" Target="media/image145.png"/><Relationship Id="rId177" Type="http://schemas.openxmlformats.org/officeDocument/2006/relationships/image" Target="media/image166.png"/><Relationship Id="rId198" Type="http://schemas.openxmlformats.org/officeDocument/2006/relationships/image" Target="media/image187.png"/><Relationship Id="rId202" Type="http://schemas.openxmlformats.org/officeDocument/2006/relationships/image" Target="media/image191.wmf"/><Relationship Id="rId223" Type="http://schemas.openxmlformats.org/officeDocument/2006/relationships/image" Target="media/image212.png"/><Relationship Id="rId244" Type="http://schemas.openxmlformats.org/officeDocument/2006/relationships/image" Target="media/image233.png"/><Relationship Id="rId18" Type="http://schemas.openxmlformats.org/officeDocument/2006/relationships/image" Target="media/image9.jpeg"/><Relationship Id="rId39" Type="http://schemas.openxmlformats.org/officeDocument/2006/relationships/image" Target="media/image28.png"/><Relationship Id="rId265" Type="http://schemas.openxmlformats.org/officeDocument/2006/relationships/image" Target="media/image254.png"/><Relationship Id="rId286" Type="http://schemas.openxmlformats.org/officeDocument/2006/relationships/image" Target="media/image275.png"/><Relationship Id="rId50" Type="http://schemas.openxmlformats.org/officeDocument/2006/relationships/image" Target="media/image39.png"/><Relationship Id="rId104" Type="http://schemas.openxmlformats.org/officeDocument/2006/relationships/image" Target="media/image93.png"/><Relationship Id="rId125" Type="http://schemas.openxmlformats.org/officeDocument/2006/relationships/image" Target="media/image114.png"/><Relationship Id="rId146" Type="http://schemas.openxmlformats.org/officeDocument/2006/relationships/image" Target="media/image135.png"/><Relationship Id="rId167" Type="http://schemas.openxmlformats.org/officeDocument/2006/relationships/image" Target="media/image156.png"/><Relationship Id="rId188" Type="http://schemas.openxmlformats.org/officeDocument/2006/relationships/image" Target="media/image177.png"/><Relationship Id="rId71" Type="http://schemas.openxmlformats.org/officeDocument/2006/relationships/image" Target="media/image60.png"/><Relationship Id="rId92" Type="http://schemas.openxmlformats.org/officeDocument/2006/relationships/image" Target="media/image81.png"/><Relationship Id="rId213" Type="http://schemas.openxmlformats.org/officeDocument/2006/relationships/image" Target="media/image202.png"/><Relationship Id="rId234" Type="http://schemas.openxmlformats.org/officeDocument/2006/relationships/image" Target="media/image223.png"/><Relationship Id="rId2" Type="http://schemas.openxmlformats.org/officeDocument/2006/relationships/customXml" Target="../customXml/item2.xml"/><Relationship Id="rId29" Type="http://schemas.openxmlformats.org/officeDocument/2006/relationships/image" Target="media/image18.wmf"/><Relationship Id="rId255" Type="http://schemas.openxmlformats.org/officeDocument/2006/relationships/image" Target="media/image244.png"/><Relationship Id="rId276" Type="http://schemas.openxmlformats.org/officeDocument/2006/relationships/image" Target="media/image265.png"/><Relationship Id="rId297" Type="http://schemas.openxmlformats.org/officeDocument/2006/relationships/image" Target="media/image286.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Conseiller%20DGCT\Patrick%20Pholsena\FRD\FRD\Rapport%20g&#233;n&#233;ral%20et%20financier%202013\Version%20active%20Tableaux%20de%20calcul%20FRD%202012.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Conseiller%20DGCT\Patrick%20Pholsena\FRD\FRD\Rapport%20g&#233;n&#233;ral%20et%20financier%202013\Version%20active%20Tableaux%20de%20calcul%20FRD%202012.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fr-FR"/>
  <c:chart>
    <c:title>
      <c:tx>
        <c:rich>
          <a:bodyPr/>
          <a:lstStyle/>
          <a:p>
            <a:pPr>
              <a:defRPr sz="1200"/>
            </a:pPr>
            <a:r>
              <a:rPr lang="en-US" sz="1200"/>
              <a:t>Comparaison entre les 3 méthodes de calcul du</a:t>
            </a:r>
            <a:r>
              <a:rPr lang="en-US" sz="1200" baseline="0"/>
              <a:t> taux d'absorption des crédits du FRD 2012</a:t>
            </a:r>
            <a:r>
              <a:rPr lang="en-US" sz="1200"/>
              <a:t> </a:t>
            </a:r>
          </a:p>
        </c:rich>
      </c:tx>
    </c:title>
    <c:plotArea>
      <c:layout/>
      <c:barChart>
        <c:barDir val="col"/>
        <c:grouping val="clustered"/>
        <c:ser>
          <c:idx val="0"/>
          <c:order val="0"/>
          <c:tx>
            <c:strRef>
              <c:f>'Comparaison méthodes'!$B$1</c:f>
              <c:strCache>
                <c:ptCount val="1"/>
                <c:pt idx="0">
                  <c:v>Montant FRD 2012
(Équipement)
(A)</c:v>
                </c:pt>
              </c:strCache>
            </c:strRef>
          </c:tx>
          <c:cat>
            <c:strRef>
              <c:f>'Comparaison méthodes'!$A$2:$A$15</c:f>
              <c:strCache>
                <c:ptCount val="14"/>
                <c:pt idx="0">
                  <c:v>Hodh Echargui</c:v>
                </c:pt>
                <c:pt idx="1">
                  <c:v>Hodh El Gharbi</c:v>
                </c:pt>
                <c:pt idx="2">
                  <c:v>Assaba</c:v>
                </c:pt>
                <c:pt idx="3">
                  <c:v>Gorgol</c:v>
                </c:pt>
                <c:pt idx="4">
                  <c:v>Brakna</c:v>
                </c:pt>
                <c:pt idx="5">
                  <c:v>Trarza</c:v>
                </c:pt>
                <c:pt idx="6">
                  <c:v>Adrar</c:v>
                </c:pt>
                <c:pt idx="7">
                  <c:v>Dakhlet-Nouadhibou</c:v>
                </c:pt>
                <c:pt idx="8">
                  <c:v>Tagant</c:v>
                </c:pt>
                <c:pt idx="9">
                  <c:v>Guidimagha</c:v>
                </c:pt>
                <c:pt idx="10">
                  <c:v>Tiris-Zemmour</c:v>
                </c:pt>
                <c:pt idx="11">
                  <c:v>Inchiri</c:v>
                </c:pt>
                <c:pt idx="12">
                  <c:v>Nouakchott</c:v>
                </c:pt>
                <c:pt idx="13">
                  <c:v>Moyenne nationale</c:v>
                </c:pt>
              </c:strCache>
            </c:strRef>
          </c:cat>
          <c:val>
            <c:numRef>
              <c:f>'Comparaison méthodes'!$B$2:$B$15</c:f>
            </c:numRef>
          </c:val>
        </c:ser>
        <c:ser>
          <c:idx val="1"/>
          <c:order val="1"/>
          <c:tx>
            <c:strRef>
              <c:f>'Comparaison méthodes'!$C$1</c:f>
              <c:strCache>
                <c:ptCount val="1"/>
                <c:pt idx="0">
                  <c:v>Reliquat FRD exercices antérieurs à utiliser en 2012
(B)</c:v>
                </c:pt>
              </c:strCache>
            </c:strRef>
          </c:tx>
          <c:cat>
            <c:strRef>
              <c:f>'Comparaison méthodes'!$A$2:$A$15</c:f>
              <c:strCache>
                <c:ptCount val="14"/>
                <c:pt idx="0">
                  <c:v>Hodh Echargui</c:v>
                </c:pt>
                <c:pt idx="1">
                  <c:v>Hodh El Gharbi</c:v>
                </c:pt>
                <c:pt idx="2">
                  <c:v>Assaba</c:v>
                </c:pt>
                <c:pt idx="3">
                  <c:v>Gorgol</c:v>
                </c:pt>
                <c:pt idx="4">
                  <c:v>Brakna</c:v>
                </c:pt>
                <c:pt idx="5">
                  <c:v>Trarza</c:v>
                </c:pt>
                <c:pt idx="6">
                  <c:v>Adrar</c:v>
                </c:pt>
                <c:pt idx="7">
                  <c:v>Dakhlet-Nouadhibou</c:v>
                </c:pt>
                <c:pt idx="8">
                  <c:v>Tagant</c:v>
                </c:pt>
                <c:pt idx="9">
                  <c:v>Guidimagha</c:v>
                </c:pt>
                <c:pt idx="10">
                  <c:v>Tiris-Zemmour</c:v>
                </c:pt>
                <c:pt idx="11">
                  <c:v>Inchiri</c:v>
                </c:pt>
                <c:pt idx="12">
                  <c:v>Nouakchott</c:v>
                </c:pt>
                <c:pt idx="13">
                  <c:v>Moyenne nationale</c:v>
                </c:pt>
              </c:strCache>
            </c:strRef>
          </c:cat>
          <c:val>
            <c:numRef>
              <c:f>'Comparaison méthodes'!$C$2:$C$15</c:f>
            </c:numRef>
          </c:val>
        </c:ser>
        <c:ser>
          <c:idx val="2"/>
          <c:order val="2"/>
          <c:tx>
            <c:strRef>
              <c:f>'Comparaison méthodes'!$D$1</c:f>
              <c:strCache>
                <c:ptCount val="1"/>
                <c:pt idx="0">
                  <c:v>Montant cumulé des crédits d'équipement disponibles en 2012
(C) = (A) + (B)</c:v>
                </c:pt>
              </c:strCache>
            </c:strRef>
          </c:tx>
          <c:cat>
            <c:strRef>
              <c:f>'Comparaison méthodes'!$A$2:$A$15</c:f>
              <c:strCache>
                <c:ptCount val="14"/>
                <c:pt idx="0">
                  <c:v>Hodh Echargui</c:v>
                </c:pt>
                <c:pt idx="1">
                  <c:v>Hodh El Gharbi</c:v>
                </c:pt>
                <c:pt idx="2">
                  <c:v>Assaba</c:v>
                </c:pt>
                <c:pt idx="3">
                  <c:v>Gorgol</c:v>
                </c:pt>
                <c:pt idx="4">
                  <c:v>Brakna</c:v>
                </c:pt>
                <c:pt idx="5">
                  <c:v>Trarza</c:v>
                </c:pt>
                <c:pt idx="6">
                  <c:v>Adrar</c:v>
                </c:pt>
                <c:pt idx="7">
                  <c:v>Dakhlet-Nouadhibou</c:v>
                </c:pt>
                <c:pt idx="8">
                  <c:v>Tagant</c:v>
                </c:pt>
                <c:pt idx="9">
                  <c:v>Guidimagha</c:v>
                </c:pt>
                <c:pt idx="10">
                  <c:v>Tiris-Zemmour</c:v>
                </c:pt>
                <c:pt idx="11">
                  <c:v>Inchiri</c:v>
                </c:pt>
                <c:pt idx="12">
                  <c:v>Nouakchott</c:v>
                </c:pt>
                <c:pt idx="13">
                  <c:v>Moyenne nationale</c:v>
                </c:pt>
              </c:strCache>
            </c:strRef>
          </c:cat>
          <c:val>
            <c:numRef>
              <c:f>'Comparaison méthodes'!$D$2:$D$15</c:f>
            </c:numRef>
          </c:val>
        </c:ser>
        <c:ser>
          <c:idx val="3"/>
          <c:order val="3"/>
          <c:tx>
            <c:strRef>
              <c:f>'Comparaison méthodes'!$E$1</c:f>
              <c:strCache>
                <c:ptCount val="1"/>
                <c:pt idx="0">
                  <c:v>Montant FRD 2012 engagé
(D)</c:v>
                </c:pt>
              </c:strCache>
            </c:strRef>
          </c:tx>
          <c:cat>
            <c:strRef>
              <c:f>'Comparaison méthodes'!$A$2:$A$15</c:f>
              <c:strCache>
                <c:ptCount val="14"/>
                <c:pt idx="0">
                  <c:v>Hodh Echargui</c:v>
                </c:pt>
                <c:pt idx="1">
                  <c:v>Hodh El Gharbi</c:v>
                </c:pt>
                <c:pt idx="2">
                  <c:v>Assaba</c:v>
                </c:pt>
                <c:pt idx="3">
                  <c:v>Gorgol</c:v>
                </c:pt>
                <c:pt idx="4">
                  <c:v>Brakna</c:v>
                </c:pt>
                <c:pt idx="5">
                  <c:v>Trarza</c:v>
                </c:pt>
                <c:pt idx="6">
                  <c:v>Adrar</c:v>
                </c:pt>
                <c:pt idx="7">
                  <c:v>Dakhlet-Nouadhibou</c:v>
                </c:pt>
                <c:pt idx="8">
                  <c:v>Tagant</c:v>
                </c:pt>
                <c:pt idx="9">
                  <c:v>Guidimagha</c:v>
                </c:pt>
                <c:pt idx="10">
                  <c:v>Tiris-Zemmour</c:v>
                </c:pt>
                <c:pt idx="11">
                  <c:v>Inchiri</c:v>
                </c:pt>
                <c:pt idx="12">
                  <c:v>Nouakchott</c:v>
                </c:pt>
                <c:pt idx="13">
                  <c:v>Moyenne nationale</c:v>
                </c:pt>
              </c:strCache>
            </c:strRef>
          </c:cat>
          <c:val>
            <c:numRef>
              <c:f>'Comparaison méthodes'!$E$2:$E$15</c:f>
            </c:numRef>
          </c:val>
        </c:ser>
        <c:ser>
          <c:idx val="4"/>
          <c:order val="4"/>
          <c:tx>
            <c:strRef>
              <c:f>'Comparaison méthodes'!$F$1</c:f>
              <c:strCache>
                <c:ptCount val="1"/>
                <c:pt idx="0">
                  <c:v>Montant FRD 2012 réellement mobilisé après absorption du reliquat (B)
(E)</c:v>
                </c:pt>
              </c:strCache>
            </c:strRef>
          </c:tx>
          <c:cat>
            <c:strRef>
              <c:f>'Comparaison méthodes'!$A$2:$A$15</c:f>
              <c:strCache>
                <c:ptCount val="14"/>
                <c:pt idx="0">
                  <c:v>Hodh Echargui</c:v>
                </c:pt>
                <c:pt idx="1">
                  <c:v>Hodh El Gharbi</c:v>
                </c:pt>
                <c:pt idx="2">
                  <c:v>Assaba</c:v>
                </c:pt>
                <c:pt idx="3">
                  <c:v>Gorgol</c:v>
                </c:pt>
                <c:pt idx="4">
                  <c:v>Brakna</c:v>
                </c:pt>
                <c:pt idx="5">
                  <c:v>Trarza</c:v>
                </c:pt>
                <c:pt idx="6">
                  <c:v>Adrar</c:v>
                </c:pt>
                <c:pt idx="7">
                  <c:v>Dakhlet-Nouadhibou</c:v>
                </c:pt>
                <c:pt idx="8">
                  <c:v>Tagant</c:v>
                </c:pt>
                <c:pt idx="9">
                  <c:v>Guidimagha</c:v>
                </c:pt>
                <c:pt idx="10">
                  <c:v>Tiris-Zemmour</c:v>
                </c:pt>
                <c:pt idx="11">
                  <c:v>Inchiri</c:v>
                </c:pt>
                <c:pt idx="12">
                  <c:v>Nouakchott</c:v>
                </c:pt>
                <c:pt idx="13">
                  <c:v>Moyenne nationale</c:v>
                </c:pt>
              </c:strCache>
            </c:strRef>
          </c:cat>
          <c:val>
            <c:numRef>
              <c:f>'Comparaison méthodes'!$F$2:$F$15</c:f>
            </c:numRef>
          </c:val>
        </c:ser>
        <c:ser>
          <c:idx val="5"/>
          <c:order val="5"/>
          <c:tx>
            <c:strRef>
              <c:f>'Comparaison méthodes'!$G$1</c:f>
              <c:strCache>
                <c:ptCount val="1"/>
                <c:pt idx="0">
                  <c:v>Taux d'absorption FRD 2012 selon l'ancienne méthode de calcul
(F)</c:v>
                </c:pt>
              </c:strCache>
            </c:strRef>
          </c:tx>
          <c:cat>
            <c:strRef>
              <c:f>'Comparaison méthodes'!$A$2:$A$15</c:f>
              <c:strCache>
                <c:ptCount val="14"/>
                <c:pt idx="0">
                  <c:v>Hodh Echargui</c:v>
                </c:pt>
                <c:pt idx="1">
                  <c:v>Hodh El Gharbi</c:v>
                </c:pt>
                <c:pt idx="2">
                  <c:v>Assaba</c:v>
                </c:pt>
                <c:pt idx="3">
                  <c:v>Gorgol</c:v>
                </c:pt>
                <c:pt idx="4">
                  <c:v>Brakna</c:v>
                </c:pt>
                <c:pt idx="5">
                  <c:v>Trarza</c:v>
                </c:pt>
                <c:pt idx="6">
                  <c:v>Adrar</c:v>
                </c:pt>
                <c:pt idx="7">
                  <c:v>Dakhlet-Nouadhibou</c:v>
                </c:pt>
                <c:pt idx="8">
                  <c:v>Tagant</c:v>
                </c:pt>
                <c:pt idx="9">
                  <c:v>Guidimagha</c:v>
                </c:pt>
                <c:pt idx="10">
                  <c:v>Tiris-Zemmour</c:v>
                </c:pt>
                <c:pt idx="11">
                  <c:v>Inchiri</c:v>
                </c:pt>
                <c:pt idx="12">
                  <c:v>Nouakchott</c:v>
                </c:pt>
                <c:pt idx="13">
                  <c:v>Moyenne nationale</c:v>
                </c:pt>
              </c:strCache>
            </c:strRef>
          </c:cat>
          <c:val>
            <c:numRef>
              <c:f>'Comparaison méthodes'!$G$2:$G$15</c:f>
              <c:numCache>
                <c:formatCode>0.00%</c:formatCode>
                <c:ptCount val="14"/>
                <c:pt idx="0">
                  <c:v>0.94022171926700693</c:v>
                </c:pt>
                <c:pt idx="1">
                  <c:v>0.98658380802873158</c:v>
                </c:pt>
                <c:pt idx="2">
                  <c:v>0.96374613985365598</c:v>
                </c:pt>
                <c:pt idx="3">
                  <c:v>0.98891531891451234</c:v>
                </c:pt>
                <c:pt idx="4">
                  <c:v>0.92828777743469815</c:v>
                </c:pt>
                <c:pt idx="5">
                  <c:v>0.91631869849140468</c:v>
                </c:pt>
                <c:pt idx="6">
                  <c:v>0.9117530369820176</c:v>
                </c:pt>
                <c:pt idx="7">
                  <c:v>0.88831605335614361</c:v>
                </c:pt>
                <c:pt idx="8">
                  <c:v>0.92467341908094935</c:v>
                </c:pt>
                <c:pt idx="9">
                  <c:v>1.118641031569328</c:v>
                </c:pt>
                <c:pt idx="10">
                  <c:v>1.0190345298870045</c:v>
                </c:pt>
                <c:pt idx="11">
                  <c:v>1.12418462004866</c:v>
                </c:pt>
                <c:pt idx="12">
                  <c:v>0.82660021160513752</c:v>
                </c:pt>
                <c:pt idx="13">
                  <c:v>0.93624396819563727</c:v>
                </c:pt>
              </c:numCache>
            </c:numRef>
          </c:val>
        </c:ser>
        <c:ser>
          <c:idx val="6"/>
          <c:order val="6"/>
          <c:tx>
            <c:strRef>
              <c:f>'Comparaison méthodes'!$H$1</c:f>
              <c:strCache>
                <c:ptCount val="1"/>
                <c:pt idx="0">
                  <c:v>Taux d'absorption FRD 2012 calculé à partir des crédits cumulés (C)
(G)</c:v>
                </c:pt>
              </c:strCache>
            </c:strRef>
          </c:tx>
          <c:cat>
            <c:strRef>
              <c:f>'Comparaison méthodes'!$A$2:$A$15</c:f>
              <c:strCache>
                <c:ptCount val="14"/>
                <c:pt idx="0">
                  <c:v>Hodh Echargui</c:v>
                </c:pt>
                <c:pt idx="1">
                  <c:v>Hodh El Gharbi</c:v>
                </c:pt>
                <c:pt idx="2">
                  <c:v>Assaba</c:v>
                </c:pt>
                <c:pt idx="3">
                  <c:v>Gorgol</c:v>
                </c:pt>
                <c:pt idx="4">
                  <c:v>Brakna</c:v>
                </c:pt>
                <c:pt idx="5">
                  <c:v>Trarza</c:v>
                </c:pt>
                <c:pt idx="6">
                  <c:v>Adrar</c:v>
                </c:pt>
                <c:pt idx="7">
                  <c:v>Dakhlet-Nouadhibou</c:v>
                </c:pt>
                <c:pt idx="8">
                  <c:v>Tagant</c:v>
                </c:pt>
                <c:pt idx="9">
                  <c:v>Guidimagha</c:v>
                </c:pt>
                <c:pt idx="10">
                  <c:v>Tiris-Zemmour</c:v>
                </c:pt>
                <c:pt idx="11">
                  <c:v>Inchiri</c:v>
                </c:pt>
                <c:pt idx="12">
                  <c:v>Nouakchott</c:v>
                </c:pt>
                <c:pt idx="13">
                  <c:v>Moyenne nationale</c:v>
                </c:pt>
              </c:strCache>
            </c:strRef>
          </c:cat>
          <c:val>
            <c:numRef>
              <c:f>'Comparaison méthodes'!$H$2:$H$15</c:f>
              <c:numCache>
                <c:formatCode>0.00%</c:formatCode>
                <c:ptCount val="14"/>
                <c:pt idx="0">
                  <c:v>0.65711563605954837</c:v>
                </c:pt>
                <c:pt idx="1">
                  <c:v>0.87318293172217087</c:v>
                </c:pt>
                <c:pt idx="2">
                  <c:v>0.73355633669739262</c:v>
                </c:pt>
                <c:pt idx="3">
                  <c:v>0.8872096313758886</c:v>
                </c:pt>
                <c:pt idx="4">
                  <c:v>0.8910016928095863</c:v>
                </c:pt>
                <c:pt idx="5">
                  <c:v>0.70158789602219063</c:v>
                </c:pt>
                <c:pt idx="6">
                  <c:v>0.79746057711470797</c:v>
                </c:pt>
                <c:pt idx="7">
                  <c:v>0.49120185375052883</c:v>
                </c:pt>
                <c:pt idx="8">
                  <c:v>0.79671119643739674</c:v>
                </c:pt>
                <c:pt idx="10">
                  <c:v>0.67181427805860983</c:v>
                </c:pt>
                <c:pt idx="11">
                  <c:v>0.94197926597239989</c:v>
                </c:pt>
                <c:pt idx="12">
                  <c:v>0.65183546434278572</c:v>
                </c:pt>
                <c:pt idx="13">
                  <c:v>0.75066529660487968</c:v>
                </c:pt>
              </c:numCache>
            </c:numRef>
          </c:val>
        </c:ser>
        <c:ser>
          <c:idx val="7"/>
          <c:order val="7"/>
          <c:tx>
            <c:strRef>
              <c:f>'Comparaison méthodes'!$I$1</c:f>
              <c:strCache>
                <c:ptCount val="1"/>
                <c:pt idx="0">
                  <c:v>Taux d'absorption FRD 2012 réellement mobilisé 
(H)</c:v>
                </c:pt>
              </c:strCache>
            </c:strRef>
          </c:tx>
          <c:cat>
            <c:strRef>
              <c:f>'Comparaison méthodes'!$A$2:$A$15</c:f>
              <c:strCache>
                <c:ptCount val="14"/>
                <c:pt idx="0">
                  <c:v>Hodh Echargui</c:v>
                </c:pt>
                <c:pt idx="1">
                  <c:v>Hodh El Gharbi</c:v>
                </c:pt>
                <c:pt idx="2">
                  <c:v>Assaba</c:v>
                </c:pt>
                <c:pt idx="3">
                  <c:v>Gorgol</c:v>
                </c:pt>
                <c:pt idx="4">
                  <c:v>Brakna</c:v>
                </c:pt>
                <c:pt idx="5">
                  <c:v>Trarza</c:v>
                </c:pt>
                <c:pt idx="6">
                  <c:v>Adrar</c:v>
                </c:pt>
                <c:pt idx="7">
                  <c:v>Dakhlet-Nouadhibou</c:v>
                </c:pt>
                <c:pt idx="8">
                  <c:v>Tagant</c:v>
                </c:pt>
                <c:pt idx="9">
                  <c:v>Guidimagha</c:v>
                </c:pt>
                <c:pt idx="10">
                  <c:v>Tiris-Zemmour</c:v>
                </c:pt>
                <c:pt idx="11">
                  <c:v>Inchiri</c:v>
                </c:pt>
                <c:pt idx="12">
                  <c:v>Nouakchott</c:v>
                </c:pt>
                <c:pt idx="13">
                  <c:v>Moyenne nationale</c:v>
                </c:pt>
              </c:strCache>
            </c:strRef>
          </c:cat>
          <c:val>
            <c:numRef>
              <c:f>'Comparaison méthodes'!$I$2:$I$15</c:f>
              <c:numCache>
                <c:formatCode>0.00%</c:formatCode>
                <c:ptCount val="14"/>
                <c:pt idx="0">
                  <c:v>0.50939026788783248</c:v>
                </c:pt>
                <c:pt idx="1">
                  <c:v>0.85671311062183064</c:v>
                </c:pt>
                <c:pt idx="2">
                  <c:v>0.64994637882560002</c:v>
                </c:pt>
                <c:pt idx="3">
                  <c:v>0.87427985516182338</c:v>
                </c:pt>
                <c:pt idx="4">
                  <c:v>0.88644039944874464</c:v>
                </c:pt>
                <c:pt idx="5">
                  <c:v>0.61025469184779091</c:v>
                </c:pt>
                <c:pt idx="6">
                  <c:v>0.76843252290616049</c:v>
                </c:pt>
                <c:pt idx="7">
                  <c:v>7.9861857645187523E-2</c:v>
                </c:pt>
                <c:pt idx="8">
                  <c:v>0.76406035977444853</c:v>
                </c:pt>
                <c:pt idx="10">
                  <c:v>0.50219488659779365</c:v>
                </c:pt>
                <c:pt idx="11">
                  <c:v>0.93075641981309565</c:v>
                </c:pt>
                <c:pt idx="12">
                  <c:v>0.55848846129009655</c:v>
                </c:pt>
                <c:pt idx="13">
                  <c:v>0.68067349683643796</c:v>
                </c:pt>
              </c:numCache>
            </c:numRef>
          </c:val>
        </c:ser>
        <c:axId val="80573568"/>
        <c:axId val="80575104"/>
      </c:barChart>
      <c:catAx>
        <c:axId val="80573568"/>
        <c:scaling>
          <c:orientation val="minMax"/>
        </c:scaling>
        <c:axPos val="b"/>
        <c:majorTickMark val="none"/>
        <c:tickLblPos val="nextTo"/>
        <c:crossAx val="80575104"/>
        <c:crosses val="autoZero"/>
        <c:auto val="1"/>
        <c:lblAlgn val="ctr"/>
        <c:lblOffset val="100"/>
      </c:catAx>
      <c:valAx>
        <c:axId val="80575104"/>
        <c:scaling>
          <c:orientation val="minMax"/>
        </c:scaling>
        <c:axPos val="l"/>
        <c:majorGridlines/>
        <c:numFmt formatCode="0.00%" sourceLinked="1"/>
        <c:majorTickMark val="none"/>
        <c:tickLblPos val="nextTo"/>
        <c:crossAx val="80573568"/>
        <c:crosses val="autoZero"/>
        <c:crossBetween val="between"/>
      </c:valAx>
    </c:plotArea>
    <c:legend>
      <c:legendPos val="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fr-FR"/>
  <c:chart>
    <c:title>
      <c:tx>
        <c:rich>
          <a:bodyPr/>
          <a:lstStyle/>
          <a:p>
            <a:pPr>
              <a:defRPr sz="1200"/>
            </a:pPr>
            <a:r>
              <a:rPr lang="fr-FR" sz="1200"/>
              <a:t>Taux d'absorption du FRD 2012 réellement mobilisé au cours de l'exercice</a:t>
            </a:r>
            <a:r>
              <a:rPr lang="fr-FR" sz="1200" baseline="0"/>
              <a:t> 2012</a:t>
            </a:r>
            <a:r>
              <a:rPr lang="fr-FR" sz="1200"/>
              <a:t> 
(H)</a:t>
            </a:r>
          </a:p>
        </c:rich>
      </c:tx>
    </c:title>
    <c:plotArea>
      <c:layout/>
      <c:barChart>
        <c:barDir val="col"/>
        <c:grouping val="clustered"/>
        <c:ser>
          <c:idx val="0"/>
          <c:order val="0"/>
          <c:tx>
            <c:strRef>
              <c:f>Feuil3!$B$1</c:f>
              <c:strCache>
                <c:ptCount val="1"/>
                <c:pt idx="0">
                  <c:v>Montant FRD 2012
(Équipement)
(A)</c:v>
                </c:pt>
              </c:strCache>
            </c:strRef>
          </c:tx>
          <c:cat>
            <c:strRef>
              <c:f>Feuil3!$A$2:$A$15</c:f>
              <c:strCache>
                <c:ptCount val="14"/>
                <c:pt idx="0">
                  <c:v>Hodh Echargui</c:v>
                </c:pt>
                <c:pt idx="1">
                  <c:v>Hodh El Gharbi</c:v>
                </c:pt>
                <c:pt idx="2">
                  <c:v>Assaba</c:v>
                </c:pt>
                <c:pt idx="3">
                  <c:v>Gorgol</c:v>
                </c:pt>
                <c:pt idx="4">
                  <c:v>Brakna</c:v>
                </c:pt>
                <c:pt idx="5">
                  <c:v>Trarza</c:v>
                </c:pt>
                <c:pt idx="6">
                  <c:v>Adrar</c:v>
                </c:pt>
                <c:pt idx="7">
                  <c:v>Dakhlet-Nouadhibou</c:v>
                </c:pt>
                <c:pt idx="8">
                  <c:v>Tagant</c:v>
                </c:pt>
                <c:pt idx="9">
                  <c:v>Guidimagha</c:v>
                </c:pt>
                <c:pt idx="10">
                  <c:v>Tiris-Zemmour</c:v>
                </c:pt>
                <c:pt idx="11">
                  <c:v>Inchiri</c:v>
                </c:pt>
                <c:pt idx="12">
                  <c:v>Nouakchott</c:v>
                </c:pt>
                <c:pt idx="13">
                  <c:v>Moyenne nationale</c:v>
                </c:pt>
              </c:strCache>
            </c:strRef>
          </c:cat>
          <c:val>
            <c:numRef>
              <c:f>Feuil3!$B$2:$B$15</c:f>
            </c:numRef>
          </c:val>
        </c:ser>
        <c:ser>
          <c:idx val="1"/>
          <c:order val="1"/>
          <c:tx>
            <c:strRef>
              <c:f>Feuil3!$C$1</c:f>
              <c:strCache>
                <c:ptCount val="1"/>
                <c:pt idx="0">
                  <c:v>Reliquat FRD exercices antérieurs à utiliser en 2012
(B)</c:v>
                </c:pt>
              </c:strCache>
            </c:strRef>
          </c:tx>
          <c:cat>
            <c:strRef>
              <c:f>Feuil3!$A$2:$A$15</c:f>
              <c:strCache>
                <c:ptCount val="14"/>
                <c:pt idx="0">
                  <c:v>Hodh Echargui</c:v>
                </c:pt>
                <c:pt idx="1">
                  <c:v>Hodh El Gharbi</c:v>
                </c:pt>
                <c:pt idx="2">
                  <c:v>Assaba</c:v>
                </c:pt>
                <c:pt idx="3">
                  <c:v>Gorgol</c:v>
                </c:pt>
                <c:pt idx="4">
                  <c:v>Brakna</c:v>
                </c:pt>
                <c:pt idx="5">
                  <c:v>Trarza</c:v>
                </c:pt>
                <c:pt idx="6">
                  <c:v>Adrar</c:v>
                </c:pt>
                <c:pt idx="7">
                  <c:v>Dakhlet-Nouadhibou</c:v>
                </c:pt>
                <c:pt idx="8">
                  <c:v>Tagant</c:v>
                </c:pt>
                <c:pt idx="9">
                  <c:v>Guidimagha</c:v>
                </c:pt>
                <c:pt idx="10">
                  <c:v>Tiris-Zemmour</c:v>
                </c:pt>
                <c:pt idx="11">
                  <c:v>Inchiri</c:v>
                </c:pt>
                <c:pt idx="12">
                  <c:v>Nouakchott</c:v>
                </c:pt>
                <c:pt idx="13">
                  <c:v>Moyenne nationale</c:v>
                </c:pt>
              </c:strCache>
            </c:strRef>
          </c:cat>
          <c:val>
            <c:numRef>
              <c:f>Feuil3!$C$2:$C$15</c:f>
            </c:numRef>
          </c:val>
        </c:ser>
        <c:ser>
          <c:idx val="2"/>
          <c:order val="2"/>
          <c:tx>
            <c:strRef>
              <c:f>Feuil3!$D$1</c:f>
              <c:strCache>
                <c:ptCount val="1"/>
                <c:pt idx="0">
                  <c:v>Montant cumulé des crédits d'équipement disponibles en 2012
(C) = (A) + (B)</c:v>
                </c:pt>
              </c:strCache>
            </c:strRef>
          </c:tx>
          <c:cat>
            <c:strRef>
              <c:f>Feuil3!$A$2:$A$15</c:f>
              <c:strCache>
                <c:ptCount val="14"/>
                <c:pt idx="0">
                  <c:v>Hodh Echargui</c:v>
                </c:pt>
                <c:pt idx="1">
                  <c:v>Hodh El Gharbi</c:v>
                </c:pt>
                <c:pt idx="2">
                  <c:v>Assaba</c:v>
                </c:pt>
                <c:pt idx="3">
                  <c:v>Gorgol</c:v>
                </c:pt>
                <c:pt idx="4">
                  <c:v>Brakna</c:v>
                </c:pt>
                <c:pt idx="5">
                  <c:v>Trarza</c:v>
                </c:pt>
                <c:pt idx="6">
                  <c:v>Adrar</c:v>
                </c:pt>
                <c:pt idx="7">
                  <c:v>Dakhlet-Nouadhibou</c:v>
                </c:pt>
                <c:pt idx="8">
                  <c:v>Tagant</c:v>
                </c:pt>
                <c:pt idx="9">
                  <c:v>Guidimagha</c:v>
                </c:pt>
                <c:pt idx="10">
                  <c:v>Tiris-Zemmour</c:v>
                </c:pt>
                <c:pt idx="11">
                  <c:v>Inchiri</c:v>
                </c:pt>
                <c:pt idx="12">
                  <c:v>Nouakchott</c:v>
                </c:pt>
                <c:pt idx="13">
                  <c:v>Moyenne nationale</c:v>
                </c:pt>
              </c:strCache>
            </c:strRef>
          </c:cat>
          <c:val>
            <c:numRef>
              <c:f>Feuil3!$D$2:$D$15</c:f>
            </c:numRef>
          </c:val>
        </c:ser>
        <c:ser>
          <c:idx val="3"/>
          <c:order val="3"/>
          <c:tx>
            <c:strRef>
              <c:f>Feuil3!$E$1</c:f>
              <c:strCache>
                <c:ptCount val="1"/>
                <c:pt idx="0">
                  <c:v>Montant FRD 2012 engagé
(D)</c:v>
                </c:pt>
              </c:strCache>
            </c:strRef>
          </c:tx>
          <c:cat>
            <c:strRef>
              <c:f>Feuil3!$A$2:$A$15</c:f>
              <c:strCache>
                <c:ptCount val="14"/>
                <c:pt idx="0">
                  <c:v>Hodh Echargui</c:v>
                </c:pt>
                <c:pt idx="1">
                  <c:v>Hodh El Gharbi</c:v>
                </c:pt>
                <c:pt idx="2">
                  <c:v>Assaba</c:v>
                </c:pt>
                <c:pt idx="3">
                  <c:v>Gorgol</c:v>
                </c:pt>
                <c:pt idx="4">
                  <c:v>Brakna</c:v>
                </c:pt>
                <c:pt idx="5">
                  <c:v>Trarza</c:v>
                </c:pt>
                <c:pt idx="6">
                  <c:v>Adrar</c:v>
                </c:pt>
                <c:pt idx="7">
                  <c:v>Dakhlet-Nouadhibou</c:v>
                </c:pt>
                <c:pt idx="8">
                  <c:v>Tagant</c:v>
                </c:pt>
                <c:pt idx="9">
                  <c:v>Guidimagha</c:v>
                </c:pt>
                <c:pt idx="10">
                  <c:v>Tiris-Zemmour</c:v>
                </c:pt>
                <c:pt idx="11">
                  <c:v>Inchiri</c:v>
                </c:pt>
                <c:pt idx="12">
                  <c:v>Nouakchott</c:v>
                </c:pt>
                <c:pt idx="13">
                  <c:v>Moyenne nationale</c:v>
                </c:pt>
              </c:strCache>
            </c:strRef>
          </c:cat>
          <c:val>
            <c:numRef>
              <c:f>Feuil3!$E$2:$E$15</c:f>
            </c:numRef>
          </c:val>
        </c:ser>
        <c:ser>
          <c:idx val="4"/>
          <c:order val="4"/>
          <c:tx>
            <c:strRef>
              <c:f>Feuil3!$F$1</c:f>
              <c:strCache>
                <c:ptCount val="1"/>
                <c:pt idx="0">
                  <c:v>Montant FRD 2012 réellement mobilisé après absorption du reliquat (B)
(E)</c:v>
                </c:pt>
              </c:strCache>
            </c:strRef>
          </c:tx>
          <c:cat>
            <c:strRef>
              <c:f>Feuil3!$A$2:$A$15</c:f>
              <c:strCache>
                <c:ptCount val="14"/>
                <c:pt idx="0">
                  <c:v>Hodh Echargui</c:v>
                </c:pt>
                <c:pt idx="1">
                  <c:v>Hodh El Gharbi</c:v>
                </c:pt>
                <c:pt idx="2">
                  <c:v>Assaba</c:v>
                </c:pt>
                <c:pt idx="3">
                  <c:v>Gorgol</c:v>
                </c:pt>
                <c:pt idx="4">
                  <c:v>Brakna</c:v>
                </c:pt>
                <c:pt idx="5">
                  <c:v>Trarza</c:v>
                </c:pt>
                <c:pt idx="6">
                  <c:v>Adrar</c:v>
                </c:pt>
                <c:pt idx="7">
                  <c:v>Dakhlet-Nouadhibou</c:v>
                </c:pt>
                <c:pt idx="8">
                  <c:v>Tagant</c:v>
                </c:pt>
                <c:pt idx="9">
                  <c:v>Guidimagha</c:v>
                </c:pt>
                <c:pt idx="10">
                  <c:v>Tiris-Zemmour</c:v>
                </c:pt>
                <c:pt idx="11">
                  <c:v>Inchiri</c:v>
                </c:pt>
                <c:pt idx="12">
                  <c:v>Nouakchott</c:v>
                </c:pt>
                <c:pt idx="13">
                  <c:v>Moyenne nationale</c:v>
                </c:pt>
              </c:strCache>
            </c:strRef>
          </c:cat>
          <c:val>
            <c:numRef>
              <c:f>Feuil3!$F$2:$F$15</c:f>
            </c:numRef>
          </c:val>
        </c:ser>
        <c:ser>
          <c:idx val="5"/>
          <c:order val="5"/>
          <c:tx>
            <c:strRef>
              <c:f>Feuil3!$G$1</c:f>
              <c:strCache>
                <c:ptCount val="1"/>
                <c:pt idx="0">
                  <c:v>Taux d'absorption FRD 2012 selon l'ancienne méthode de calcul
(F)</c:v>
                </c:pt>
              </c:strCache>
            </c:strRef>
          </c:tx>
          <c:cat>
            <c:strRef>
              <c:f>Feuil3!$A$2:$A$15</c:f>
              <c:strCache>
                <c:ptCount val="14"/>
                <c:pt idx="0">
                  <c:v>Hodh Echargui</c:v>
                </c:pt>
                <c:pt idx="1">
                  <c:v>Hodh El Gharbi</c:v>
                </c:pt>
                <c:pt idx="2">
                  <c:v>Assaba</c:v>
                </c:pt>
                <c:pt idx="3">
                  <c:v>Gorgol</c:v>
                </c:pt>
                <c:pt idx="4">
                  <c:v>Brakna</c:v>
                </c:pt>
                <c:pt idx="5">
                  <c:v>Trarza</c:v>
                </c:pt>
                <c:pt idx="6">
                  <c:v>Adrar</c:v>
                </c:pt>
                <c:pt idx="7">
                  <c:v>Dakhlet-Nouadhibou</c:v>
                </c:pt>
                <c:pt idx="8">
                  <c:v>Tagant</c:v>
                </c:pt>
                <c:pt idx="9">
                  <c:v>Guidimagha</c:v>
                </c:pt>
                <c:pt idx="10">
                  <c:v>Tiris-Zemmour</c:v>
                </c:pt>
                <c:pt idx="11">
                  <c:v>Inchiri</c:v>
                </c:pt>
                <c:pt idx="12">
                  <c:v>Nouakchott</c:v>
                </c:pt>
                <c:pt idx="13">
                  <c:v>Moyenne nationale</c:v>
                </c:pt>
              </c:strCache>
            </c:strRef>
          </c:cat>
          <c:val>
            <c:numRef>
              <c:f>Feuil3!$G$2:$G$15</c:f>
            </c:numRef>
          </c:val>
        </c:ser>
        <c:ser>
          <c:idx val="6"/>
          <c:order val="6"/>
          <c:tx>
            <c:strRef>
              <c:f>Feuil3!$H$1</c:f>
              <c:strCache>
                <c:ptCount val="1"/>
                <c:pt idx="0">
                  <c:v>Taux d'absorption FRD 2012 à partir des crédits cumulés disponibles
(G)</c:v>
                </c:pt>
              </c:strCache>
            </c:strRef>
          </c:tx>
          <c:cat>
            <c:strRef>
              <c:f>Feuil3!$A$2:$A$15</c:f>
              <c:strCache>
                <c:ptCount val="14"/>
                <c:pt idx="0">
                  <c:v>Hodh Echargui</c:v>
                </c:pt>
                <c:pt idx="1">
                  <c:v>Hodh El Gharbi</c:v>
                </c:pt>
                <c:pt idx="2">
                  <c:v>Assaba</c:v>
                </c:pt>
                <c:pt idx="3">
                  <c:v>Gorgol</c:v>
                </c:pt>
                <c:pt idx="4">
                  <c:v>Brakna</c:v>
                </c:pt>
                <c:pt idx="5">
                  <c:v>Trarza</c:v>
                </c:pt>
                <c:pt idx="6">
                  <c:v>Adrar</c:v>
                </c:pt>
                <c:pt idx="7">
                  <c:v>Dakhlet-Nouadhibou</c:v>
                </c:pt>
                <c:pt idx="8">
                  <c:v>Tagant</c:v>
                </c:pt>
                <c:pt idx="9">
                  <c:v>Guidimagha</c:v>
                </c:pt>
                <c:pt idx="10">
                  <c:v>Tiris-Zemmour</c:v>
                </c:pt>
                <c:pt idx="11">
                  <c:v>Inchiri</c:v>
                </c:pt>
                <c:pt idx="12">
                  <c:v>Nouakchott</c:v>
                </c:pt>
                <c:pt idx="13">
                  <c:v>Moyenne nationale</c:v>
                </c:pt>
              </c:strCache>
            </c:strRef>
          </c:cat>
          <c:val>
            <c:numRef>
              <c:f>Feuil3!$H$2:$H$15</c:f>
            </c:numRef>
          </c:val>
        </c:ser>
        <c:ser>
          <c:idx val="7"/>
          <c:order val="7"/>
          <c:tx>
            <c:strRef>
              <c:f>Feuil3!$I$1</c:f>
              <c:strCache>
                <c:ptCount val="1"/>
                <c:pt idx="0">
                  <c:v>Taux d'absorption FRD 2012 réellement mobilisé 
(H)</c:v>
                </c:pt>
              </c:strCache>
            </c:strRef>
          </c:tx>
          <c:cat>
            <c:strRef>
              <c:f>Feuil3!$A$2:$A$15</c:f>
              <c:strCache>
                <c:ptCount val="14"/>
                <c:pt idx="0">
                  <c:v>Hodh Echargui</c:v>
                </c:pt>
                <c:pt idx="1">
                  <c:v>Hodh El Gharbi</c:v>
                </c:pt>
                <c:pt idx="2">
                  <c:v>Assaba</c:v>
                </c:pt>
                <c:pt idx="3">
                  <c:v>Gorgol</c:v>
                </c:pt>
                <c:pt idx="4">
                  <c:v>Brakna</c:v>
                </c:pt>
                <c:pt idx="5">
                  <c:v>Trarza</c:v>
                </c:pt>
                <c:pt idx="6">
                  <c:v>Adrar</c:v>
                </c:pt>
                <c:pt idx="7">
                  <c:v>Dakhlet-Nouadhibou</c:v>
                </c:pt>
                <c:pt idx="8">
                  <c:v>Tagant</c:v>
                </c:pt>
                <c:pt idx="9">
                  <c:v>Guidimagha</c:v>
                </c:pt>
                <c:pt idx="10">
                  <c:v>Tiris-Zemmour</c:v>
                </c:pt>
                <c:pt idx="11">
                  <c:v>Inchiri</c:v>
                </c:pt>
                <c:pt idx="12">
                  <c:v>Nouakchott</c:v>
                </c:pt>
                <c:pt idx="13">
                  <c:v>Moyenne nationale</c:v>
                </c:pt>
              </c:strCache>
            </c:strRef>
          </c:cat>
          <c:val>
            <c:numRef>
              <c:f>Feuil3!$I$2:$I$15</c:f>
              <c:numCache>
                <c:formatCode>0.00%</c:formatCode>
                <c:ptCount val="14"/>
                <c:pt idx="0">
                  <c:v>0.50939026788783248</c:v>
                </c:pt>
                <c:pt idx="1">
                  <c:v>0.85671311062183064</c:v>
                </c:pt>
                <c:pt idx="2">
                  <c:v>0.64994637882560002</c:v>
                </c:pt>
                <c:pt idx="3">
                  <c:v>0.87427985516182338</c:v>
                </c:pt>
                <c:pt idx="4">
                  <c:v>0.88644039944874409</c:v>
                </c:pt>
                <c:pt idx="5">
                  <c:v>0.61025469184779091</c:v>
                </c:pt>
                <c:pt idx="6">
                  <c:v>0.76843252290616049</c:v>
                </c:pt>
                <c:pt idx="7">
                  <c:v>7.9861857645187453E-2</c:v>
                </c:pt>
                <c:pt idx="8">
                  <c:v>0.76406035977444853</c:v>
                </c:pt>
                <c:pt idx="9">
                  <c:v>1</c:v>
                </c:pt>
                <c:pt idx="10">
                  <c:v>0.50219488659779365</c:v>
                </c:pt>
                <c:pt idx="11">
                  <c:v>0.93075641981309565</c:v>
                </c:pt>
                <c:pt idx="12">
                  <c:v>0.55848846129009655</c:v>
                </c:pt>
                <c:pt idx="13">
                  <c:v>0.68067349683643574</c:v>
                </c:pt>
              </c:numCache>
            </c:numRef>
          </c:val>
        </c:ser>
        <c:axId val="84976000"/>
        <c:axId val="84977536"/>
      </c:barChart>
      <c:catAx>
        <c:axId val="84976000"/>
        <c:scaling>
          <c:orientation val="minMax"/>
        </c:scaling>
        <c:axPos val="b"/>
        <c:tickLblPos val="nextTo"/>
        <c:crossAx val="84977536"/>
        <c:crosses val="autoZero"/>
        <c:auto val="1"/>
        <c:lblAlgn val="ctr"/>
        <c:lblOffset val="100"/>
      </c:catAx>
      <c:valAx>
        <c:axId val="84977536"/>
        <c:scaling>
          <c:orientation val="minMax"/>
        </c:scaling>
        <c:axPos val="l"/>
        <c:majorGridlines/>
        <c:numFmt formatCode="0.00%" sourceLinked="1"/>
        <c:tickLblPos val="nextTo"/>
        <c:crossAx val="84976000"/>
        <c:crosses val="autoZero"/>
        <c:crossBetween val="between"/>
      </c:valAx>
    </c:plotArea>
    <c:legend>
      <c:legendPos val="r"/>
    </c:legend>
    <c:plotVisOnly val="1"/>
  </c:chart>
  <c:externalData r:id="rId1"/>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E61AF82-5086-4D9C-AC89-A07494B3C3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130</Pages>
  <Words>23823</Words>
  <Characters>131032</Characters>
  <Application>Microsoft Office Word</Application>
  <DocSecurity>0</DocSecurity>
  <Lines>1091</Lines>
  <Paragraphs>309</Paragraphs>
  <ScaleCrop>false</ScaleCrop>
  <HeadingPairs>
    <vt:vector size="2" baseType="variant">
      <vt:variant>
        <vt:lpstr>Titre</vt:lpstr>
      </vt:variant>
      <vt:variant>
        <vt:i4>1</vt:i4>
      </vt:variant>
    </vt:vector>
  </HeadingPairs>
  <TitlesOfParts>
    <vt:vector size="1" baseType="lpstr">
      <vt:lpstr>Ministère de l’Intérieur          et de la Décentralisation                           Direction Générale des Collectivités Territoriales</vt:lpstr>
    </vt:vector>
  </TitlesOfParts>
  <Company>Hewlett-Packard Company</Company>
  <LinksUpToDate>false</LinksUpToDate>
  <CharactersWithSpaces>154546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Ministère de l’Intérieur          et de la Décentralisation                           Direction Générale des Collectivités Territoriales</dc:title>
  <dc:subject>Rapport général et financier 2011 sur l’utilisation des crédits d’équipement du FRD 2010</dc:subject>
  <dc:creator>Direction des Finances Locales</dc:creator>
  <cp:lastModifiedBy>Conseiller DGCT</cp:lastModifiedBy>
  <cp:revision>2</cp:revision>
  <cp:lastPrinted>2013-11-12T08:16:00Z</cp:lastPrinted>
  <dcterms:created xsi:type="dcterms:W3CDTF">2013-11-12T12:16:00Z</dcterms:created>
  <dcterms:modified xsi:type="dcterms:W3CDTF">2013-11-12T12:16:00Z</dcterms:modified>
</cp:coreProperties>
</file>